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Georgia" w:cs="Georgia" w:eastAsia="Georgia" w:hAnsi="Georgia"/>
          <w:b/>
          <w:bCs/>
          <w:color w:val="0E1B2C"/>
          <w:sz w:val="40"/>
          <w:szCs w:val="40"/>
        </w:rPr>
        <w:t xml:space="preserve">Consolidation Under Yield Compression: State of DeFi Lending on Ethereum, June 2026</w:t>
      </w:r>
    </w:p>
    <w:p>
      <w:pPr>
        <w:spacing w:after="320"/>
      </w:pPr>
      <w:r>
        <w:rPr>
          <w:rFonts w:ascii="Georgia" w:cs="Georgia" w:eastAsia="Georgia" w:hAnsi="Georgia"/>
          <w:i/>
          <w:iCs/>
          <w:color w:val="404040"/>
          <w:sz w:val="24"/>
          <w:szCs w:val="24"/>
        </w:rPr>
        <w:t xml:space="preserve">Aave V3 grew $845 million in June while its USDC book contracted. The paradox of consolidation under yield compression.</w:t>
      </w:r>
    </w:p>
    <w:p>
      <w:pPr>
        <w:spacing w:after="220"/>
      </w:pPr>
      <w:r>
        <w:rPr>
          <w:rFonts w:ascii="Georgia" w:cs="Georgia" w:eastAsia="Georgia" w:hAnsi="Georgia"/>
          <w:sz w:val="22"/>
          <w:szCs w:val="22"/>
        </w:rPr>
        <w:t xml:space="preserve">The June reading across Ethereum's six largest lending protocols is consolidation under yield compression. The Real Yield Spread, the blended stablecoin lending rate minus the 4-week U.S. Treasury bill yield, closed June 30 at −37.1 basis points (bps), the deepest month-end inversion since March 2026. Capital did not leave in response. The six protocols absorbed $1.33 billion of net deposits at constant prices, and the largest single destination was the venue paying 41 bps less than the T-bill on its USDC book.</w:t>
      </w:r>
    </w:p>
    <w:p>
      <w:pPr>
        <w:spacing w:after="2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340"/>
      </w:pPr>
      <w:r>
        <w:rPr>
          <w:rFonts w:ascii="Georgia" w:cs="Georgia" w:eastAsia="Georgia" w:hAnsi="Georgia"/>
          <w:b/>
          <w:bCs/>
          <w:color w:val="0E1B2C"/>
          <w:sz w:val="28"/>
          <w:szCs w:val="28"/>
        </w:rPr>
        <w:t xml:space="preserve">The Real Yield Spread deepened, and June 5 was the trigger</w:t>
      </w:r>
    </w:p>
    <w:p>
      <w:pPr>
        <w:spacing w:after="220"/>
      </w:pPr>
      <w:r>
        <w:rPr>
          <w:rFonts w:ascii="Georgia" w:cs="Georgia" w:eastAsia="Georgia" w:hAnsi="Georgia"/>
          <w:sz w:val="22"/>
          <w:szCs w:val="22"/>
        </w:rPr>
        <w:t xml:space="preserve">The blended stablecoin supply rate, TVL-weighted across USDC, USDT, DAI, and USDS on Aave V3, Spark, Morpho, and Fluid, fell from 3.60% at the May close to 3.23% at the June close, a 37-bps compression. The 4-week Treasury bill held at 3.60% across the same window, unchanged to two decimal places. The spread re-inverted because on-chain rates fell, not because TradFi rates moved. That is the inverse of May's mechanism, where stablecoin APYs lifted to meet T-bills and the spread closed at parity.</w:t>
      </w:r>
    </w:p>
    <w:p>
      <w:pPr>
        <w:spacing w:after="220"/>
      </w:pPr>
      <w:r>
        <w:rPr>
          <w:rFonts w:ascii="Georgia" w:cs="Georgia" w:eastAsia="Georgia" w:hAnsi="Georgia"/>
          <w:sz w:val="22"/>
          <w:szCs w:val="22"/>
        </w:rPr>
        <w:t xml:space="preserve">The spread last printed positive on June 4, at +42.0 bps. It turned negative on June 5 and stayed negative through the remaining 25 days of the month. June 5 was also the month's largest liquidation event: $128.31 million of collateral seized across 1,766 individual events, 10.25 times the trailing seven-day median of $12.51 million. Aave V3 carried $93.98 million of the day's seized collateral, Fluid $15.04 million, Morpho $11.08 million, Compound V3 $7.22 million, and SparkLend and Euler V2 the residual.</w:t>
      </w:r>
    </w:p>
    <w:p>
      <w:pPr>
        <w:spacing w:after="220"/>
      </w:pPr>
      <w:r>
        <w:rPr>
          <w:rFonts w:ascii="Georgia" w:cs="Georgia" w:eastAsia="Georgia" w:hAnsi="Georgia"/>
          <w:sz w:val="22"/>
          <w:szCs w:val="22"/>
        </w:rPr>
        <w:t xml:space="preserve">The distribution across five of six protocols indicates a spot-price shock that traveled across the sector rather than a single-protocol operational failure. The mechanical chain runs from liquidation to rate: forced repayments retire borrow positions, utilization drops across the affected markets, borrow rates fall on the utilization curve, and supply APYs compress with them. That chain, together with the mark-to-market repricing on ETH-family collateral, is the proximate driver of the month's yield compression.</w:t>
      </w:r>
    </w:p>
    <w:p>
      <w:pPr>
        <w:spacing w:after="220"/>
      </w:pPr>
      <w:r>
        <w:rPr>
          <w:rFonts w:ascii="Georgia" w:cs="Georgia" w:eastAsia="Georgia" w:hAnsi="Georgia"/>
          <w:sz w:val="22"/>
          <w:szCs w:val="22"/>
        </w:rPr>
        <w:t xml:space="preserve">Context matters for calibration. June's −37 bps is not the deepest reading on record: February 2026 printed −151 bps and March −118 bps before April and May recovered toward parity. Against the prior cycle, the May to November 2025 month-end series ranged from −19 to −90 bps with two positive prints in between. June's print is consistent with the spread reverting to the pre-rally regime rather than continuing the recovery that May suggested.</w:t>
      </w:r>
    </w:p>
    <w:p>
      <w:pPr>
        <w:pStyle w:val="Heading2"/>
        <w:spacing w:after="200" w:before="340"/>
      </w:pPr>
      <w:r>
        <w:rPr>
          <w:rFonts w:ascii="Georgia" w:cs="Georgia" w:eastAsia="Georgia" w:hAnsi="Georgia"/>
          <w:b/>
          <w:bCs/>
          <w:color w:val="0E1B2C"/>
          <w:sz w:val="28"/>
          <w:szCs w:val="28"/>
        </w:rPr>
        <w:t xml:space="preserve">Where the money went (and where it didn't)</w:t>
      </w:r>
    </w:p>
    <w:p>
      <w:pPr>
        <w:spacing w:after="220"/>
      </w:pPr>
      <w:r>
        <w:rPr>
          <w:rFonts w:ascii="Georgia" w:cs="Georgia" w:eastAsia="Georgia" w:hAnsi="Georgia"/>
          <w:sz w:val="22"/>
          <w:szCs w:val="22"/>
        </w:rPr>
        <w:t xml:space="preserve">At nominal prices the sector contracted. Total supply fell 10.4%, from $32.64 billion at May 31 to $29.23 billion at June 30. At constant prices, holding each token's price fixed at the snapshot date and counting only the change in token quantity, depositors added $1.33 billion. The wedge between the two readings is mark-to-market on collateral: spot ETH fell 21.3% in June and the four largest liquid restaking tokens fell in near-lockstep. The dollar value of the sector's deposits shrank while the deposited quantity grew.</w:t>
      </w:r>
    </w:p>
    <w:p>
      <w:pPr>
        <w:spacing w:after="220"/>
      </w:pPr>
      <w:r>
        <w:rPr>
          <w:rFonts w:ascii="Georgia" w:cs="Georgia" w:eastAsia="Georgia" w:hAnsi="Georgia"/>
          <w:sz w:val="22"/>
          <w:szCs w:val="22"/>
        </w:rPr>
        <w:t xml:space="preserve">Five of the six protocols saw positive constant-price flow. Aave V3 added $845 million, the largest single-protocol inflow in the captured series, up from $352 million in May. SparkLend added $415 million, Compound V3 $59 million, Morpho $20 million, and Fluid $16 million. Only Euler V2 was negative, at $21 million of outflow distributed across many small vaults rather than one operator's exit.</w:t>
      </w:r>
    </w:p>
    <w:p>
      <w:pPr>
        <w:spacing w:after="220"/>
      </w:pPr>
      <w:r>
        <w:rPr>
          <w:rFonts w:ascii="Georgia" w:cs="Georgia" w:eastAsia="Georgia" w:hAnsi="Georgia"/>
          <w:sz w:val="22"/>
          <w:szCs w:val="22"/>
        </w:rPr>
        <w:t xml:space="preserve">Aave V3's $845 million did not arrive in USDC. The protocol's own USDC book shed $162 million of net constant-price capital across the month. What arrived was $452 million of wstETH, $143 million of cbBTC, $104 million of USDTB, and $99 million of USDT, with smaller positives spread across other assets. That composition is not yield-seeking supply. It is collateral flowing to the sector's largest borrow book.</w:t>
      </w:r>
    </w:p>
    <w:p>
      <w:pPr>
        <w:spacing w:after="220"/>
      </w:pPr>
      <w:r>
        <w:rPr>
          <w:rFonts w:ascii="Georgia" w:cs="Georgia" w:eastAsia="Georgia" w:hAnsi="Georgia"/>
          <w:sz w:val="22"/>
          <w:szCs w:val="22"/>
        </w:rPr>
        <w:t xml:space="preserve">The daily shape distinguishes accumulation from a single trade at scale. Aave V3 added quantity on twenty-seven of thirty June trading days. The three material outflow days, June 3, 11, and 12, were dominated by USDC leaving alongside wstETH arriving on the same day: asset rotation inside the protocol rather than depositor exit. The month's inflow was steady accumulation punctuated by three days of stable-token rotation.</w:t>
      </w:r>
    </w:p>
    <w:p>
      <w:pPr>
        <w:spacing w:after="220"/>
      </w:pPr>
      <w:r>
        <w:rPr>
          <w:rFonts w:ascii="Georgia" w:cs="Georgia" w:eastAsia="Georgia" w:hAnsi="Georgia"/>
          <w:sz w:val="22"/>
          <w:szCs w:val="22"/>
        </w:rPr>
        <w:t xml:space="preserve">The cleanest counter-test is Fluid. Its USDC supply APY closed June at 6.41%, 281 bps above the T-bill and the sector's only positive real yield spread on USDC. It received $16 million of net inflow for the month, against Aave V3's $845 million protocol total: a 50-to-1 ratio in favor of the venue paying 41 bps below the risk-free rate on the same asset. Whatever is steering the marginal dollar, it is not the headline rate.</w:t>
      </w:r>
    </w:p>
    <w:p>
      <w:pPr>
        <w:spacing w:after="2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340"/>
      </w:pPr>
      <w:r>
        <w:rPr>
          <w:rFonts w:ascii="Georgia" w:cs="Georgia" w:eastAsia="Georgia" w:hAnsi="Georgia"/>
          <w:b/>
          <w:bCs/>
          <w:color w:val="0E1B2C"/>
          <w:sz w:val="28"/>
          <w:szCs w:val="28"/>
        </w:rPr>
        <w:t xml:space="preserve">Concentration accelerated at the top</w:t>
      </w:r>
    </w:p>
    <w:p>
      <w:pPr>
        <w:spacing w:after="220"/>
      </w:pPr>
      <w:r>
        <w:rPr>
          <w:rFonts w:ascii="Georgia" w:cs="Georgia" w:eastAsia="Georgia" w:hAnsi="Georgia"/>
          <w:sz w:val="22"/>
          <w:szCs w:val="22"/>
        </w:rPr>
        <w:t xml:space="preserve">Aave V3 captured 63.4% of the sector's net constant-price inflow while holding 56.7% of the sector's nominal supply at June 30, over-indexing by roughly 7 percentage points (pp). SparkLend captured 31.1% against a 17.2% share of supply, over-indexing by 14 pp.</w:t>
      </w:r>
    </w:p>
    <w:p>
      <w:pPr>
        <w:spacing w:after="220"/>
      </w:pPr>
      <w:r>
        <w:rPr>
          <w:rFonts w:ascii="Georgia" w:cs="Georgia" w:eastAsia="Georgia" w:hAnsi="Georgia"/>
          <w:sz w:val="22"/>
          <w:szCs w:val="22"/>
        </w:rPr>
        <w:t xml:space="preserve">Together the two largest protocols absorbed 94.5% of net inflow while holding 73.9% of stock. The remaining four protocols captured 5.5%. That is the concentration mechanism in one ratio: existing incumbents absorbed new capital at rates that widened rather than narrowed the gap between top and tail, in a month where the largest destination paid less than the T-bill on USDC.</w:t>
      </w:r>
    </w:p>
    <w:p>
      <w:pPr>
        <w:spacing w:after="2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340"/>
      </w:pPr>
      <w:r>
        <w:rPr>
          <w:rFonts w:ascii="Georgia" w:cs="Georgia" w:eastAsia="Georgia" w:hAnsi="Georgia"/>
          <w:b/>
          <w:bCs/>
          <w:color w:val="0E1B2C"/>
          <w:sz w:val="28"/>
          <w:szCs w:val="28"/>
        </w:rPr>
        <w:t xml:space="preserve">Morpho was less concentrated than we reported for May</w:t>
      </w:r>
    </w:p>
    <w:p>
      <w:pPr>
        <w:spacing w:after="220"/>
      </w:pPr>
      <w:r>
        <w:rPr>
          <w:rFonts w:ascii="Georgia" w:cs="Georgia" w:eastAsia="Georgia" w:hAnsi="Georgia"/>
          <w:sz w:val="22"/>
          <w:szCs w:val="22"/>
        </w:rPr>
        <w:t xml:space="preserve">Issue 003 also carries a correction. Issue 002 reported Morpho's curator concentration at May 31 as a Herfindahl-Hirschman index (HHI) of 3,103, with three curators holding 93.9% of curated deposits. That reading captured only MetaMorpho, the V1 vault system. Morpho operates a second vault system, Vault V2, in parallel, and V2 was already the larger side of the curator market at May 31.</w:t>
      </w:r>
    </w:p>
    <w:p>
      <w:pPr>
        <w:spacing w:after="220"/>
      </w:pPr>
      <w:r>
        <w:rPr>
          <w:rFonts w:ascii="Georgia" w:cs="Georgia" w:eastAsia="Georgia" w:hAnsi="Georgia"/>
          <w:sz w:val="22"/>
          <w:szCs w:val="22"/>
        </w:rPr>
        <w:t xml:space="preserve">Measured across both systems, Morpho's curator market at June 30 holds $2.12 billion of curated deposits across twenty curators, with an HHI of 2,095 and a top-three share of 74.6%. Sentora ranks first at 31.2%, Steakhouse Financial second at 29.2%, and Gauntlet third at 14.2%. Re-measured on the combined basis, May 31 comes to 2,144. The curator market did not concentrate further in June. It was less concentrated than the V1-only reading suggested all along, because half the market was invisible to it.</w:t>
      </w:r>
    </w:p>
    <w:p>
      <w:pPr>
        <w:pStyle w:val="Heading2"/>
        <w:spacing w:after="200" w:before="340"/>
      </w:pPr>
      <w:r>
        <w:rPr>
          <w:rFonts w:ascii="Georgia" w:cs="Georgia" w:eastAsia="Georgia" w:hAnsi="Georgia"/>
          <w:b/>
          <w:bCs/>
          <w:color w:val="0E1B2C"/>
          <w:sz w:val="28"/>
          <w:szCs w:val="28"/>
        </w:rPr>
        <w:t xml:space="preserve">The LRT contraction was mostly price</w:t>
      </w:r>
    </w:p>
    <w:p>
      <w:pPr>
        <w:spacing w:after="220"/>
      </w:pPr>
      <w:r>
        <w:rPr>
          <w:rFonts w:ascii="Georgia" w:cs="Georgia" w:eastAsia="Georgia" w:hAnsi="Georgia"/>
          <w:sz w:val="22"/>
          <w:szCs w:val="22"/>
        </w:rPr>
        <w:t xml:space="preserve">The sector's liquid restaking token collateral fell $807 million at actual prices in June, from $3.73 billion to $2.92 billion. Roughly $781 million of that is per-unit price effect: weETH fell 21.04% per token, rsETH 21.00%, ezETH 21.28%, and osETH 19.99%, all tracking spot ETH's 21.25% decline. The residual constant-price flow across the four LRTs is approximately $26 million of net outflow. June's LRT contraction is roughly 97% price and 3% depositor flow.</w:t>
      </w:r>
    </w:p>
    <w:p>
      <w:pPr>
        <w:spacing w:after="220"/>
      </w:pPr>
      <w:r>
        <w:rPr>
          <w:rFonts w:ascii="Georgia" w:cs="Georgia" w:eastAsia="Georgia" w:hAnsi="Georgia"/>
          <w:sz w:val="22"/>
          <w:szCs w:val="22"/>
        </w:rPr>
        <w:t xml:space="preserve">The Aave V3 Core weETH book makes the point concrete. Its dollar value fell $419 million across June, from $2.11 billion to $1.69 billion. Its token quantity grew by roughly 14,000 weETH. Depositors did not exit LRTs in June; prices did the contracting. May's reading was the opposite, $1.17 billion of genuine constant-price LRT outflow, and that exit thesis held for May. The mechanism did not extend to June.</w:t>
      </w:r>
    </w:p>
    <w:p>
      <w:pPr>
        <w:spacing w:after="220"/>
      </w:pPr>
      <w:r>
        <w:rPr>
          <w:rFonts w:ascii="Georgia" w:cs="Georgia" w:eastAsia="Georgia" w:hAnsi="Georgia"/>
          <w:sz w:val="22"/>
          <w:szCs w:val="22"/>
        </w:rPr>
        <w:t xml:space="preserve">The forward question is behavioral. If LRT prices stabilize or recover in July, holders who sat through the two-month drawdown will recover dollar value without having moved. If prices fall at June's rate again, the same depositors take a second haircut on unchanged collateral, and whether that catalyzes exit at May's magnitude is the reading July's flow data will answer.</w:t>
      </w:r>
    </w:p>
    <w:p>
      <w:pPr>
        <w:pStyle w:val="Heading2"/>
        <w:spacing w:after="200" w:before="340"/>
      </w:pPr>
      <w:r>
        <w:rPr>
          <w:rFonts w:ascii="Georgia" w:cs="Georgia" w:eastAsia="Georgia" w:hAnsi="Georgia"/>
          <w:b/>
          <w:bCs/>
          <w:color w:val="0E1B2C"/>
          <w:sz w:val="28"/>
          <w:szCs w:val="28"/>
        </w:rPr>
        <w:t xml:space="preserve">What to watch in July</w:t>
      </w:r>
    </w:p>
    <w:p>
      <w:pPr>
        <w:spacing w:after="220"/>
      </w:pPr>
      <w:r>
        <w:rPr>
          <w:rFonts w:ascii="Georgia" w:cs="Georgia" w:eastAsia="Georgia" w:hAnsi="Georgia"/>
          <w:sz w:val="22"/>
          <w:szCs w:val="22"/>
        </w:rPr>
        <w:t xml:space="preserve">Three readings will discriminate. First, the Real Yield Spread against the late-July Federal Open Market Committee decision: absent a cut, we expect the July 31 spread to land between −20 and −60 bps; a cut would close the spread from the rate side rather than the on-chain side. Second, Aave V3's share of sector inflow: the consolidation thesis expects it to stay above 50%, most likely in the 55 to 70% range. Third, Fluid's flow response to its rate leadership: we expect its USDC supply APY to hold above 5% and its net inflow to stay under $50 million. Two quieter calls round out the slate: Euler V2's flow should land within $30 million of zero with its loan-to-deposit ratio holding near 85%, and Steakhouse Financial's combined V1+V2 curator share should grow from 29.2% toward 30 to 35% by July 31.</w:t>
      </w:r>
    </w:p>
    <w:p>
      <w:pPr>
        <w:spacing w:after="220"/>
      </w:pPr>
      <w:r>
        <w:rPr>
          <w:rFonts w:ascii="Georgia" w:cs="Georgia" w:eastAsia="Georgia" w:hAnsi="Georgia"/>
          <w:sz w:val="22"/>
          <w:szCs w:val="22"/>
        </w:rPr>
        <w:t xml:space="preserve">The thesis is falsifiable. If Aave V3's share of sector inflow falls below 50% and Fluid's constant-price flow rises above $75 million, it needs revision, and Issue 004 will publish the correction.</w:t>
      </w:r>
    </w:p>
    <w:p>
      <w:pPr>
        <w:spacing w:after="220"/>
      </w:pPr>
      <w:r>
        <w:rPr>
          <w:rFonts w:ascii="Georgia" w:cs="Georgia" w:eastAsia="Georgia" w:hAnsi="Georgia"/>
          <w:sz w:val="22"/>
          <w:szCs w:val="22"/>
        </w:rPr>
        <w:t xml:space="preserve">The full report, with the daily flow series, six protocol deep dives, and the complete data tables, is live on the Datum Labs lending terminal: </w:t>
      </w:r>
      <w:hyperlink w:history="1" r:id="rIdtemvn58fqtqxjleoougr0">
        <w:r>
          <w:rPr>
            <w:rStyle w:val="Hyperlink"/>
            <w:rFonts w:ascii="Georgia" w:cs="Georgia" w:eastAsia="Georgia" w:hAnsi="Georgia"/>
            <w:sz w:val="22"/>
            <w:szCs w:val="22"/>
          </w:rPr>
          <w:t xml:space="preserve">https://lending-intelligence-terminal.vercel.app/reports/2026-06-june</w:t>
        </w:r>
      </w:hyperlink>
      <w:r>
        <w:rPr>
          <w:rFonts w:ascii="Georgia" w:cs="Georgia" w:eastAsia="Georgia" w:hAnsi="Georgia"/>
          <w:sz w:val="22"/>
          <w:szCs w:val="22"/>
        </w:rPr>
        <w:t xml:space="preserve">. The June issue is the third in the monthly State of DeFi Lending on Ethereum series.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emvn58fqtqxjleoougr0" Type="http://schemas.openxmlformats.org/officeDocument/2006/relationships/hyperlink" Target="https://lending-intelligence-terminal.vercel.app/reports/2026-06-june" TargetMode="External"/><Relationship Id="rId7" Type="http://schemas.openxmlformats.org/officeDocument/2006/relationships/image" Target="media/d558c55ada00e61dc3213e3b56964e61e39af255.png"/><Relationship Id="rId8" Type="http://schemas.openxmlformats.org/officeDocument/2006/relationships/image" Target="media/a64da6b1a9cc7ce0b187604b70ac22392445affd.png"/><Relationship Id="rId9" Type="http://schemas.openxmlformats.org/officeDocument/2006/relationships/image" Target="media/68d306de2ac9739d309e7cc6b1f9e017d00d091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2026-07-08T11:52:08.015Z</dcterms:created>
  <dcterms:modified xsi:type="dcterms:W3CDTF">2026-07-08T11:52:08.017Z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