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Georgia" w:cs="Georgia" w:eastAsia="Georgia" w:hAnsi="Georgia"/>
          <w:b/>
          <w:bCs/>
          <w:color w:val="0E1B2C"/>
          <w:sz w:val="40"/>
          <w:szCs w:val="40"/>
        </w:rPr>
        <w:t xml:space="preserve">Issue 003 Clip Pack: Consolidation Under Yield Compression</w:t>
      </w:r>
    </w:p>
    <w:p>
      <w:pPr>
        <w:spacing w:after="240"/>
      </w:pPr>
      <w:r>
        <w:rPr>
          <w:rFonts w:ascii="Georgia" w:cs="Georgia" w:eastAsia="Georgia" w:hAnsi="Georgia"/>
          <w:i/>
          <w:iCs/>
          <w:color w:val="404040"/>
          <w:sz w:val="22"/>
          <w:szCs w:val="22"/>
        </w:rPr>
        <w:t xml:space="preserve">Fourteen clips across two voices for the June 2026 report. Section A runs on the personal profile, Section B on the Datum Labs profile. Both cover the same findings in different registers; character counts and card attachments noted under each clip. Promo cards live in public/reports/charts-social/.</w:t>
      </w:r>
    </w:p>
    <w:p>
      <w:pPr>
        <w:pStyle w:val="Heading1"/>
        <w:spacing w:after="200" w:before="400"/>
      </w:pPr>
      <w:r>
        <w:rPr>
          <w:rFonts w:ascii="Georgia" w:cs="Georgia" w:eastAsia="Georgia" w:hAnsi="Georgia"/>
          <w:b/>
          <w:bCs/>
          <w:color w:val="0E1B2C"/>
          <w:sz w:val="32"/>
          <w:szCs w:val="32"/>
        </w:rPr>
        <w:t xml:space="preserve">Section A: Personal X profile (Joel's voice)</w:t>
      </w:r>
    </w:p>
    <w:p>
      <w:pPr>
        <w:spacing w:after="160"/>
      </w:pPr>
      <w:r>
        <w:rPr>
          <w:rFonts w:ascii="Georgia" w:cs="Georgia" w:eastAsia="Georgia" w:hAnsi="Georgia"/>
          <w:i/>
          <w:iCs/>
          <w:color w:val="595959"/>
          <w:sz w:val="22"/>
          <w:szCs w:val="22"/>
        </w:rPr>
        <w:t xml:space="preserve">First person, show-your-work cadence, plain-language teach on technical terms at first use. Warm and direct, not stiff. Post as standalone tweets or as a thread in this order.</w:t>
      </w:r>
    </w:p>
    <w:p>
      <w:pPr>
        <w:spacing w:after="120" w:before="280"/>
      </w:pPr>
      <w:r>
        <w:rPr>
          <w:rFonts w:ascii="Georgia" w:cs="Georgia" w:eastAsia="Georgia" w:hAnsi="Georgia"/>
          <w:b/>
          <w:bCs/>
          <w:color w:val="C5511A"/>
          <w:sz w:val="22"/>
          <w:szCs w:val="22"/>
        </w:rPr>
        <w:t xml:space="preserve">A.1  </w:t>
      </w:r>
      <w:r>
        <w:rPr>
          <w:rFonts w:ascii="Georgia" w:cs="Georgia" w:eastAsia="Georgia" w:hAnsi="Georgia"/>
          <w:b/>
          <w:bCs/>
          <w:sz w:val="22"/>
          <w:szCs w:val="22"/>
        </w:rPr>
        <w:t xml:space="preserve">Opening tweet: the paradox in one sentence</w:t>
      </w:r>
    </w:p>
    <w:p>
      <w:pPr>
        <w:shd w:fill="F7F4ED" w:val="clear"/>
        <w:spacing w:after="120"/>
        <w:ind w:left="360"/>
      </w:pPr>
      <w:r>
        <w:rPr>
          <w:rFonts w:ascii="Georgia" w:cs="Georgia" w:eastAsia="Georgia" w:hAnsi="Georgia"/>
          <w:sz w:val="22"/>
          <w:szCs w:val="22"/>
        </w:rPr>
        <w:t xml:space="preserve">Aave V3 grew $845 million in June. Almost none of it was USDC. USDC on Aave V3 actually fell $162 million.</w:t>
      </w:r>
    </w:p>
    <w:p>
      <w:pPr>
        <w:shd w:fill="F7F4ED" w:val="clear"/>
        <w:spacing w:after="120"/>
        <w:ind w:left="360"/>
      </w:pPr>
      <w:r>
        <w:rPr>
          <w:rFonts w:ascii="Georgia" w:cs="Georgia" w:eastAsia="Georgia" w:hAnsi="Georgia"/>
          <w:sz w:val="22"/>
          <w:szCs w:val="22"/>
        </w:rPr>
        <w:t xml:space="preserve">What arrived was collateral: wstETH, cbBTC, and stablecoins that aren't USDC.</w:t>
      </w:r>
    </w:p>
    <w:p>
      <w:pPr>
        <w:shd w:fill="F7F4ED" w:val="clear"/>
        <w:spacing w:after="120"/>
        <w:ind w:left="360"/>
      </w:pPr>
      <w:r>
        <w:rPr>
          <w:rFonts w:ascii="Georgia" w:cs="Georgia" w:eastAsia="Georgia" w:hAnsi="Georgia"/>
          <w:sz w:val="22"/>
          <w:szCs w:val="22"/>
        </w:rPr>
        <w:t xml:space="preserve">That tells us something important about who's still active on the biggest lending protocol on Ethereum. New report out now.</w:t>
      </w:r>
    </w:p>
    <w:p>
      <w:pPr>
        <w:spacing w:after="160"/>
        <w:ind w:left="360"/>
      </w:pPr>
      <w:r>
        <w:rPr>
          <w:rFonts w:ascii="Georgia" w:cs="Georgia" w:eastAsia="Georgia" w:hAnsi="Georgia"/>
          <w:i/>
          <w:iCs/>
          <w:color w:val="595959"/>
          <w:sz w:val="18"/>
          <w:szCs w:val="18"/>
        </w:rPr>
        <w:t xml:space="preserve">310 characters</w:t>
      </w:r>
    </w:p>
    <w:p>
      <w:pPr>
        <w:spacing w:after="120" w:before="280"/>
      </w:pPr>
      <w:r>
        <w:rPr>
          <w:rFonts w:ascii="Georgia" w:cs="Georgia" w:eastAsia="Georgia" w:hAnsi="Georgia"/>
          <w:b/>
          <w:bCs/>
          <w:color w:val="C5511A"/>
          <w:sz w:val="22"/>
          <w:szCs w:val="22"/>
        </w:rPr>
        <w:t xml:space="preserve">A.2  </w:t>
      </w:r>
      <w:r>
        <w:rPr>
          <w:rFonts w:ascii="Georgia" w:cs="Georgia" w:eastAsia="Georgia" w:hAnsi="Georgia"/>
          <w:b/>
          <w:bCs/>
          <w:sz w:val="22"/>
          <w:szCs w:val="22"/>
        </w:rPr>
        <w:t xml:space="preserve">Sector story: shrank in dollars, grew in tokens</w:t>
      </w:r>
    </w:p>
    <w:p>
      <w:pPr>
        <w:shd w:fill="F7F4ED" w:val="clear"/>
        <w:spacing w:after="120"/>
        <w:ind w:left="360"/>
      </w:pPr>
      <w:r>
        <w:rPr>
          <w:rFonts w:ascii="Georgia" w:cs="Georgia" w:eastAsia="Georgia" w:hAnsi="Georgia"/>
          <w:sz w:val="22"/>
          <w:szCs w:val="22"/>
        </w:rPr>
        <w:t xml:space="preserve">On paper, DeFi lending on Ethereum shrank $3.4 billion in June. But when I broke down the numbers, depositors actually ADDED $1.33 billion worth of tokens across the six major protocols.</w:t>
      </w:r>
    </w:p>
    <w:p>
      <w:pPr>
        <w:shd w:fill="F7F4ED" w:val="clear"/>
        <w:spacing w:after="120"/>
        <w:ind w:left="360"/>
      </w:pPr>
      <w:r>
        <w:rPr>
          <w:rFonts w:ascii="Georgia" w:cs="Georgia" w:eastAsia="Georgia" w:hAnsi="Georgia"/>
          <w:sz w:val="22"/>
          <w:szCs w:val="22"/>
        </w:rPr>
        <w:t xml:space="preserve">The gap is just prices: ETH fell 21% and dragged the dollar value of collateral down with it. Hold prices fixed and count tokens, and five of six protocols grew. Only Euler V2 saw outflow, and a small one at $21 million.</w:t>
      </w:r>
    </w:p>
    <w:p>
      <w:pPr>
        <w:spacing w:after="160"/>
        <w:ind w:left="360"/>
      </w:pPr>
      <w:r>
        <w:rPr>
          <w:rFonts w:ascii="Georgia" w:cs="Georgia" w:eastAsia="Georgia" w:hAnsi="Georgia"/>
          <w:i/>
          <w:iCs/>
          <w:color w:val="595959"/>
          <w:sz w:val="18"/>
          <w:szCs w:val="18"/>
        </w:rPr>
        <w:t xml:space="preserve">408 characters  ·  attach: twitter-promo-sector-paradox.png</w:t>
      </w:r>
    </w:p>
    <w:p>
      <w:pPr>
        <w:spacing w:after="120" w:before="280"/>
      </w:pPr>
      <w:r>
        <w:rPr>
          <w:rFonts w:ascii="Georgia" w:cs="Georgia" w:eastAsia="Georgia" w:hAnsi="Georgia"/>
          <w:b/>
          <w:bCs/>
          <w:color w:val="C5511A"/>
          <w:sz w:val="22"/>
          <w:szCs w:val="22"/>
        </w:rPr>
        <w:t xml:space="preserve">A.3  </w:t>
      </w:r>
      <w:r>
        <w:rPr>
          <w:rFonts w:ascii="Georgia" w:cs="Georgia" w:eastAsia="Georgia" w:hAnsi="Georgia"/>
          <w:b/>
          <w:bCs/>
          <w:sz w:val="22"/>
          <w:szCs w:val="22"/>
        </w:rPr>
        <w:t xml:space="preserve">Aave V3 wrong-asset finding</w:t>
      </w:r>
    </w:p>
    <w:p>
      <w:pPr>
        <w:shd w:fill="F7F4ED" w:val="clear"/>
        <w:spacing w:after="120"/>
        <w:ind w:left="360"/>
      </w:pPr>
      <w:r>
        <w:rPr>
          <w:rFonts w:ascii="Georgia" w:cs="Georgia" w:eastAsia="Georgia" w:hAnsi="Georgia"/>
          <w:sz w:val="22"/>
          <w:szCs w:val="22"/>
        </w:rPr>
        <w:t xml:space="preserve">The $845 million that flowed into Aave V3 in June wasn't chasing yield. It couldn't have been: Aave paid 41 bps LESS than a US T-bill on USDC all month.</w:t>
      </w:r>
    </w:p>
    <w:p>
      <w:pPr>
        <w:shd w:fill="F7F4ED" w:val="clear"/>
        <w:spacing w:after="120"/>
        <w:ind w:left="360"/>
      </w:pPr>
      <w:r>
        <w:rPr>
          <w:rFonts w:ascii="Georgia" w:cs="Georgia" w:eastAsia="Georgia" w:hAnsi="Georgia"/>
          <w:sz w:val="22"/>
          <w:szCs w:val="22"/>
        </w:rPr>
        <w:t xml:space="preserve">The inflow list: $452M wstETH, $143M cbBTC, $104M USDTB, $99M USDT. That's collateral, not savings. People post collateral where they can borrow deepest, and no venue has a deeper borrow book than Aave. The growth is the borrow side pulling assets in.</w:t>
      </w:r>
    </w:p>
    <w:p>
      <w:pPr>
        <w:spacing w:after="160"/>
        <w:ind w:left="360"/>
      </w:pPr>
      <w:r>
        <w:rPr>
          <w:rFonts w:ascii="Georgia" w:cs="Georgia" w:eastAsia="Georgia" w:hAnsi="Georgia"/>
          <w:i/>
          <w:iCs/>
          <w:color w:val="595959"/>
          <w:sz w:val="18"/>
          <w:szCs w:val="18"/>
        </w:rPr>
        <w:t xml:space="preserve">405 characters  ·  attach: twitter-promo-aave-wrong-asset.png</w:t>
      </w:r>
    </w:p>
    <w:p>
      <w:pPr>
        <w:spacing w:after="120" w:before="280"/>
      </w:pPr>
      <w:r>
        <w:rPr>
          <w:rFonts w:ascii="Georgia" w:cs="Georgia" w:eastAsia="Georgia" w:hAnsi="Georgia"/>
          <w:b/>
          <w:bCs/>
          <w:color w:val="C5511A"/>
          <w:sz w:val="22"/>
          <w:szCs w:val="22"/>
        </w:rPr>
        <w:t xml:space="preserve">A.4  </w:t>
      </w:r>
      <w:r>
        <w:rPr>
          <w:rFonts w:ascii="Georgia" w:cs="Georgia" w:eastAsia="Georgia" w:hAnsi="Georgia"/>
          <w:b/>
          <w:bCs/>
          <w:sz w:val="22"/>
          <w:szCs w:val="22"/>
        </w:rPr>
        <w:t xml:space="preserve">Fluid rate leadership and the 50-to-1 ratio</w:t>
      </w:r>
    </w:p>
    <w:p>
      <w:pPr>
        <w:shd w:fill="F7F4ED" w:val="clear"/>
        <w:spacing w:after="120"/>
        <w:ind w:left="360"/>
      </w:pPr>
      <w:r>
        <w:rPr>
          <w:rFonts w:ascii="Georgia" w:cs="Georgia" w:eastAsia="Georgia" w:hAnsi="Georgia"/>
          <w:sz w:val="22"/>
          <w:szCs w:val="22"/>
        </w:rPr>
        <w:t xml:space="preserve">Here's the strongest single signal in the June data.</w:t>
      </w:r>
    </w:p>
    <w:p>
      <w:pPr>
        <w:shd w:fill="F7F4ED" w:val="clear"/>
        <w:spacing w:after="120"/>
        <w:ind w:left="360"/>
      </w:pPr>
      <w:r>
        <w:rPr>
          <w:rFonts w:ascii="Georgia" w:cs="Georgia" w:eastAsia="Georgia" w:hAnsi="Georgia"/>
          <w:sz w:val="22"/>
          <w:szCs w:val="22"/>
        </w:rPr>
        <w:t xml:space="preserve">Fluid paid 6.41% on USDC, a full 281 bps ABOVE the T-bill and the only positive real yield on USDC in the sector. Aave V3 paid 3.19%, 41 bps below.</w:t>
      </w:r>
    </w:p>
    <w:p>
      <w:pPr>
        <w:shd w:fill="F7F4ED" w:val="clear"/>
        <w:spacing w:after="120"/>
        <w:ind w:left="360"/>
      </w:pPr>
      <w:r>
        <w:rPr>
          <w:rFonts w:ascii="Georgia" w:cs="Georgia" w:eastAsia="Georgia" w:hAnsi="Georgia"/>
          <w:sz w:val="22"/>
          <w:szCs w:val="22"/>
        </w:rPr>
        <w:t xml:space="preserve">Flow: Fluid took in $16 million. Aave took in $845 million. That's 50-to-1 in favor of the venue paying less. Depth beats rate right now, and it isn't close.</w:t>
      </w:r>
    </w:p>
    <w:p>
      <w:pPr>
        <w:spacing w:after="160"/>
        <w:ind w:left="360"/>
      </w:pPr>
      <w:r>
        <w:rPr>
          <w:rFonts w:ascii="Georgia" w:cs="Georgia" w:eastAsia="Georgia" w:hAnsi="Georgia"/>
          <w:i/>
          <w:iCs/>
          <w:color w:val="595959"/>
          <w:sz w:val="18"/>
          <w:szCs w:val="18"/>
        </w:rPr>
        <w:t xml:space="preserve">360 characters</w:t>
      </w:r>
    </w:p>
    <w:p>
      <w:pPr>
        <w:spacing w:after="120" w:before="280"/>
      </w:pPr>
      <w:r>
        <w:rPr>
          <w:rFonts w:ascii="Georgia" w:cs="Georgia" w:eastAsia="Georgia" w:hAnsi="Georgia"/>
          <w:b/>
          <w:bCs/>
          <w:color w:val="C5511A"/>
          <w:sz w:val="22"/>
          <w:szCs w:val="22"/>
        </w:rPr>
        <w:t xml:space="preserve">A.5  </w:t>
      </w:r>
      <w:r>
        <w:rPr>
          <w:rFonts w:ascii="Georgia" w:cs="Georgia" w:eastAsia="Georgia" w:hAnsi="Georgia"/>
          <w:b/>
          <w:bCs/>
          <w:sz w:val="22"/>
          <w:szCs w:val="22"/>
        </w:rPr>
        <w:t xml:space="preserve">Morpho methodology correction (personal and honest)</w:t>
      </w:r>
    </w:p>
    <w:p>
      <w:pPr>
        <w:shd w:fill="F7F4ED" w:val="clear"/>
        <w:spacing w:after="120"/>
        <w:ind w:left="360"/>
      </w:pPr>
      <w:r>
        <w:rPr>
          <w:rFonts w:ascii="Georgia" w:cs="Georgia" w:eastAsia="Georgia" w:hAnsi="Georgia"/>
          <w:sz w:val="22"/>
          <w:szCs w:val="22"/>
        </w:rPr>
        <w:t xml:space="preserve">Worth flagging: we got Morpho's concentration wrong in Issue 002, and the June report corrects it.</w:t>
      </w:r>
    </w:p>
    <w:p>
      <w:pPr>
        <w:shd w:fill="F7F4ED" w:val="clear"/>
        <w:spacing w:after="120"/>
        <w:ind w:left="360"/>
      </w:pPr>
      <w:r>
        <w:rPr>
          <w:rFonts w:ascii="Georgia" w:cs="Georgia" w:eastAsia="Georgia" w:hAnsi="Georgia"/>
          <w:sz w:val="22"/>
          <w:szCs w:val="22"/>
        </w:rPr>
        <w:t xml:space="preserve">Our May reading (HHI 3,103, top three curators at 93.9%; HHI is a standard concentration score, lower means less concentrated) only counted V1 vaults. Morpho runs two vault systems in parallel, and V2 was already the bigger one. Count both and Morpho is LESS concentrated than we reported, not more: HHI 2,095, top three at 74.6%. Sentora is still the largest curator.</w:t>
      </w:r>
    </w:p>
    <w:p>
      <w:pPr>
        <w:shd w:fill="F7F4ED" w:val="clear"/>
        <w:spacing w:after="120"/>
        <w:ind w:left="360"/>
      </w:pPr>
      <w:r>
        <w:rPr>
          <w:rFonts w:ascii="Georgia" w:cs="Georgia" w:eastAsia="Georgia" w:hAnsi="Georgia"/>
          <w:sz w:val="22"/>
          <w:szCs w:val="22"/>
        </w:rPr>
        <w:t xml:space="preserve">Corrections are part of the job. The thresholds are in the report so you can check our work.</w:t>
      </w:r>
    </w:p>
    <w:p>
      <w:pPr>
        <w:spacing w:after="160"/>
        <w:ind w:left="360"/>
      </w:pPr>
      <w:r>
        <w:rPr>
          <w:rFonts w:ascii="Georgia" w:cs="Georgia" w:eastAsia="Georgia" w:hAnsi="Georgia"/>
          <w:i/>
          <w:iCs/>
          <w:color w:val="595959"/>
          <w:sz w:val="18"/>
          <w:szCs w:val="18"/>
        </w:rPr>
        <w:t xml:space="preserve">562 characters</w:t>
      </w:r>
    </w:p>
    <w:p>
      <w:pPr>
        <w:spacing w:after="120" w:before="280"/>
      </w:pPr>
      <w:r>
        <w:rPr>
          <w:rFonts w:ascii="Georgia" w:cs="Georgia" w:eastAsia="Georgia" w:hAnsi="Georgia"/>
          <w:b/>
          <w:bCs/>
          <w:color w:val="C5511A"/>
          <w:sz w:val="22"/>
          <w:szCs w:val="22"/>
        </w:rPr>
        <w:t xml:space="preserve">A.6  </w:t>
      </w:r>
      <w:r>
        <w:rPr>
          <w:rFonts w:ascii="Georgia" w:cs="Georgia" w:eastAsia="Georgia" w:hAnsi="Georgia"/>
          <w:b/>
          <w:bCs/>
          <w:sz w:val="22"/>
          <w:szCs w:val="22"/>
        </w:rPr>
        <w:t xml:space="preserve">June 5 liquidation mechanism</w:t>
      </w:r>
    </w:p>
    <w:p>
      <w:pPr>
        <w:shd w:fill="F7F4ED" w:val="clear"/>
        <w:spacing w:after="120"/>
        <w:ind w:left="360"/>
      </w:pPr>
      <w:r>
        <w:rPr>
          <w:rFonts w:ascii="Georgia" w:cs="Georgia" w:eastAsia="Georgia" w:hAnsi="Georgia"/>
          <w:sz w:val="22"/>
          <w:szCs w:val="22"/>
        </w:rPr>
        <w:t xml:space="preserve">The Real Yield Spread printed positive on June 4. One day later it flipped, and it stayed negative for the rest of the month.</w:t>
      </w:r>
    </w:p>
    <w:p>
      <w:pPr>
        <w:shd w:fill="F7F4ED" w:val="clear"/>
        <w:spacing w:after="120"/>
        <w:ind w:left="360"/>
      </w:pPr>
      <w:r>
        <w:rPr>
          <w:rFonts w:ascii="Georgia" w:cs="Georgia" w:eastAsia="Georgia" w:hAnsi="Georgia"/>
          <w:sz w:val="22"/>
          <w:szCs w:val="22"/>
        </w:rPr>
        <w:t xml:space="preserve">June 5 is why: $128 million of collateral got liquidated across the sector in a single day, about 10x the trailing week's median. Forced repayments retire loans, utilization drops, borrow rates fall, and deposit yields compress right behind them. One bad day for borrowers set the yield regime for the month.</w:t>
      </w:r>
    </w:p>
    <w:p>
      <w:pPr>
        <w:spacing w:after="160"/>
        <w:ind w:left="360"/>
      </w:pPr>
      <w:r>
        <w:rPr>
          <w:rFonts w:ascii="Georgia" w:cs="Georgia" w:eastAsia="Georgia" w:hAnsi="Georgia"/>
          <w:i/>
          <w:iCs/>
          <w:color w:val="595959"/>
          <w:sz w:val="18"/>
          <w:szCs w:val="18"/>
        </w:rPr>
        <w:t xml:space="preserve">435 characters</w:t>
      </w:r>
    </w:p>
    <w:p>
      <w:pPr>
        <w:spacing w:after="120" w:before="280"/>
      </w:pPr>
      <w:r>
        <w:rPr>
          <w:rFonts w:ascii="Georgia" w:cs="Georgia" w:eastAsia="Georgia" w:hAnsi="Georgia"/>
          <w:b/>
          <w:bCs/>
          <w:color w:val="C5511A"/>
          <w:sz w:val="22"/>
          <w:szCs w:val="22"/>
        </w:rPr>
        <w:t xml:space="preserve">A.7  </w:t>
      </w:r>
      <w:r>
        <w:rPr>
          <w:rFonts w:ascii="Georgia" w:cs="Georgia" w:eastAsia="Georgia" w:hAnsi="Georgia"/>
          <w:b/>
          <w:bCs/>
          <w:sz w:val="22"/>
          <w:szCs w:val="22"/>
        </w:rPr>
        <w:t xml:space="preserve">Closing and report link</w:t>
      </w:r>
    </w:p>
    <w:p>
      <w:pPr>
        <w:shd w:fill="F7F4ED" w:val="clear"/>
        <w:spacing w:after="120"/>
        <w:ind w:left="360"/>
      </w:pPr>
      <w:r>
        <w:rPr>
          <w:rFonts w:ascii="Georgia" w:cs="Georgia" w:eastAsia="Georgia" w:hAnsi="Georgia"/>
          <w:sz w:val="22"/>
          <w:szCs w:val="22"/>
        </w:rPr>
        <w:t xml:space="preserve">Full breakdown of June's DeFi lending picture is live: the yield inversion, where the $1.33 billion went, the Morpho correction, and what we're watching for July. Charts, tables, everything.</w:t>
      </w:r>
    </w:p>
    <w:p>
      <w:pPr>
        <w:shd w:fill="F7F4ED" w:val="clear"/>
        <w:spacing w:after="120"/>
        <w:ind w:left="360"/>
      </w:pPr>
      <w:r>
        <w:rPr>
          <w:rFonts w:ascii="Georgia" w:cs="Georgia" w:eastAsia="Georgia" w:hAnsi="Georgia"/>
          <w:sz w:val="22"/>
          <w:szCs w:val="22"/>
        </w:rPr>
        <w:t xml:space="preserve">https://lending-intelligence-terminal.vercel.app/reports/2026-06-june</w:t>
      </w:r>
    </w:p>
    <w:p>
      <w:pPr>
        <w:spacing w:after="160"/>
        <w:ind w:left="360"/>
      </w:pPr>
      <w:r>
        <w:rPr>
          <w:rFonts w:ascii="Georgia" w:cs="Georgia" w:eastAsia="Georgia" w:hAnsi="Georgia"/>
          <w:i/>
          <w:iCs/>
          <w:color w:val="595959"/>
          <w:sz w:val="18"/>
          <w:szCs w:val="18"/>
        </w:rPr>
        <w:t xml:space="preserve">261 characters</w:t>
      </w:r>
    </w:p>
    <w:p>
      <w:pPr>
        <w:pStyle w:val="Heading1"/>
        <w:spacing w:after="200" w:before="400"/>
      </w:pPr>
      <w:r>
        <w:rPr>
          <w:rFonts w:ascii="Georgia" w:cs="Georgia" w:eastAsia="Georgia" w:hAnsi="Georgia"/>
          <w:b/>
          <w:bCs/>
          <w:color w:val="0E1B2C"/>
          <w:sz w:val="32"/>
          <w:szCs w:val="32"/>
        </w:rPr>
        <w:t xml:space="preserve">Section B: Datum Labs X profile (agency voice)</w:t>
      </w:r>
    </w:p>
    <w:p>
      <w:pPr>
        <w:spacing w:after="160"/>
      </w:pPr>
      <w:r>
        <w:rPr>
          <w:rFonts w:ascii="Georgia" w:cs="Georgia" w:eastAsia="Georgia" w:hAnsi="Georgia"/>
          <w:i/>
          <w:iCs/>
          <w:color w:val="595959"/>
          <w:sz w:val="22"/>
          <w:szCs w:val="22"/>
        </w:rPr>
        <w:t xml:space="preserve">Declarative, third person, snapshot-dated figures. Emphasis on the finding, not the analyst. Post as standalone tweets or as a launch thread in this order.</w:t>
      </w:r>
    </w:p>
    <w:p>
      <w:pPr>
        <w:spacing w:after="120" w:before="280"/>
      </w:pPr>
      <w:r>
        <w:rPr>
          <w:rFonts w:ascii="Georgia" w:cs="Georgia" w:eastAsia="Georgia" w:hAnsi="Georgia"/>
          <w:b/>
          <w:bCs/>
          <w:color w:val="C5511A"/>
          <w:sz w:val="22"/>
          <w:szCs w:val="22"/>
        </w:rPr>
        <w:t xml:space="preserve">B.1  </w:t>
      </w:r>
      <w:r>
        <w:rPr>
          <w:rFonts w:ascii="Georgia" w:cs="Georgia" w:eastAsia="Georgia" w:hAnsi="Georgia"/>
          <w:b/>
          <w:bCs/>
          <w:sz w:val="22"/>
          <w:szCs w:val="22"/>
        </w:rPr>
        <w:t xml:space="preserve">Opening</w:t>
      </w:r>
    </w:p>
    <w:p>
      <w:pPr>
        <w:shd w:fill="F7F4ED" w:val="clear"/>
        <w:spacing w:after="120"/>
        <w:ind w:left="360"/>
      </w:pPr>
      <w:r>
        <w:rPr>
          <w:rFonts w:ascii="Georgia" w:cs="Georgia" w:eastAsia="Georgia" w:hAnsi="Georgia"/>
          <w:sz w:val="22"/>
          <w:szCs w:val="22"/>
        </w:rPr>
        <w:t xml:space="preserve">Datum Labs Issue 003 is live. The June 2026 reading across Ethereum's six largest lending protocols: consolidation under yield compression.</w:t>
      </w:r>
    </w:p>
    <w:p>
      <w:pPr>
        <w:shd w:fill="F7F4ED" w:val="clear"/>
        <w:spacing w:after="120"/>
        <w:ind w:left="360"/>
      </w:pPr>
      <w:r>
        <w:rPr>
          <w:rFonts w:ascii="Georgia" w:cs="Georgia" w:eastAsia="Georgia" w:hAnsi="Georgia"/>
          <w:sz w:val="22"/>
          <w:szCs w:val="22"/>
        </w:rPr>
        <w:t xml:space="preserve">Aave V3 grew $845 million while its USDC book contracted. The Real Yield Spread closed at −37.1 bps. Two protocols absorbed 94.5% of sector inflow.</w:t>
      </w:r>
    </w:p>
    <w:p>
      <w:pPr>
        <w:spacing w:after="160"/>
        <w:ind w:left="360"/>
      </w:pPr>
      <w:r>
        <w:rPr>
          <w:rFonts w:ascii="Georgia" w:cs="Georgia" w:eastAsia="Georgia" w:hAnsi="Georgia"/>
          <w:i/>
          <w:iCs/>
          <w:color w:val="595959"/>
          <w:sz w:val="18"/>
          <w:szCs w:val="18"/>
        </w:rPr>
        <w:t xml:space="preserve">288 characters  ·  attach: twitter-promo-concentration-94-5.png</w:t>
      </w:r>
    </w:p>
    <w:p>
      <w:pPr>
        <w:spacing w:after="120" w:before="280"/>
      </w:pPr>
      <w:r>
        <w:rPr>
          <w:rFonts w:ascii="Georgia" w:cs="Georgia" w:eastAsia="Georgia" w:hAnsi="Georgia"/>
          <w:b/>
          <w:bCs/>
          <w:color w:val="C5511A"/>
          <w:sz w:val="22"/>
          <w:szCs w:val="22"/>
        </w:rPr>
        <w:t xml:space="preserve">B.2  </w:t>
      </w:r>
      <w:r>
        <w:rPr>
          <w:rFonts w:ascii="Georgia" w:cs="Georgia" w:eastAsia="Georgia" w:hAnsi="Georgia"/>
          <w:b/>
          <w:bCs/>
          <w:sz w:val="22"/>
          <w:szCs w:val="22"/>
        </w:rPr>
        <w:t xml:space="preserve">Sector +$1.33B</w:t>
      </w:r>
    </w:p>
    <w:p>
      <w:pPr>
        <w:shd w:fill="F7F4ED" w:val="clear"/>
        <w:spacing w:after="120"/>
        <w:ind w:left="360"/>
      </w:pPr>
      <w:r>
        <w:rPr>
          <w:rFonts w:ascii="Georgia" w:cs="Georgia" w:eastAsia="Georgia" w:hAnsi="Georgia"/>
          <w:sz w:val="22"/>
          <w:szCs w:val="22"/>
        </w:rPr>
        <w:t xml:space="preserve">Sector constant-price flow, June 2026: +$1.33 billion across six protocols, five positive.</w:t>
      </w:r>
    </w:p>
    <w:p>
      <w:pPr>
        <w:shd w:fill="F7F4ED" w:val="clear"/>
        <w:spacing w:after="120"/>
        <w:ind w:left="360"/>
      </w:pPr>
      <w:r>
        <w:rPr>
          <w:rFonts w:ascii="Georgia" w:cs="Georgia" w:eastAsia="Georgia" w:hAnsi="Georgia"/>
          <w:sz w:val="22"/>
          <w:szCs w:val="22"/>
        </w:rPr>
        <w:t xml:space="preserve">Aave V3 +$845M. SparkLend +$415M. Compound V3 +$59M. Morpho +$20M. Fluid +$16M. Euler V2 −$21M.</w:t>
      </w:r>
    </w:p>
    <w:p>
      <w:pPr>
        <w:shd w:fill="F7F4ED" w:val="clear"/>
        <w:spacing w:after="120"/>
        <w:ind w:left="360"/>
      </w:pPr>
      <w:r>
        <w:rPr>
          <w:rFonts w:ascii="Georgia" w:cs="Georgia" w:eastAsia="Georgia" w:hAnsi="Georgia"/>
          <w:sz w:val="22"/>
          <w:szCs w:val="22"/>
        </w:rPr>
        <w:t xml:space="preserve">Nominal supply fell $3.41 billion across the same window. The wedge is mark-to-market on ETH-family collateral, not depositor exit.</w:t>
      </w:r>
    </w:p>
    <w:p>
      <w:pPr>
        <w:spacing w:after="160"/>
        <w:ind w:left="360"/>
      </w:pPr>
      <w:r>
        <w:rPr>
          <w:rFonts w:ascii="Georgia" w:cs="Georgia" w:eastAsia="Georgia" w:hAnsi="Georgia"/>
          <w:i/>
          <w:iCs/>
          <w:color w:val="595959"/>
          <w:sz w:val="18"/>
          <w:szCs w:val="18"/>
        </w:rPr>
        <w:t xml:space="preserve">320 characters  ·  attach: twitter-promo-sector-paradox.png</w:t>
      </w:r>
    </w:p>
    <w:p>
      <w:pPr>
        <w:spacing w:after="120" w:before="280"/>
      </w:pPr>
      <w:r>
        <w:rPr>
          <w:rFonts w:ascii="Georgia" w:cs="Georgia" w:eastAsia="Georgia" w:hAnsi="Georgia"/>
          <w:b/>
          <w:bCs/>
          <w:color w:val="C5511A"/>
          <w:sz w:val="22"/>
          <w:szCs w:val="22"/>
        </w:rPr>
        <w:t xml:space="preserve">B.3  </w:t>
      </w:r>
      <w:r>
        <w:rPr>
          <w:rFonts w:ascii="Georgia" w:cs="Georgia" w:eastAsia="Georgia" w:hAnsi="Georgia"/>
          <w:b/>
          <w:bCs/>
          <w:sz w:val="22"/>
          <w:szCs w:val="22"/>
        </w:rPr>
        <w:t xml:space="preserve">Aave V3 composition</w:t>
      </w:r>
    </w:p>
    <w:p>
      <w:pPr>
        <w:shd w:fill="F7F4ED" w:val="clear"/>
        <w:spacing w:after="120"/>
        <w:ind w:left="360"/>
      </w:pPr>
      <w:r>
        <w:rPr>
          <w:rFonts w:ascii="Georgia" w:cs="Georgia" w:eastAsia="Georgia" w:hAnsi="Georgia"/>
          <w:sz w:val="22"/>
          <w:szCs w:val="22"/>
        </w:rPr>
        <w:t xml:space="preserve">Aave V3's June inflow arrived as collateral, not stablecoin yield-seeking.</w:t>
      </w:r>
    </w:p>
    <w:p>
      <w:pPr>
        <w:shd w:fill="F7F4ED" w:val="clear"/>
        <w:spacing w:after="120"/>
        <w:ind w:left="360"/>
      </w:pPr>
      <w:r>
        <w:rPr>
          <w:rFonts w:ascii="Georgia" w:cs="Georgia" w:eastAsia="Georgia" w:hAnsi="Georgia"/>
          <w:sz w:val="22"/>
          <w:szCs w:val="22"/>
        </w:rPr>
        <w:t xml:space="preserve">Composition of the +$845M at constant prices: wstETH +$452M, cbBTC +$143M, USDTB +$104M, USDT +$99M. USDC: −$162M.</w:t>
      </w:r>
    </w:p>
    <w:p>
      <w:pPr>
        <w:shd w:fill="F7F4ED" w:val="clear"/>
        <w:spacing w:after="120"/>
        <w:ind w:left="360"/>
      </w:pPr>
      <w:r>
        <w:rPr>
          <w:rFonts w:ascii="Georgia" w:cs="Georgia" w:eastAsia="Georgia" w:hAnsi="Georgia"/>
          <w:sz w:val="22"/>
          <w:szCs w:val="22"/>
        </w:rPr>
        <w:t xml:space="preserve">The protocol's USDC supply APY ran 41 bps below the 4-week T-bill through June.</w:t>
      </w:r>
    </w:p>
    <w:p>
      <w:pPr>
        <w:spacing w:after="160"/>
        <w:ind w:left="360"/>
      </w:pPr>
      <w:r>
        <w:rPr>
          <w:rFonts w:ascii="Georgia" w:cs="Georgia" w:eastAsia="Georgia" w:hAnsi="Georgia"/>
          <w:i/>
          <w:iCs/>
          <w:color w:val="595959"/>
          <w:sz w:val="18"/>
          <w:szCs w:val="18"/>
        </w:rPr>
        <w:t xml:space="preserve">271 characters  ·  attach: twitter-promo-aave-wrong-asset.png</w:t>
      </w:r>
    </w:p>
    <w:p>
      <w:pPr>
        <w:spacing w:after="120" w:before="280"/>
      </w:pPr>
      <w:r>
        <w:rPr>
          <w:rFonts w:ascii="Georgia" w:cs="Georgia" w:eastAsia="Georgia" w:hAnsi="Georgia"/>
          <w:b/>
          <w:bCs/>
          <w:color w:val="C5511A"/>
          <w:sz w:val="22"/>
          <w:szCs w:val="22"/>
        </w:rPr>
        <w:t xml:space="preserve">B.4  </w:t>
      </w:r>
      <w:r>
        <w:rPr>
          <w:rFonts w:ascii="Georgia" w:cs="Georgia" w:eastAsia="Georgia" w:hAnsi="Georgia"/>
          <w:b/>
          <w:bCs/>
          <w:sz w:val="22"/>
          <w:szCs w:val="22"/>
        </w:rPr>
        <w:t xml:space="preserve">Fluid rate leadership</w:t>
      </w:r>
    </w:p>
    <w:p>
      <w:pPr>
        <w:shd w:fill="F7F4ED" w:val="clear"/>
        <w:spacing w:after="120"/>
        <w:ind w:left="360"/>
      </w:pPr>
      <w:r>
        <w:rPr>
          <w:rFonts w:ascii="Georgia" w:cs="Georgia" w:eastAsia="Georgia" w:hAnsi="Georgia"/>
          <w:sz w:val="22"/>
          <w:szCs w:val="22"/>
        </w:rPr>
        <w:t xml:space="preserve">Fluid closed June 2026 as the sector's only positive real yield spread on USDC: 6.41% supply APY, 281 bps above the 4-week T-bill.</w:t>
      </w:r>
    </w:p>
    <w:p>
      <w:pPr>
        <w:shd w:fill="F7F4ED" w:val="clear"/>
        <w:spacing w:after="120"/>
        <w:ind w:left="360"/>
      </w:pPr>
      <w:r>
        <w:rPr>
          <w:rFonts w:ascii="Georgia" w:cs="Georgia" w:eastAsia="Georgia" w:hAnsi="Georgia"/>
          <w:sz w:val="22"/>
          <w:szCs w:val="22"/>
        </w:rPr>
        <w:t xml:space="preserve">Net constant-price inflow for the month: $16 million, against Aave V3's $845 million protocol total. Rate leadership did not convert to scale flow in June.</w:t>
      </w:r>
    </w:p>
    <w:p>
      <w:pPr>
        <w:spacing w:after="160"/>
        <w:ind w:left="360"/>
      </w:pPr>
      <w:r>
        <w:rPr>
          <w:rFonts w:ascii="Georgia" w:cs="Georgia" w:eastAsia="Georgia" w:hAnsi="Georgia"/>
          <w:i/>
          <w:iCs/>
          <w:color w:val="595959"/>
          <w:sz w:val="18"/>
          <w:szCs w:val="18"/>
        </w:rPr>
        <w:t xml:space="preserve">287 characters</w:t>
      </w:r>
    </w:p>
    <w:p>
      <w:pPr>
        <w:spacing w:after="120" w:before="280"/>
      </w:pPr>
      <w:r>
        <w:rPr>
          <w:rFonts w:ascii="Georgia" w:cs="Georgia" w:eastAsia="Georgia" w:hAnsi="Georgia"/>
          <w:b/>
          <w:bCs/>
          <w:color w:val="C5511A"/>
          <w:sz w:val="22"/>
          <w:szCs w:val="22"/>
        </w:rPr>
        <w:t xml:space="preserve">B.5  </w:t>
      </w:r>
      <w:r>
        <w:rPr>
          <w:rFonts w:ascii="Georgia" w:cs="Georgia" w:eastAsia="Georgia" w:hAnsi="Georgia"/>
          <w:b/>
          <w:bCs/>
          <w:sz w:val="22"/>
          <w:szCs w:val="22"/>
        </w:rPr>
        <w:t xml:space="preserve">Morpho methodology correction (agency voice)</w:t>
      </w:r>
    </w:p>
    <w:p>
      <w:pPr>
        <w:shd w:fill="F7F4ED" w:val="clear"/>
        <w:spacing w:after="120"/>
        <w:ind w:left="360"/>
      </w:pPr>
      <w:r>
        <w:rPr>
          <w:rFonts w:ascii="Georgia" w:cs="Georgia" w:eastAsia="Georgia" w:hAnsi="Georgia"/>
          <w:sz w:val="22"/>
          <w:szCs w:val="22"/>
        </w:rPr>
        <w:t xml:space="preserve">Datum Labs Issue 003 files an erratum on Issue 002's Morpho curator reading.</w:t>
      </w:r>
    </w:p>
    <w:p>
      <w:pPr>
        <w:shd w:fill="F7F4ED" w:val="clear"/>
        <w:spacing w:after="120"/>
        <w:ind w:left="360"/>
      </w:pPr>
      <w:r>
        <w:rPr>
          <w:rFonts w:ascii="Georgia" w:cs="Georgia" w:eastAsia="Georgia" w:hAnsi="Georgia"/>
          <w:sz w:val="22"/>
          <w:szCs w:val="22"/>
        </w:rPr>
        <w:t xml:space="preserve">The May 31 figure (HHI 3,103, top-three share 93.9%) measured the V1 vault system only. Measured across V1 and V2 combined, June 30 reads HHI 2,095 with a top-three share of 74.6%; May 31 re-measured reads 2,144. Morpho's curator layer is less concentrated than previously reported. Forward readings run on the combined methodology.</w:t>
      </w:r>
    </w:p>
    <w:p>
      <w:pPr>
        <w:spacing w:after="160"/>
        <w:ind w:left="360"/>
      </w:pPr>
      <w:r>
        <w:rPr>
          <w:rFonts w:ascii="Georgia" w:cs="Georgia" w:eastAsia="Georgia" w:hAnsi="Georgia"/>
          <w:i/>
          <w:iCs/>
          <w:color w:val="595959"/>
          <w:sz w:val="18"/>
          <w:szCs w:val="18"/>
        </w:rPr>
        <w:t xml:space="preserve">410 characters</w:t>
      </w:r>
    </w:p>
    <w:p>
      <w:pPr>
        <w:spacing w:after="120" w:before="280"/>
      </w:pPr>
      <w:r>
        <w:rPr>
          <w:rFonts w:ascii="Georgia" w:cs="Georgia" w:eastAsia="Georgia" w:hAnsi="Georgia"/>
          <w:b/>
          <w:bCs/>
          <w:color w:val="C5511A"/>
          <w:sz w:val="22"/>
          <w:szCs w:val="22"/>
        </w:rPr>
        <w:t xml:space="preserve">B.6  </w:t>
      </w:r>
      <w:r>
        <w:rPr>
          <w:rFonts w:ascii="Georgia" w:cs="Georgia" w:eastAsia="Georgia" w:hAnsi="Georgia"/>
          <w:b/>
          <w:bCs/>
          <w:sz w:val="22"/>
          <w:szCs w:val="22"/>
        </w:rPr>
        <w:t xml:space="preserve">June 5 as trigger</w:t>
      </w:r>
    </w:p>
    <w:p>
      <w:pPr>
        <w:shd w:fill="F7F4ED" w:val="clear"/>
        <w:spacing w:after="120"/>
        <w:ind w:left="360"/>
      </w:pPr>
      <w:r>
        <w:rPr>
          <w:rFonts w:ascii="Georgia" w:cs="Georgia" w:eastAsia="Georgia" w:hAnsi="Georgia"/>
          <w:sz w:val="22"/>
          <w:szCs w:val="22"/>
        </w:rPr>
        <w:t xml:space="preserve">June 5, 2026: $128.31 million of collateral seized across 1,766 liquidation events, 10.25 times the trailing seven-day median, distributed across five of six covered protocols.</w:t>
      </w:r>
    </w:p>
    <w:p>
      <w:pPr>
        <w:shd w:fill="F7F4ED" w:val="clear"/>
        <w:spacing w:after="120"/>
        <w:ind w:left="360"/>
      </w:pPr>
      <w:r>
        <w:rPr>
          <w:rFonts w:ascii="Georgia" w:cs="Georgia" w:eastAsia="Georgia" w:hAnsi="Georgia"/>
          <w:sz w:val="22"/>
          <w:szCs w:val="22"/>
        </w:rPr>
        <w:t xml:space="preserve">The mechanical trigger for the June Real Yield Spread inversion. The spread printed +42.0 bps on June 4 and stayed negative from June 5 through month-end.</w:t>
      </w:r>
    </w:p>
    <w:p>
      <w:pPr>
        <w:spacing w:after="160"/>
        <w:ind w:left="360"/>
      </w:pPr>
      <w:r>
        <w:rPr>
          <w:rFonts w:ascii="Georgia" w:cs="Georgia" w:eastAsia="Georgia" w:hAnsi="Georgia"/>
          <w:i/>
          <w:iCs/>
          <w:color w:val="595959"/>
          <w:sz w:val="18"/>
          <w:szCs w:val="18"/>
        </w:rPr>
        <w:t xml:space="preserve">332 characters</w:t>
      </w:r>
    </w:p>
    <w:p>
      <w:pPr>
        <w:spacing w:after="120" w:before="280"/>
      </w:pPr>
      <w:r>
        <w:rPr>
          <w:rFonts w:ascii="Georgia" w:cs="Georgia" w:eastAsia="Georgia" w:hAnsi="Georgia"/>
          <w:b/>
          <w:bCs/>
          <w:color w:val="C5511A"/>
          <w:sz w:val="22"/>
          <w:szCs w:val="22"/>
        </w:rPr>
        <w:t xml:space="preserve">B.7  </w:t>
      </w:r>
      <w:r>
        <w:rPr>
          <w:rFonts w:ascii="Georgia" w:cs="Georgia" w:eastAsia="Georgia" w:hAnsi="Georgia"/>
          <w:b/>
          <w:bCs/>
          <w:sz w:val="22"/>
          <w:szCs w:val="22"/>
        </w:rPr>
        <w:t xml:space="preserve">Closing and report link</w:t>
      </w:r>
    </w:p>
    <w:p>
      <w:pPr>
        <w:shd w:fill="F7F4ED" w:val="clear"/>
        <w:spacing w:after="120"/>
        <w:ind w:left="360"/>
      </w:pPr>
      <w:r>
        <w:rPr>
          <w:rFonts w:ascii="Georgia" w:cs="Georgia" w:eastAsia="Georgia" w:hAnsi="Georgia"/>
          <w:sz w:val="22"/>
          <w:szCs w:val="22"/>
        </w:rPr>
        <w:t xml:space="preserve">Issue 003, State of DeFi Lending on Ethereum, June 2026: six protocol deep dives, the LRT reprice decomposition, and six falsifiable calls for July.</w:t>
      </w:r>
    </w:p>
    <w:p>
      <w:pPr>
        <w:shd w:fill="F7F4ED" w:val="clear"/>
        <w:spacing w:after="120"/>
        <w:ind w:left="360"/>
      </w:pPr>
      <w:r>
        <w:rPr>
          <w:rFonts w:ascii="Georgia" w:cs="Georgia" w:eastAsia="Georgia" w:hAnsi="Georgia"/>
          <w:sz w:val="22"/>
          <w:szCs w:val="22"/>
        </w:rPr>
        <w:t xml:space="preserve">Full analysis at datumlab.xyz.</w:t>
      </w:r>
    </w:p>
    <w:p>
      <w:pPr>
        <w:spacing w:after="160"/>
        <w:ind w:left="360"/>
      </w:pPr>
      <w:r>
        <w:rPr>
          <w:rFonts w:ascii="Georgia" w:cs="Georgia" w:eastAsia="Georgia" w:hAnsi="Georgia"/>
          <w:i/>
          <w:iCs/>
          <w:color w:val="595959"/>
          <w:sz w:val="18"/>
          <w:szCs w:val="18"/>
        </w:rPr>
        <w:t xml:space="preserve">180 characters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2026-07-08T11:55:02.206Z</dcterms:created>
  <dcterms:modified xsi:type="dcterms:W3CDTF">2026-07-08T11:55:02.208Z</dcterms:modified>
</cp:coreProperties>
</file>

<file path=docProps/custom.xml><?xml version="1.0" encoding="utf-8"?>
<Properties xmlns="http://schemas.openxmlformats.org/officeDocument/2006/custom-properties" xmlns:vt="http://schemas.openxmlformats.org/officeDocument/2006/docPropsVTypes"/>
</file>