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mbria" w:cs="Cambria" w:eastAsia="Cambria" w:hAnsi="Cambria"/>
          <w:b/>
          <w:bCs/>
          <w:color w:val="0E1B2C"/>
          <w:sz w:val="40"/>
          <w:szCs w:val="40"/>
        </w:rPr>
        <w:t xml:space="preserve">Issue 004 Twitter: Joel personal profile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95959"/>
          <w:sz w:val="22"/>
          <w:szCs w:val="22"/>
        </w:rPr>
        <w:t xml:space="preserve">First person, sparing and analytical. Two threads plus three standalone tweets. Character counts noted; each standalone includes the report link.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Thread 1: the Aave collateral pattern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This is the second month I have watched Aave V3 carry the entire Ethereum lending sector. In July its +$649M net constant-price flow was effectively the whole story: the other five protocols netted −$96M.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204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T2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What keeps pulling me back to the composition is that almost none of it is USDC. weETH +$285M, sUSDe +$145M, WBTC +$124M. USDC actually shed $20M, USDT $62M. The growth is collateral.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183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T3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Collateral supplied at scale to the deepest borrow book on Ethereum reads one way to me: depositors are here to borrow against it. A 3.27% USDC rate, 33 bps under the T-bill, is not what pulls that capital in.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209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T4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part I did not expect at the start of this cycle is how durable it is. Two months, same shape: collateral in, base stablecoins and ETH flat to negative. That durability is what makes it a pattern rather than a liquidation echo.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231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T5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stablecoin growth that did happen went to the USDe complex, sUSDe and USDe and the Pendle forwards, while USDC and USDT drained. That composition shift is the quieter thread I want to keep watching.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T6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In August I am watching one reading: whether Aave keeps carrying the sector, or a month arrives where it goes flat and another protocol absorbs the inflow. That is what decides whether July was structural.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205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T7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 (link)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Full July report, charts and tables throughout.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123 characters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Standalone tweets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Sentora crossover as a vault-surface story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Sentora overtaking Steakhouse as Morpho's largest curator on Ethereum is a story about the vault surface, one level below protocol flow. Morpho took +$135M at the protocol level in July; underneath, Sentora consolidated from 27.65% in May to 33.56% in July on three concentrated V2 vaults. Across the full Morpho landscape, Steakhouse still leads on the strength of its Base book.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456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S.2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Fluid stickiness under rate compression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Fluid cut its USDC supply APY 175 bps in July, 6.41% to 4.66%, and still took +$26M of net flow. On a venue whose yield edge comes from capital that serves as both DEX and lending liquidity, depositors did not treat the cut as a reason to leave. Stickiness worth watching.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348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S.3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The late-cycle shape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Halved growth, a second month of climbing curator concentration, and real yield deepening to −75 bps below the T-bill. Put together, July reads to me as a late-cycle depositor market: the largest venues keep winning, and the new capital they win from keeps thinning.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342 characters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2026-08-06T11:30:24.083Z</dcterms:created>
  <dcterms:modified xsi:type="dcterms:W3CDTF">2026-08-06T11:30:24.083Z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