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0E1B2C"/>
          <w:sz w:val="40"/>
          <w:szCs w:val="40"/>
        </w:rPr>
        <w:t xml:space="preserve">Issue 003 Clip Pack: Consolidation Under Yield Compression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04040"/>
          <w:sz w:val="22"/>
          <w:szCs w:val="22"/>
        </w:rPr>
        <w:t xml:space="preserve">Twelve clips across two profiles for the June 2026 report. Section A runs on the personal profile, Section B on the Datum Labs profile. Character counts and card attachments noted under each clip. Promo cards live in public/reports/charts-social/.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Section A: Personal X profile</w:t>
      </w:r>
    </w:p>
    <w:p>
      <w:pPr>
        <w:spacing w:after="16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Personal profile, analyst register. Post as standalone tweets or as a thread in this order.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Opening: the paradox stated directly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added $845 million of net deposits in June. Its USDC book fell $162 million over the same month.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inflow was wstETH, cbBTC, and non-USDC stablecoins: collateral for the deepest borrow book on Ethereum, arriving while the headline USDC rate paid 41 bps under the T-bill.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New report out now.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302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Sector: both readings true at once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June's sector numbers, both true at once: total supply down $3.41 billion at spot prices, depositor quantity up $1.33 billion at constant prices.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ETH fell 21% and repriced every ETH-family collateral position. Five of six protocols grew in token terms. Euler V2 was the exception at −$21 million, spread across dozens of small vaults.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335 characters  ·  attach: twitter-promo-sector-paradox.png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Aave V3 composition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Composition of Aave V3's +$845M June inflow: wstETH +$452M, cbBTC +$143M, USDTB +$104M, USDT +$99M. USDC: −$162M.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protocol paid 3.19% on USDC against a 3.60% T-bill all month. The deposits that arrived are borrow-side collateral; the deposits that left were the ones the rate comparison actually touches.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309 characters  ·  attach: twitter-promo-aave-wrong-asset.png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Fluid and the 50-to-1 split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Fluid paid 6.41% on USDC in June, 281 bps over the 4-week T-bill and the sector's only positive real yield on the asset. Net June inflow: $16 million.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paid 41 bps under the same T-bill and drew $845 million.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 50-to-1 split toward the lower rate puts a number on what redemption depth is worth.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304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June 5 liquidation mechanism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Real Yield Spread printed +42 bps on June 4 and went negative on June 5, where it stayed through month-end.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Same day: $128 million of collateral liquidated sector-wide, 10x the trailing-week median. Forced repayments cut utilization, borrow rates slid down the curve, and deposit yields followed. One day set the month's rate regime.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338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Closing and report link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June's full picture is live: the re-inverted yield spread, $1.33 billion of constant-price inflow and where it landed, the LRT repricing, and the July thresholds that would falsify the read. Charts and tables throughout.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https://lending-intelligence-terminal.vercel.app/reports/2026-06-june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291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Section B: Datum Labs X profile</w:t>
      </w:r>
    </w:p>
    <w:p>
      <w:pPr>
        <w:spacing w:after="16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Agency profile: declarative, third person, snapshot-dated figures. Post as standalone tweets or as a launch thread in this order.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Opening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Datum Labs Issue 003 is live. June 2026 across Ethereum's six largest lending protocols: consolidation under yield compression.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grew $845 million while its USDC book contracted; the Real Yield Spread closed at −37.1 bps; two protocols absorbed 94.5% of sector inflow.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276 characters  ·  attach: twitter-promo-concentration-94-5.png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Sector +$1.33B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Sector constant-price flow, June 2026: +$1.33 billion, five of six protocols positive.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+$845M. SparkLend +$415M. Compound V3 +$59M. Morpho +$20M. Fluid +$16M. Euler V2 −$21M.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Nominal supply fell $3.41 billion over the same window; the gap is mark-to-market on ETH-family collateral.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292 characters  ·  attach: twitter-promo-sector-paradox.png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Aave V3 composition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V3's June inflow by asset, constant prices: wstETH +$452M, cbBTC +$143M, USDTB +$104M, USDT +$99M, USDC −$162M.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USDC supply APY ran 41 bps below the 4-week T-bill through the month. The book that grew is collateral against the sector's largest borrow market.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264 characters  ·  attach: twitter-promo-aave-wrong-asset.png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Fluid rate leadership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Fluid closed June 2026 with the sector's only positive real yield spread on USDC: 6.41% supply APY, 281 bps above the 4-week T-bill.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Net constant-price inflow for the month: $16 million, against $845 million at Aave V3. Rate leadership did not convert to scale flow.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267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June 5 as trigger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 5, 2026: $128.31 million of collateral seized across 1,766 liquidation events, 10.25x the trailing seven-day median, distributed across five of six covered protocols.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Real Yield Spread printed +42.0 bps on June 4 and held negative from June 5 through month-end.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271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Closing and report link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Issue 003, State of DeFi Lending on Ethereum, June 2026: six protocol deep dives, the LRT reprice decomposition, and falsifiable calls for July.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Full analysis at datumlab.xyz.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176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2026-07-08T13:06:50.121Z</dcterms:created>
  <dcterms:modified xsi:type="dcterms:W3CDTF">2026-07-08T13:06:50.129Z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