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mbria" w:cs="Cambria" w:eastAsia="Cambria" w:hAnsi="Cambria"/>
          <w:b/>
          <w:bCs/>
          <w:color w:val="0E1B2C"/>
          <w:sz w:val="40"/>
          <w:szCs w:val="40"/>
        </w:rPr>
        <w:t xml:space="preserve">Issue 004 Twitter: Joel personal profile</w:t>
      </w:r>
    </w:p>
    <w:p>
      <w:pPr>
        <w:spacing w:after="200"/>
      </w:pPr>
      <w:r>
        <w:rPr>
          <w:rFonts w:ascii="Cambria" w:cs="Cambria" w:eastAsia="Cambria" w:hAnsi="Cambria"/>
          <w:i/>
          <w:iCs/>
          <w:color w:val="595959"/>
          <w:sz w:val="22"/>
          <w:szCs w:val="22"/>
        </w:rPr>
        <w:t xml:space="preserve">First person, sparing and analytical. Two threads plus three standalone tweets. Character counts noted; each standalone includes the report link.</w:t>
      </w:r>
    </w:p>
    <w:p>
      <w:pPr>
        <w:pStyle w:val="Heading1"/>
        <w:spacing w:after="200" w:before="400"/>
      </w:pPr>
      <w:r>
        <w:rPr>
          <w:rFonts w:ascii="Cambria" w:cs="Cambria" w:eastAsia="Cambria" w:hAnsi="Cambria"/>
          <w:b/>
          <w:bCs/>
          <w:color w:val="0E1B2C"/>
          <w:sz w:val="32"/>
          <w:szCs w:val="32"/>
        </w:rPr>
        <w:t xml:space="preserve">Thread 1: the Aave collateral pattern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T1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This is the second month I have watched Aave V3 carry the entire Ethereum lending sector. In July its +$649M net constant-price flow was effectively the whole story: the other five protocols netted −$96M.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204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T2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What keeps pulling me back to the composition is that almost none of it is base stablecoins. weETH +$285M, WBTC +$124M, and sUSDe +$145M, which is a dollar but sits on Aave as collateral for the Ethena carry. USDC actually shed $20M, USDT $62M. The growth is collateral to borrow against, not lending supply.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308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T3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Collateral supplied at scale to the deepest borrow book on Ethereum reads one way to me: depositors are here to borrow against it. A 3.27% USDC rate, 33 bps under the T-bill, is not what pulls that capital in.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209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T4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The part I did not expect at the start of this cycle is how durable it is. Two months, same shape: collateral in, base stablecoins and ETH flat to negative. That durability is what makes it a pattern rather than a liquidation echo.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231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T5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The stablecoin growth that did happen went to the USDe complex, sUSDe and USDe and the Pendle forwards, while USDC and USDT drained. That composition shift is the quieter thread I want to keep watching.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202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T6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In August I am watching one reading: whether Aave keeps carrying the sector, or a month arrives where it goes flat and another protocol absorbs the inflow. That is what decides whether July was structural.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205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T7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Thread 1 (link)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Full July report, charts and tables throughout.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123 characters</w:t>
      </w:r>
    </w:p>
    <w:p>
      <w:pPr>
        <w:pStyle w:val="Heading1"/>
        <w:spacing w:after="200" w:before="400"/>
      </w:pPr>
      <w:r>
        <w:rPr>
          <w:rFonts w:ascii="Cambria" w:cs="Cambria" w:eastAsia="Cambria" w:hAnsi="Cambria"/>
          <w:b/>
          <w:bCs/>
          <w:color w:val="0E1B2C"/>
          <w:sz w:val="32"/>
          <w:szCs w:val="32"/>
        </w:rPr>
        <w:t xml:space="preserve">Standalone tweets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S.1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Sentora crossover as a vault-surface story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Sentora overtaking Steakhouse as Morpho's largest curator on Ethereum is a story about the vault surface, one level below protocol flow. Morpho took +$135M at the protocol level in July; underneath, Sentora consolidated from 27.65% in May to 33.56% in July on three concentrated V2 vaults. Across the full Morpho landscape, Steakhouse still leads on the strength of its Base book.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456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S.2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Fluid stickiness under rate compression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Fluid cut its USDC supply APY 175 bps in July, 6.41% to 4.66%, and still took +$26M of net flow. On a venue whose yield edge comes from capital that serves as both DEX and lending liquidity, depositors did not treat the cut as a reason to leave. Stickiness worth watching.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348 characters</w:t>
      </w:r>
    </w:p>
    <w:p>
      <w:pPr>
        <w:spacing w:after="120" w:before="280"/>
      </w:pPr>
      <w:r>
        <w:rPr>
          <w:rFonts w:ascii="Cambria" w:cs="Cambria" w:eastAsia="Cambria" w:hAnsi="Cambria"/>
          <w:b/>
          <w:bCs/>
          <w:color w:val="C5511A"/>
          <w:sz w:val="22"/>
          <w:szCs w:val="22"/>
        </w:rPr>
        <w:t xml:space="preserve">S.3  </w:t>
      </w:r>
      <w:r>
        <w:rPr>
          <w:rFonts w:ascii="Cambria" w:cs="Cambria" w:eastAsia="Cambria" w:hAnsi="Cambria"/>
          <w:b/>
          <w:bCs/>
          <w:sz w:val="22"/>
          <w:szCs w:val="22"/>
        </w:rPr>
        <w:t xml:space="preserve">The late-cycle shape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Halved growth, a second month of climbing curator concentration, and real yield deepening to −75 bps below the T-bill. Put together, July reads to me as a late-cycle depositor market: the largest venues keep winning, and the new capital they win from keeps thinning.</w:t>
      </w:r>
    </w:p>
    <w:p>
      <w:pPr>
        <w:shd w:fill="F7F4ED" w:val="clear"/>
        <w:spacing w:after="120"/>
        <w:ind w:left="360"/>
      </w:pPr>
      <w:r>
        <w:rPr>
          <w:rFonts w:ascii="Cambria" w:cs="Cambria" w:eastAsia="Cambria" w:hAnsi="Cambr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Cambria" w:cs="Cambria" w:eastAsia="Cambria" w:hAnsi="Cambria"/>
          <w:i/>
          <w:iCs/>
          <w:color w:val="595959"/>
          <w:sz w:val="18"/>
          <w:szCs w:val="18"/>
        </w:rPr>
        <w:t xml:space="preserve">342 characters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2026-08-07T08:25:57.324Z</dcterms:created>
  <dcterms:modified xsi:type="dcterms:W3CDTF">2026-08-07T08:25:57.324Z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