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mbria" w:cs="Cambria" w:eastAsia="Cambria" w:hAnsi="Cambria"/>
          <w:b/>
          <w:bCs/>
          <w:color w:val="0E1B2C"/>
          <w:sz w:val="32"/>
          <w:szCs w:val="32"/>
        </w:rPr>
        <w:t xml:space="preserve">Issue 004 LinkedIn Mini-Post</w:t>
      </w:r>
    </w:p>
    <w:p>
      <w:pPr>
        <w:spacing w:after="200"/>
      </w:pPr>
      <w:r>
        <w:rPr>
          <w:rFonts w:ascii="Cambria" w:cs="Cambria" w:eastAsia="Cambria" w:hAnsi="Cambria"/>
          <w:i/>
          <w:iCs/>
          <w:color w:val="595959"/>
          <w:sz w:val="22"/>
          <w:szCs w:val="22"/>
        </w:rPr>
        <w:t xml:space="preserve">The short description LinkedIn asks for after uploading the article (the “Tell your readers what this article is about” prompt). Points readers into the article.</w:t>
      </w:r>
    </w:p>
    <w:p>
      <w:pPr>
        <w:spacing w:after="220"/>
      </w:pPr>
      <w:r>
        <w:rPr>
          <w:rFonts w:ascii="Cambria" w:cs="Cambria" w:eastAsia="Cambria" w:hAnsi="Cambria"/>
          <w:sz w:val="22"/>
          <w:szCs w:val="22"/>
        </w:rPr>
        <w:t xml:space="preserve">Aave V3 was the only major DeFi lending protocol on Ethereum that grew in July 2026. Its +$649M net constant-price flow carried a sector that would have contracted without it; the other five covered protocols combined for a net −$96M over the same window.</w:t>
      </w:r>
    </w:p>
    <w:p>
      <w:pPr>
        <w:spacing w:after="220"/>
      </w:pPr>
      <w:r>
        <w:rPr>
          <w:rFonts w:ascii="Cambria" w:cs="Cambria" w:eastAsia="Cambria" w:hAnsi="Cambria"/>
          <w:sz w:val="22"/>
          <w:szCs w:val="22"/>
        </w:rPr>
        <w:t xml:space="preserve">The July State of DeFi Lending on Ethereum report covers four findings from the month: the collateral inflows carrying Aave while its USDC book drains, Sentora overtaking Steakhouse as Morpho's largest curator, SparkLend's stablecoin rates stepping with Sky governance rather than pool utilization, and the compression of Fluid's June rate premium on USDC.</w:t>
      </w:r>
    </w:p>
    <w:p>
      <w:pPr>
        <w:spacing w:after="220"/>
      </w:pPr>
      <w:r>
        <w:rPr>
          <w:rFonts w:ascii="Cambria" w:cs="Cambria" w:eastAsia="Cambria" w:hAnsi="Cambria"/>
          <w:sz w:val="22"/>
          <w:szCs w:val="22"/>
        </w:rPr>
        <w:t xml:space="preserve">Full report below.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2026-08-07T08:25:57.289Z</dcterms:created>
  <dcterms:modified xsi:type="dcterms:W3CDTF">2026-08-07T08:25:57.289Z</dcterms:modified>
</cp:coreProperties>
</file>

<file path=docProps/custom.xml><?xml version="1.0" encoding="utf-8"?>
<Properties xmlns="http://schemas.openxmlformats.org/officeDocument/2006/custom-properties" xmlns:vt="http://schemas.openxmlformats.org/officeDocument/2006/docPropsVTypes"/>
</file>