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mbria" w:cs="Cambria" w:eastAsia="Cambria" w:hAnsi="Cambria"/>
          <w:b/>
          <w:bCs/>
          <w:color w:val="0E1B2C"/>
          <w:sz w:val="40"/>
          <w:szCs w:val="40"/>
        </w:rPr>
        <w:t xml:space="preserve">Issue 004 Twitter: Datum Labs profile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595959"/>
          <w:sz w:val="22"/>
          <w:szCs w:val="22"/>
        </w:rPr>
        <w:t xml:space="preserve">Institutional voice, third person, snapshot-dated figures. A launch tweet (posted with the highlights motion-graphics video), two threads, and four standalone tweets. Character counts noted under each tweet; long tweets assume a Premium account.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0E1B2C"/>
          <w:sz w:val="32"/>
          <w:szCs w:val="32"/>
        </w:rPr>
        <w:t xml:space="preserve">Launch tweet (motion-graphics video overlay)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595959"/>
          <w:sz w:val="22"/>
          <w:szCs w:val="22"/>
        </w:rPr>
        <w:t xml:space="preserve">Datum Labs profile only. The launch post that runs with the report highlights video; the URL is the caption link.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L.1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Launch overview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State of DeFi Lending on Ethereum, Issue 004, July 2026, is live.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Aave V3 was the only major lending protocol on Ethereum that grew in July. Its +$649M net flow carried a sector that would have contracted without it. Growth halved from June, curator concentration on Morpho deepened for a second consecutive month, and stablecoin real yield sank to −75 bps below the 4-week T-bill.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Full report, six protocol sections and the data tables:
https://datumlab.xyz/resources/reports/state-of-lending-ethereum-july-2026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514 characters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0E1B2C"/>
          <w:sz w:val="32"/>
          <w:szCs w:val="32"/>
        </w:rPr>
        <w:t xml:space="preserve">Thread 1: Aave carried the sector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T1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1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Aave V3 added $649M of net constant-price deposits on Ethereum in July 2026, the only positive reading among the six largest lending protocols large enough to move the sector. The other five combined for −$96M. Strip out Aave V3 and the sector contracted.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255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T2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1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The +$649M arrived in assets supplied to borrow against, not the base stablecoins people lend for yield. USDC −$20M, USDT −$62M, WETH −$29M. Against those: weETH +$285M, WBTC +$124M, wstETH +$113M, cbBTC +$63M, plus sUSDe +$145M, a stablecoin that works as Ethena-carry collateral on Aave rather than lending supply.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316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T3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1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Inside the liquid restaking complex the flow was concentrated in weETH at +$285M, while rsETH shed $93M. The rsETH outflow was specific to that token and does not read as a broader restaking rotation.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200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T4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1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Net stablecoin position on Aave V3 still grew about +$145M, but the growth was the USDe complex. sUSDe, USDe, USDTB, and Pendle sUSDe forwards drew inflow while USDC and USDT drained. Ethena's synthetic dollar is now a material stablecoin surface on the protocol.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263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T5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1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This is the second consecutive month of the same composition: collateral in, base stablecoins and ETH flat to negative. June ran the same shape, USDC down $162M against $845M of collateral.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189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T6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1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Aave V3's growth this cycle is a borrow-book story. Depositors supply collateral to borrow against; the 3.27% USDC supply rate, 33 bps under the 4-week T-bill, is not what draws them. Two months makes it a pattern.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214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T7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1 (link)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Issue 004, State of DeFi Lending on Ethereum, July 2026. Six protocol sections and the full data tables.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https://datumlab.xyz/resources/reports/state-of-lending-ethereum-july-2026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180 characters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0E1B2C"/>
          <w:sz w:val="32"/>
          <w:szCs w:val="32"/>
        </w:rPr>
        <w:t xml:space="preserve">Thread 2: Sentora overtook Steakhouse on Morpho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T1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2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Sentora closed July as Morpho's largest single curator on Ethereum at 33.56% of combined V1+V2 curated TVL, overtaking Steakhouse Financial at 31.31%. At May 31 Sentora sat at 27.65%, behind Steakhouse.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202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T2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2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The crossover ran in two moves. May to June was a direct transfer: Sentora +358 bps, Steakhouse −191 bps. Share moved from the incumbent to the challenger.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155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T3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2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June to July was coincident growth: Sentora and Steakhouse both gained, together +447 bps, with the ground coming from the long tail rather than from each other. Across the full window Sentora added +591 bps, Steakhouse +23 bps net.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232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T4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2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Gauntlet declined for a second straight month, 18.59% at May 31 to 13.02% at July 31, a 557 bps drop. Combined top-three curator share still rose, 74.6% to 77.9%.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162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T5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2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The three run structurally different books. Sentora: $741M across 3 concentrated V2 vaults. Steakhouse: $691M across 18 vaults split evenly V1/V2. Gauntlet: $287M across 22 vaults, 82% weighted to V1.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200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T6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2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Morpho's combined V1+V2 HHI climbed to 2,337 at July 31 from 2,095 at June 30, a second consecutive monthly rise. The aggregate number reads as generic concentration; the composition is one V2-native curator consolidating while the incumbent holds mixed and the third retreats into legacy V1.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292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T7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2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The crossover is an Ethereum story. Across the full Morpho landscape today, all chains included, Steakhouse Financial remains the largest curator at roughly $2.3B against Sentora's $790M, carried by a $1.2B Base book. Sentora's book sits almost entirely on Ethereum.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266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T8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Thread 2 (link)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Issue 004, State of DeFi Lending on Ethereum, July 2026. Six protocol sections and the full data tables.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https://datumlab.xyz/resources/reports/state-of-lending-ethereum-july-2026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180 characters</w:t>
      </w:r>
    </w:p>
    <w:p>
      <w:pPr>
        <w:pStyle w:val="Heading1"/>
        <w:spacing w:after="200" w:before="400"/>
      </w:pPr>
      <w:r>
        <w:rPr>
          <w:rFonts w:ascii="Cambria" w:cs="Cambria" w:eastAsia="Cambria" w:hAnsi="Cambria"/>
          <w:b/>
          <w:bCs/>
          <w:color w:val="0E1B2C"/>
          <w:sz w:val="32"/>
          <w:szCs w:val="32"/>
        </w:rPr>
        <w:t xml:space="preserve">Standalone tweets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S.1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Fluid rate premium compressed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Fluid closed June with the sector's only positive real yield on USDC: 6.41% supply APY, 281 bps over the 4-week T-bill. It closed July at 4.66%, 106 bps over the T-bill, still the only venue above it. The 175 bps compression narrowed its lead over Aave V3 from 322 bps to 139 bps.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https://datumlab.xyz/resources/reports/state-of-lending-ethereum-july-2026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356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S.2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Morpho V2 share + Midnight launch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Morpho V2 held 71.76% of combined curated TVL at July 31, $1.77B of a $2.21B book, as curators migrate mandates onto the newer vault standard. Morpho shipped Midnight, a fixed-rate and fixed-term product built on V2 markets, on July 24.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https://datumlab.xyz/resources/reports/state-of-lending-ethereum-july-2026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312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S.3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Real Yield Spread deepened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The sector's blended stablecoin supply rate closed July at 2.85% against a 3.60% 4-week T-bill: a Real Yield Spread of −75 bps, down from −37 bps at the June close. Two consecutive months of materially negative real yield on the sector's largest asset class.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https://datumlab.xyz/resources/reports/state-of-lending-ethereum-july-2026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334 characters</w:t>
      </w:r>
    </w:p>
    <w:p>
      <w:pPr>
        <w:spacing w:after="120" w:before="280"/>
      </w:pPr>
      <w:r>
        <w:rPr>
          <w:rFonts w:ascii="Cambria" w:cs="Cambria" w:eastAsia="Cambria" w:hAnsi="Cambria"/>
          <w:b/>
          <w:bCs/>
          <w:color w:val="C5511A"/>
          <w:sz w:val="22"/>
          <w:szCs w:val="22"/>
        </w:rPr>
        <w:t xml:space="preserve">S.4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Aave V3 stablecoin composition shift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Aave V3's stablecoin book grew about +$145M net in July, but the growth was the USDe complex. sUSDe, USDe, USDTB, and Pendle sUSDe forwards drew inflow while USDC shed $20M and USDT shed $62M.</w:t>
      </w:r>
    </w:p>
    <w:p>
      <w:pPr>
        <w:shd w:fill="F7F4ED" w:val="clear"/>
        <w:spacing w:after="120"/>
        <w:ind w:left="360"/>
      </w:pPr>
      <w:r>
        <w:rPr>
          <w:rFonts w:ascii="Cambria" w:cs="Cambria" w:eastAsia="Cambria" w:hAnsi="Cambria"/>
          <w:sz w:val="22"/>
          <w:szCs w:val="22"/>
        </w:rPr>
        <w:t xml:space="preserve">https://datumlab.xyz/resources/reports/state-of-lending-ethereum-july-2026</w:t>
      </w:r>
    </w:p>
    <w:p>
      <w:pPr>
        <w:spacing w:after="160"/>
        <w:ind w:left="360"/>
      </w:pPr>
      <w:r>
        <w:rPr>
          <w:rFonts w:ascii="Cambria" w:cs="Cambria" w:eastAsia="Cambria" w:hAnsi="Cambria"/>
          <w:i/>
          <w:iCs/>
          <w:color w:val="595959"/>
          <w:sz w:val="18"/>
          <w:szCs w:val="18"/>
        </w:rPr>
        <w:t xml:space="preserve">268 characters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2026-08-07T12:06:10.282Z</dcterms:created>
  <dcterms:modified xsi:type="dcterms:W3CDTF">2026-08-07T12:06:10.282Z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