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</w:pPr>
      <w:r>
        <w:rPr>
          <w:rFonts w:ascii="Cambria" w:cs="Cambria" w:eastAsia="Cambria" w:hAnsi="Cambria"/>
          <w:b/>
          <w:bCs/>
          <w:color w:val="0E1B2C"/>
          <w:sz w:val="40"/>
          <w:szCs w:val="40"/>
        </w:rPr>
        <w:t xml:space="preserve">Issue 004 Twitter: Joel personal profile</w:t>
      </w:r>
    </w:p>
    <w:p>
      <w:pPr>
        <w:spacing w:after="200"/>
      </w:pPr>
      <w:r>
        <w:rPr>
          <w:rFonts w:ascii="Cambria" w:cs="Cambria" w:eastAsia="Cambria" w:hAnsi="Cambria"/>
          <w:i/>
          <w:iCs/>
          <w:color w:val="595959"/>
          <w:sz w:val="22"/>
          <w:szCs w:val="22"/>
        </w:rPr>
        <w:t xml:space="preserve">First person, sparing and analytical. Two threads plus three standalone tweets. Character counts noted; each standalone includes the report link.</w:t>
      </w:r>
    </w:p>
    <w:p>
      <w:pPr>
        <w:pStyle w:val="Heading1"/>
        <w:spacing w:after="200" w:before="400"/>
      </w:pPr>
      <w:r>
        <w:rPr>
          <w:rFonts w:ascii="Cambria" w:cs="Cambria" w:eastAsia="Cambria" w:hAnsi="Cambria"/>
          <w:b/>
          <w:bCs/>
          <w:color w:val="0E1B2C"/>
          <w:sz w:val="32"/>
          <w:szCs w:val="32"/>
        </w:rPr>
        <w:t xml:space="preserve">Thread 1: the Aave collateral pattern</w:t>
      </w:r>
    </w:p>
    <w:p>
      <w:pPr>
        <w:spacing w:after="120" w:before="280"/>
      </w:pPr>
      <w:r>
        <w:rPr>
          <w:rFonts w:ascii="Cambria" w:cs="Cambria" w:eastAsia="Cambria" w:hAnsi="Cambria"/>
          <w:b/>
          <w:bCs/>
          <w:color w:val="C5511A"/>
          <w:sz w:val="22"/>
          <w:szCs w:val="22"/>
        </w:rPr>
        <w:t xml:space="preserve">T1  </w:t>
      </w:r>
      <w:r>
        <w:rPr>
          <w:rFonts w:ascii="Cambria" w:cs="Cambria" w:eastAsia="Cambria" w:hAnsi="Cambria"/>
          <w:b/>
          <w:bCs/>
          <w:sz w:val="22"/>
          <w:szCs w:val="22"/>
        </w:rPr>
        <w:t xml:space="preserve">Thread 1</w:t>
      </w:r>
    </w:p>
    <w:p>
      <w:pPr>
        <w:shd w:fill="F7F4ED" w:val="clear"/>
        <w:spacing w:after="120"/>
        <w:ind w:left="360"/>
      </w:pPr>
      <w:r>
        <w:rPr>
          <w:rFonts w:ascii="Cambria" w:cs="Cambria" w:eastAsia="Cambria" w:hAnsi="Cambria"/>
          <w:sz w:val="22"/>
          <w:szCs w:val="22"/>
        </w:rPr>
        <w:t xml:space="preserve">This is the second month I have watched Aave V3 carry the entire Ethereum lending sector. In July its +$649M net constant-price flow was effectively the whole story: the other five protocols netted −$96M.</w:t>
      </w:r>
    </w:p>
    <w:p>
      <w:pPr>
        <w:spacing w:after="160"/>
        <w:ind w:left="360"/>
      </w:pPr>
      <w:r>
        <w:rPr>
          <w:rFonts w:ascii="Cambria" w:cs="Cambria" w:eastAsia="Cambria" w:hAnsi="Cambria"/>
          <w:i/>
          <w:iCs/>
          <w:color w:val="595959"/>
          <w:sz w:val="18"/>
          <w:szCs w:val="18"/>
        </w:rPr>
        <w:t xml:space="preserve">204 characters</w:t>
      </w:r>
    </w:p>
    <w:p>
      <w:pPr>
        <w:spacing w:after="120" w:before="280"/>
      </w:pPr>
      <w:r>
        <w:rPr>
          <w:rFonts w:ascii="Cambria" w:cs="Cambria" w:eastAsia="Cambria" w:hAnsi="Cambria"/>
          <w:b/>
          <w:bCs/>
          <w:color w:val="C5511A"/>
          <w:sz w:val="22"/>
          <w:szCs w:val="22"/>
        </w:rPr>
        <w:t xml:space="preserve">T2  </w:t>
      </w:r>
      <w:r>
        <w:rPr>
          <w:rFonts w:ascii="Cambria" w:cs="Cambria" w:eastAsia="Cambria" w:hAnsi="Cambria"/>
          <w:b/>
          <w:bCs/>
          <w:sz w:val="22"/>
          <w:szCs w:val="22"/>
        </w:rPr>
        <w:t xml:space="preserve">Thread 1</w:t>
      </w:r>
    </w:p>
    <w:p>
      <w:pPr>
        <w:shd w:fill="F7F4ED" w:val="clear"/>
        <w:spacing w:after="120"/>
        <w:ind w:left="360"/>
      </w:pPr>
      <w:r>
        <w:rPr>
          <w:rFonts w:ascii="Cambria" w:cs="Cambria" w:eastAsia="Cambria" w:hAnsi="Cambria"/>
          <w:sz w:val="22"/>
          <w:szCs w:val="22"/>
        </w:rPr>
        <w:t xml:space="preserve">What keeps pulling me back to the composition is that almost none of it is base stablecoins. weETH +$285M, WBTC +$124M, and sUSDe +$145M, which is a dollar but sits on Aave as collateral for the Ethena carry. USDC actually shed $20M, USDT $62M. The growth is collateral to borrow against, not lending supply.</w:t>
      </w:r>
    </w:p>
    <w:p>
      <w:pPr>
        <w:spacing w:after="160"/>
        <w:ind w:left="360"/>
      </w:pPr>
      <w:r>
        <w:rPr>
          <w:rFonts w:ascii="Cambria" w:cs="Cambria" w:eastAsia="Cambria" w:hAnsi="Cambria"/>
          <w:i/>
          <w:iCs/>
          <w:color w:val="595959"/>
          <w:sz w:val="18"/>
          <w:szCs w:val="18"/>
        </w:rPr>
        <w:t xml:space="preserve">308 characters</w:t>
      </w:r>
    </w:p>
    <w:p>
      <w:pPr>
        <w:spacing w:after="120" w:before="280"/>
      </w:pPr>
      <w:r>
        <w:rPr>
          <w:rFonts w:ascii="Cambria" w:cs="Cambria" w:eastAsia="Cambria" w:hAnsi="Cambria"/>
          <w:b/>
          <w:bCs/>
          <w:color w:val="C5511A"/>
          <w:sz w:val="22"/>
          <w:szCs w:val="22"/>
        </w:rPr>
        <w:t xml:space="preserve">T3  </w:t>
      </w:r>
      <w:r>
        <w:rPr>
          <w:rFonts w:ascii="Cambria" w:cs="Cambria" w:eastAsia="Cambria" w:hAnsi="Cambria"/>
          <w:b/>
          <w:bCs/>
          <w:sz w:val="22"/>
          <w:szCs w:val="22"/>
        </w:rPr>
        <w:t xml:space="preserve">Thread 1</w:t>
      </w:r>
    </w:p>
    <w:p>
      <w:pPr>
        <w:shd w:fill="F7F4ED" w:val="clear"/>
        <w:spacing w:after="120"/>
        <w:ind w:left="360"/>
      </w:pPr>
      <w:r>
        <w:rPr>
          <w:rFonts w:ascii="Cambria" w:cs="Cambria" w:eastAsia="Cambria" w:hAnsi="Cambria"/>
          <w:sz w:val="22"/>
          <w:szCs w:val="22"/>
        </w:rPr>
        <w:t xml:space="preserve">Collateral supplied at scale to the deepest borrow book on Ethereum reads one way to me: depositors are here to borrow against it. A 3.27% USDC rate, 33 bps under the T-bill, is not what pulls that capital in.</w:t>
      </w:r>
    </w:p>
    <w:p>
      <w:pPr>
        <w:spacing w:after="160"/>
        <w:ind w:left="360"/>
      </w:pPr>
      <w:r>
        <w:rPr>
          <w:rFonts w:ascii="Cambria" w:cs="Cambria" w:eastAsia="Cambria" w:hAnsi="Cambria"/>
          <w:i/>
          <w:iCs/>
          <w:color w:val="595959"/>
          <w:sz w:val="18"/>
          <w:szCs w:val="18"/>
        </w:rPr>
        <w:t xml:space="preserve">209 characters</w:t>
      </w:r>
    </w:p>
    <w:p>
      <w:pPr>
        <w:spacing w:after="120" w:before="280"/>
      </w:pPr>
      <w:r>
        <w:rPr>
          <w:rFonts w:ascii="Cambria" w:cs="Cambria" w:eastAsia="Cambria" w:hAnsi="Cambria"/>
          <w:b/>
          <w:bCs/>
          <w:color w:val="C5511A"/>
          <w:sz w:val="22"/>
          <w:szCs w:val="22"/>
        </w:rPr>
        <w:t xml:space="preserve">T4  </w:t>
      </w:r>
      <w:r>
        <w:rPr>
          <w:rFonts w:ascii="Cambria" w:cs="Cambria" w:eastAsia="Cambria" w:hAnsi="Cambria"/>
          <w:b/>
          <w:bCs/>
          <w:sz w:val="22"/>
          <w:szCs w:val="22"/>
        </w:rPr>
        <w:t xml:space="preserve">Thread 1</w:t>
      </w:r>
    </w:p>
    <w:p>
      <w:pPr>
        <w:shd w:fill="F7F4ED" w:val="clear"/>
        <w:spacing w:after="120"/>
        <w:ind w:left="360"/>
      </w:pPr>
      <w:r>
        <w:rPr>
          <w:rFonts w:ascii="Cambria" w:cs="Cambria" w:eastAsia="Cambria" w:hAnsi="Cambria"/>
          <w:sz w:val="22"/>
          <w:szCs w:val="22"/>
        </w:rPr>
        <w:t xml:space="preserve">The part I did not expect at the start of this cycle is how durable it is. Two months, same shape: collateral in, base stablecoins and ETH flat to negative. That durability is what makes it a pattern rather than a liquidation echo.</w:t>
      </w:r>
    </w:p>
    <w:p>
      <w:pPr>
        <w:spacing w:after="160"/>
        <w:ind w:left="360"/>
      </w:pPr>
      <w:r>
        <w:rPr>
          <w:rFonts w:ascii="Cambria" w:cs="Cambria" w:eastAsia="Cambria" w:hAnsi="Cambria"/>
          <w:i/>
          <w:iCs/>
          <w:color w:val="595959"/>
          <w:sz w:val="18"/>
          <w:szCs w:val="18"/>
        </w:rPr>
        <w:t xml:space="preserve">231 characters</w:t>
      </w:r>
    </w:p>
    <w:p>
      <w:pPr>
        <w:spacing w:after="120" w:before="280"/>
      </w:pPr>
      <w:r>
        <w:rPr>
          <w:rFonts w:ascii="Cambria" w:cs="Cambria" w:eastAsia="Cambria" w:hAnsi="Cambria"/>
          <w:b/>
          <w:bCs/>
          <w:color w:val="C5511A"/>
          <w:sz w:val="22"/>
          <w:szCs w:val="22"/>
        </w:rPr>
        <w:t xml:space="preserve">T5  </w:t>
      </w:r>
      <w:r>
        <w:rPr>
          <w:rFonts w:ascii="Cambria" w:cs="Cambria" w:eastAsia="Cambria" w:hAnsi="Cambria"/>
          <w:b/>
          <w:bCs/>
          <w:sz w:val="22"/>
          <w:szCs w:val="22"/>
        </w:rPr>
        <w:t xml:space="preserve">Thread 1</w:t>
      </w:r>
    </w:p>
    <w:p>
      <w:pPr>
        <w:shd w:fill="F7F4ED" w:val="clear"/>
        <w:spacing w:after="120"/>
        <w:ind w:left="360"/>
      </w:pPr>
      <w:r>
        <w:rPr>
          <w:rFonts w:ascii="Cambria" w:cs="Cambria" w:eastAsia="Cambria" w:hAnsi="Cambria"/>
          <w:sz w:val="22"/>
          <w:szCs w:val="22"/>
        </w:rPr>
        <w:t xml:space="preserve">The stablecoin growth that did happen went to the USDe complex, sUSDe and USDe and the Pendle forwards, while USDC and USDT drained. That composition shift is the quieter thread I want to keep watching.</w:t>
      </w:r>
    </w:p>
    <w:p>
      <w:pPr>
        <w:spacing w:after="160"/>
        <w:ind w:left="360"/>
      </w:pPr>
      <w:r>
        <w:rPr>
          <w:rFonts w:ascii="Cambria" w:cs="Cambria" w:eastAsia="Cambria" w:hAnsi="Cambria"/>
          <w:i/>
          <w:iCs/>
          <w:color w:val="595959"/>
          <w:sz w:val="18"/>
          <w:szCs w:val="18"/>
        </w:rPr>
        <w:t xml:space="preserve">202 characters</w:t>
      </w:r>
    </w:p>
    <w:p>
      <w:pPr>
        <w:spacing w:after="120" w:before="280"/>
      </w:pPr>
      <w:r>
        <w:rPr>
          <w:rFonts w:ascii="Cambria" w:cs="Cambria" w:eastAsia="Cambria" w:hAnsi="Cambria"/>
          <w:b/>
          <w:bCs/>
          <w:color w:val="C5511A"/>
          <w:sz w:val="22"/>
          <w:szCs w:val="22"/>
        </w:rPr>
        <w:t xml:space="preserve">T6  </w:t>
      </w:r>
      <w:r>
        <w:rPr>
          <w:rFonts w:ascii="Cambria" w:cs="Cambria" w:eastAsia="Cambria" w:hAnsi="Cambria"/>
          <w:b/>
          <w:bCs/>
          <w:sz w:val="22"/>
          <w:szCs w:val="22"/>
        </w:rPr>
        <w:t xml:space="preserve">Thread 1</w:t>
      </w:r>
    </w:p>
    <w:p>
      <w:pPr>
        <w:shd w:fill="F7F4ED" w:val="clear"/>
        <w:spacing w:after="120"/>
        <w:ind w:left="360"/>
      </w:pPr>
      <w:r>
        <w:rPr>
          <w:rFonts w:ascii="Cambria" w:cs="Cambria" w:eastAsia="Cambria" w:hAnsi="Cambria"/>
          <w:sz w:val="22"/>
          <w:szCs w:val="22"/>
        </w:rPr>
        <w:t xml:space="preserve">In August I am watching one reading: whether Aave keeps carrying the sector, or a month arrives where it goes flat and another protocol absorbs the inflow. That is what decides whether July was structural.</w:t>
      </w:r>
    </w:p>
    <w:p>
      <w:pPr>
        <w:spacing w:after="160"/>
        <w:ind w:left="360"/>
      </w:pPr>
      <w:r>
        <w:rPr>
          <w:rFonts w:ascii="Cambria" w:cs="Cambria" w:eastAsia="Cambria" w:hAnsi="Cambria"/>
          <w:i/>
          <w:iCs/>
          <w:color w:val="595959"/>
          <w:sz w:val="18"/>
          <w:szCs w:val="18"/>
        </w:rPr>
        <w:t xml:space="preserve">205 characters</w:t>
      </w:r>
    </w:p>
    <w:p>
      <w:pPr>
        <w:spacing w:after="120" w:before="280"/>
      </w:pPr>
      <w:r>
        <w:rPr>
          <w:rFonts w:ascii="Cambria" w:cs="Cambria" w:eastAsia="Cambria" w:hAnsi="Cambria"/>
          <w:b/>
          <w:bCs/>
          <w:color w:val="C5511A"/>
          <w:sz w:val="22"/>
          <w:szCs w:val="22"/>
        </w:rPr>
        <w:t xml:space="preserve">T7  </w:t>
      </w:r>
      <w:r>
        <w:rPr>
          <w:rFonts w:ascii="Cambria" w:cs="Cambria" w:eastAsia="Cambria" w:hAnsi="Cambria"/>
          <w:b/>
          <w:bCs/>
          <w:sz w:val="22"/>
          <w:szCs w:val="22"/>
        </w:rPr>
        <w:t xml:space="preserve">Thread 1 (link)</w:t>
      </w:r>
    </w:p>
    <w:p>
      <w:pPr>
        <w:shd w:fill="F7F4ED" w:val="clear"/>
        <w:spacing w:after="120"/>
        <w:ind w:left="360"/>
      </w:pPr>
      <w:r>
        <w:rPr>
          <w:rFonts w:ascii="Cambria" w:cs="Cambria" w:eastAsia="Cambria" w:hAnsi="Cambria"/>
          <w:sz w:val="22"/>
          <w:szCs w:val="22"/>
        </w:rPr>
        <w:t xml:space="preserve">Full July report, charts and tables throughout.</w:t>
      </w:r>
    </w:p>
    <w:p>
      <w:pPr>
        <w:shd w:fill="F7F4ED" w:val="clear"/>
        <w:spacing w:after="120"/>
        <w:ind w:left="360"/>
      </w:pPr>
      <w:r>
        <w:rPr>
          <w:rFonts w:ascii="Cambria" w:cs="Cambria" w:eastAsia="Cambria" w:hAnsi="Cambria"/>
          <w:sz w:val="22"/>
          <w:szCs w:val="22"/>
        </w:rPr>
        <w:t xml:space="preserve">https://datumlab.xyz/resources/reports/state-of-lending-ethereum-july-2026</w:t>
      </w:r>
    </w:p>
    <w:p>
      <w:pPr>
        <w:spacing w:after="160"/>
        <w:ind w:left="360"/>
      </w:pPr>
      <w:r>
        <w:rPr>
          <w:rFonts w:ascii="Cambria" w:cs="Cambria" w:eastAsia="Cambria" w:hAnsi="Cambria"/>
          <w:i/>
          <w:iCs/>
          <w:color w:val="595959"/>
          <w:sz w:val="18"/>
          <w:szCs w:val="18"/>
        </w:rPr>
        <w:t xml:space="preserve">123 characters</w:t>
      </w:r>
    </w:p>
    <w:p>
      <w:pPr>
        <w:pStyle w:val="Heading1"/>
        <w:spacing w:after="200" w:before="400"/>
      </w:pPr>
      <w:r>
        <w:rPr>
          <w:rFonts w:ascii="Cambria" w:cs="Cambria" w:eastAsia="Cambria" w:hAnsi="Cambria"/>
          <w:b/>
          <w:bCs/>
          <w:color w:val="0E1B2C"/>
          <w:sz w:val="32"/>
          <w:szCs w:val="32"/>
        </w:rPr>
        <w:t xml:space="preserve">Standalone tweets</w:t>
      </w:r>
    </w:p>
    <w:p>
      <w:pPr>
        <w:spacing w:after="120" w:before="280"/>
      </w:pPr>
      <w:r>
        <w:rPr>
          <w:rFonts w:ascii="Cambria" w:cs="Cambria" w:eastAsia="Cambria" w:hAnsi="Cambria"/>
          <w:b/>
          <w:bCs/>
          <w:color w:val="C5511A"/>
          <w:sz w:val="22"/>
          <w:szCs w:val="22"/>
        </w:rPr>
        <w:t xml:space="preserve">S.1  </w:t>
      </w:r>
      <w:r>
        <w:rPr>
          <w:rFonts w:ascii="Cambria" w:cs="Cambria" w:eastAsia="Cambria" w:hAnsi="Cambria"/>
          <w:b/>
          <w:bCs/>
          <w:sz w:val="22"/>
          <w:szCs w:val="22"/>
        </w:rPr>
        <w:t xml:space="preserve">Sentora crossover as a vault-surface story</w:t>
      </w:r>
    </w:p>
    <w:p>
      <w:pPr>
        <w:shd w:fill="F7F4ED" w:val="clear"/>
        <w:spacing w:after="120"/>
        <w:ind w:left="360"/>
      </w:pPr>
      <w:r>
        <w:rPr>
          <w:rFonts w:ascii="Cambria" w:cs="Cambria" w:eastAsia="Cambria" w:hAnsi="Cambria"/>
          <w:sz w:val="22"/>
          <w:szCs w:val="22"/>
        </w:rPr>
        <w:t xml:space="preserve">Sentora overtaking Steakhouse as Morpho's largest curator on Ethereum is a story about the vault surface, one level below protocol flow. Morpho took +$135M at the protocol level in July; underneath, Sentora consolidated from 27.65% in May to 33.56% in July on three concentrated V2 vaults. Across the full Morpho landscape, Steakhouse still leads on the strength of its Base book.</w:t>
      </w:r>
    </w:p>
    <w:p>
      <w:pPr>
        <w:shd w:fill="F7F4ED" w:val="clear"/>
        <w:spacing w:after="120"/>
        <w:ind w:left="360"/>
      </w:pPr>
      <w:r>
        <w:rPr>
          <w:rFonts w:ascii="Cambria" w:cs="Cambria" w:eastAsia="Cambria" w:hAnsi="Cambria"/>
          <w:sz w:val="22"/>
          <w:szCs w:val="22"/>
        </w:rPr>
        <w:t xml:space="preserve">https://datumlab.xyz/resources/reports/state-of-lending-ethereum-july-2026</w:t>
      </w:r>
    </w:p>
    <w:p>
      <w:pPr>
        <w:spacing w:after="160"/>
        <w:ind w:left="360"/>
      </w:pPr>
      <w:r>
        <w:rPr>
          <w:rFonts w:ascii="Cambria" w:cs="Cambria" w:eastAsia="Cambria" w:hAnsi="Cambria"/>
          <w:i/>
          <w:iCs/>
          <w:color w:val="595959"/>
          <w:sz w:val="18"/>
          <w:szCs w:val="18"/>
        </w:rPr>
        <w:t xml:space="preserve">456 characters</w:t>
      </w:r>
    </w:p>
    <w:p>
      <w:pPr>
        <w:spacing w:after="120" w:before="280"/>
      </w:pPr>
      <w:r>
        <w:rPr>
          <w:rFonts w:ascii="Cambria" w:cs="Cambria" w:eastAsia="Cambria" w:hAnsi="Cambria"/>
          <w:b/>
          <w:bCs/>
          <w:color w:val="C5511A"/>
          <w:sz w:val="22"/>
          <w:szCs w:val="22"/>
        </w:rPr>
        <w:t xml:space="preserve">S.2  </w:t>
      </w:r>
      <w:r>
        <w:rPr>
          <w:rFonts w:ascii="Cambria" w:cs="Cambria" w:eastAsia="Cambria" w:hAnsi="Cambria"/>
          <w:b/>
          <w:bCs/>
          <w:sz w:val="22"/>
          <w:szCs w:val="22"/>
        </w:rPr>
        <w:t xml:space="preserve">Fluid stickiness under rate compression</w:t>
      </w:r>
    </w:p>
    <w:p>
      <w:pPr>
        <w:shd w:fill="F7F4ED" w:val="clear"/>
        <w:spacing w:after="120"/>
        <w:ind w:left="360"/>
      </w:pPr>
      <w:r>
        <w:rPr>
          <w:rFonts w:ascii="Cambria" w:cs="Cambria" w:eastAsia="Cambria" w:hAnsi="Cambria"/>
          <w:sz w:val="22"/>
          <w:szCs w:val="22"/>
        </w:rPr>
        <w:t xml:space="preserve">Fluid cut its USDC supply APY 175 bps in July, 6.41% to 4.66%, and still took +$26M of net flow. On a venue whose yield edge comes from capital that serves as both DEX and lending liquidity, depositors did not treat the cut as a reason to leave. Stickiness worth watching.</w:t>
      </w:r>
    </w:p>
    <w:p>
      <w:pPr>
        <w:shd w:fill="F7F4ED" w:val="clear"/>
        <w:spacing w:after="120"/>
        <w:ind w:left="360"/>
      </w:pPr>
      <w:r>
        <w:rPr>
          <w:rFonts w:ascii="Cambria" w:cs="Cambria" w:eastAsia="Cambria" w:hAnsi="Cambria"/>
          <w:sz w:val="22"/>
          <w:szCs w:val="22"/>
        </w:rPr>
        <w:t xml:space="preserve">https://datumlab.xyz/resources/reports/state-of-lending-ethereum-july-2026</w:t>
      </w:r>
    </w:p>
    <w:p>
      <w:pPr>
        <w:spacing w:after="160"/>
        <w:ind w:left="360"/>
      </w:pPr>
      <w:r>
        <w:rPr>
          <w:rFonts w:ascii="Cambria" w:cs="Cambria" w:eastAsia="Cambria" w:hAnsi="Cambria"/>
          <w:i/>
          <w:iCs/>
          <w:color w:val="595959"/>
          <w:sz w:val="18"/>
          <w:szCs w:val="18"/>
        </w:rPr>
        <w:t xml:space="preserve">348 characters</w:t>
      </w:r>
    </w:p>
    <w:p>
      <w:pPr>
        <w:spacing w:after="120" w:before="280"/>
      </w:pPr>
      <w:r>
        <w:rPr>
          <w:rFonts w:ascii="Cambria" w:cs="Cambria" w:eastAsia="Cambria" w:hAnsi="Cambria"/>
          <w:b/>
          <w:bCs/>
          <w:color w:val="C5511A"/>
          <w:sz w:val="22"/>
          <w:szCs w:val="22"/>
        </w:rPr>
        <w:t xml:space="preserve">S.3  </w:t>
      </w:r>
      <w:r>
        <w:rPr>
          <w:rFonts w:ascii="Cambria" w:cs="Cambria" w:eastAsia="Cambria" w:hAnsi="Cambria"/>
          <w:b/>
          <w:bCs/>
          <w:sz w:val="22"/>
          <w:szCs w:val="22"/>
        </w:rPr>
        <w:t xml:space="preserve">The late-cycle shape</w:t>
      </w:r>
    </w:p>
    <w:p>
      <w:pPr>
        <w:shd w:fill="F7F4ED" w:val="clear"/>
        <w:spacing w:after="120"/>
        <w:ind w:left="360"/>
      </w:pPr>
      <w:r>
        <w:rPr>
          <w:rFonts w:ascii="Cambria" w:cs="Cambria" w:eastAsia="Cambria" w:hAnsi="Cambria"/>
          <w:sz w:val="22"/>
          <w:szCs w:val="22"/>
        </w:rPr>
        <w:t xml:space="preserve">Halved growth, a second month of climbing curator concentration, and real yield deepening to −75 bps below the T-bill. Put together, July reads to me as a late-cycle depositor market: the largest venues keep winning, and the new capital they win from keeps thinning.</w:t>
      </w:r>
    </w:p>
    <w:p>
      <w:pPr>
        <w:shd w:fill="F7F4ED" w:val="clear"/>
        <w:spacing w:after="120"/>
        <w:ind w:left="360"/>
      </w:pPr>
      <w:r>
        <w:rPr>
          <w:rFonts w:ascii="Cambria" w:cs="Cambria" w:eastAsia="Cambria" w:hAnsi="Cambria"/>
          <w:sz w:val="22"/>
          <w:szCs w:val="22"/>
        </w:rPr>
        <w:t xml:space="preserve">https://datumlab.xyz/resources/reports/state-of-lending-ethereum-july-2026</w:t>
      </w:r>
    </w:p>
    <w:p>
      <w:pPr>
        <w:spacing w:after="160"/>
        <w:ind w:left="360"/>
      </w:pPr>
      <w:r>
        <w:rPr>
          <w:rFonts w:ascii="Cambria" w:cs="Cambria" w:eastAsia="Cambria" w:hAnsi="Cambria"/>
          <w:i/>
          <w:iCs/>
          <w:color w:val="595959"/>
          <w:sz w:val="18"/>
          <w:szCs w:val="18"/>
        </w:rPr>
        <w:t xml:space="preserve">342 characters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2026-08-07T12:06:10.307Z</dcterms:created>
  <dcterms:modified xsi:type="dcterms:W3CDTF">2026-08-07T12:06:10.307Z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