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Keep to one page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 Quek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Cleaning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Removed rows with missing values in key delay columns and dropped features not available before the flight (e.g., actual delay values).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Handled infinite values by replacing them with NaN and subsequently dropping rows with NaN values in the 'ARR_DELAY' column.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Standardized and encoded categorical features for model input.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Engineering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Extracted time-based features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month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hour_of_day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from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FL_DATE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column.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interaction terms such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distance_airline_interaction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capture airline-specific trends related to delay.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One-hot encoding was applied for categorical variables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AIRLINE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ORIGIN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for logistic regression.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Predictor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CRS_DEP_TIME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DISTANCE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AIRLINE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ORIGIN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hour_of_day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distance_airline_interaction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 binary target variable,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Delayed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where delays were defined as flights departing after the scheduled departure time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DEP_DELAY &gt; 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Pipeline(s)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Achieved 76.5% accuracy. The model performed well, but improvements are planned through hyperparameter tuning.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Reached 74.8% accuracy. Evaluated using AUC-ROC curves and classification metrics, showing room for further optimization.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 models were evaluated using cross-validation to avoid overfitting and included metrics like precision, recall, and F1-score.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Improvements to be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Further hyperparameter tuning for both models to optimize performance.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 with additional models, such as XGBoost, to improve class imbalance handling.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Explore additional features (e.g., weather data, airport congestion) to enhance model predictions.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Anything Else?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Future work will involve further balancing the dataset and exploring different model architectures, including ensemble methods like Gradient Boosting.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