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Heiti SC" w:hAnsi="Heiti SC" w:eastAsia="Heiti SC" w:cs="Heiti SC" w:hint="eastAsia"/>
          <w:b/>
          <w:i w:val="0"/>
          <w:color w:val="163A5F"/>
          <w:sz w:val="46"/>
        </w:rPr>
        <w:t>泰国 LINE-OA 课前运营与销售分配实验方案</w:t>
      </w:r>
    </w:p>
    <w:p>
      <w:pPr>
        <w:spacing w:after="280"/>
      </w:pPr>
      <w:r>
        <w:rPr>
          <w:rFonts w:ascii="Heiti SC" w:hAnsi="Heiti SC" w:eastAsia="Heiti SC" w:cs="Heiti SC" w:hint="eastAsia"/>
          <w:b w:val="0"/>
          <w:i w:val="0"/>
          <w:color w:val="667085"/>
          <w:sz w:val="26"/>
        </w:rPr>
        <w:t>覆盖全渠道注册、OA 关注补促、课前自动化、缺席二约与销售分配机制演进</w:t>
      </w:r>
    </w:p>
    <w:p>
      <w:pPr>
        <w:spacing w:after="40"/>
      </w:pPr>
      <w:r>
        <w:rPr>
          <w:rFonts w:ascii="Heiti SC" w:hAnsi="Heiti SC" w:eastAsia="Heiti SC" w:cs="Heiti SC" w:hint="eastAsia"/>
          <w:b/>
          <w:i w:val="0"/>
          <w:color w:val="1F2937"/>
          <w:sz w:val="21"/>
        </w:rPr>
        <w:t>市场：</w:t>
      </w: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泰国</w:t>
      </w:r>
    </w:p>
    <w:p>
      <w:pPr>
        <w:spacing w:after="40"/>
      </w:pPr>
      <w:r>
        <w:rPr>
          <w:rFonts w:ascii="Heiti SC" w:hAnsi="Heiti SC" w:eastAsia="Heiti SC" w:cs="Heiti SC" w:hint="eastAsia"/>
          <w:b/>
          <w:i w:val="0"/>
          <w:color w:val="1F2937"/>
          <w:sz w:val="21"/>
        </w:rPr>
        <w:t>版本：</w:t>
      </w: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v1.0</w:t>
      </w:r>
    </w:p>
    <w:p>
      <w:pPr>
        <w:spacing w:after="40"/>
      </w:pPr>
      <w:r>
        <w:rPr>
          <w:rFonts w:ascii="Heiti SC" w:hAnsi="Heiti SC" w:eastAsia="Heiti SC" w:cs="Heiti SC" w:hint="eastAsia"/>
          <w:b/>
          <w:i w:val="0"/>
          <w:color w:val="1F2937"/>
          <w:sz w:val="21"/>
        </w:rPr>
        <w:t>日期：</w:t>
      </w: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2026-08-19</w:t>
      </w:r>
    </w:p>
    <w:p>
      <w:pPr>
        <w:spacing w:after="40"/>
      </w:pPr>
      <w:r>
        <w:rPr>
          <w:rFonts w:ascii="Heiti SC" w:hAnsi="Heiti SC" w:eastAsia="Heiti SC" w:cs="Heiti SC" w:hint="eastAsia"/>
          <w:b/>
          <w:i w:val="0"/>
          <w:color w:val="1F2937"/>
          <w:sz w:val="21"/>
        </w:rPr>
        <w:t>状态：</w:t>
      </w: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跨部门评审稿</w:t>
      </w:r>
    </w:p>
    <w:p>
      <w:pPr>
        <w:spacing w:before="160" w:after="240"/>
        <w:pBdr>
          <w:bottom w:val="single" w:sz="10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138A5B"/>
                <w:sz w:val="21"/>
              </w:rPr>
              <w:t xml:space="preserve">核心结论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先把 LINE-OA 建成所有渠道注册后的统一课前运营入口，再通过非安卓渠道 30% 直分 / 70% 抢新的随机实验验证销售归属机制。当前阶段允许 OA 与销售私人 LINE 分线沟通，但必须由 CRM 统一记录与控频；长期升级到销售 OA 坐席后，再扩大为 100% 注册即直分。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1"/>
        <w:keepNext/>
      </w:pPr>
      <w:r>
        <w:t>1. 项目目标与范围</w:t>
      </w: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  <w:t>本方案面向泰国市场所有注册渠道，覆盖用户注册完成至体验课流程结束之间的建联、问好、轻量挖需、预约、提醒、缺席二约和销售归属。LINE-OA 的服务边界止于首次出席，或一次二约后的第二次出席/再次缺席。课后报价、成交与长期经营由真人销售负责。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40"/>
        <w:gridCol w:w="312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目标层级</w:t>
            </w:r>
          </w:p>
        </w:tc>
        <w:tc>
          <w:tcPr>
            <w:tcW w:type="dxa" w:w="47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本阶段要解决的问题</w:t>
            </w:r>
          </w:p>
        </w:tc>
        <w:tc>
          <w:tcPr>
            <w:tcW w:type="dxa" w:w="31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成功信号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第一目标</w:t>
            </w:r>
          </w:p>
        </w:tc>
        <w:tc>
          <w:tcPr>
            <w:tcW w:type="dxa" w:w="4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提升注册用户 LINE-OA 关注率，建立可持续触达入口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关注率及各触点增量提升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第二目标</w:t>
            </w:r>
          </w:p>
        </w:tc>
        <w:tc>
          <w:tcPr>
            <w:tcW w:type="dxa" w:w="4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用 OA 自动化提升预约、出席与缺席二约效率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预约率、出席率、二约成功率提升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第三目标</w:t>
            </w:r>
          </w:p>
        </w:tc>
        <w:tc>
          <w:tcPr>
            <w:tcW w:type="dxa" w:w="4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验证非安卓用户直接分配销售是否优于抢新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注册至付费、出席、人效改善且无体验风险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长期目标</w:t>
            </w:r>
          </w:p>
        </w:tc>
        <w:tc>
          <w:tcPr>
            <w:tcW w:type="dxa" w:w="4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100% 注册即直分，每位销售拥有 OA 坐席并与机器人协作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同一会话协作、统一数据、可规模化运营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已确认的业务规则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市场范围：泰国，覆盖安卓与非安卓等所有注册渠道。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身份能力：第三方工具支持注册 user_id / 手机号与 LINE userId 绑定，并可查询具体用户的 OA 关注状态。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关注补促：注册完成页先引导关注；注册 5 分钟后查询状态。外呼仅对运营配置的较高转化渠道启用；外呼窗口暂定为泰国时间 08:00–21:00，注册时间和调用时点均须在窗口内，按注册后 +5 / +15 / +30 分钟最多尝试 3 次，接通或已关注即停止，超出窗口的尝试直接跳过、不顺延。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安卓渠道：出席前不分配真人销售；首次或第二次体验课出席后再分配。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非安卓 30% 组：注册后立即分配销售；OA 继续自动运营；销售通过手机号主动搜索用户，并使用私人 LINE 单独沟通。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非安卓 70% 组：维持抢新；真人销售实际打通电话后才获得用户归属。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缺席规则：首次缺席后只发起 1 次二次预约；二约成功后继续第二次课前提醒；第二次出席或再次缺席后结束 OA SOP。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B36B00"/>
                <w:sz w:val="21"/>
              </w:rPr>
              <w:t xml:space="preserve">重要边界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LINE-OA 的自动化范围是“注册后至体验课流程结束”，不是长期营销机器人。体验课出席后不再继续课前消息；二次缺席后也不进行第三次预约。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1"/>
        <w:keepNext/>
      </w:pPr>
      <w:r>
        <w:t>3. 端到端业务流程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78036"/>
            <wp:docPr id="1" name="Picture 1" descr="图 1｜泰国 LINE-OA 从注册、关注补促到二约结束的主流程" title="图 1｜泰国 LINE-OA 从注册、关注补促到二约结束的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 w:cs="Heiti SC" w:hint="eastAsia"/>
          <w:b w:val="0"/>
          <w:i/>
          <w:color w:val="667085"/>
          <w:sz w:val="18"/>
        </w:rPr>
        <w:t>图 1｜泰国 LINE-OA 从注册、关注补促到二约结束的主流程</w:t>
      </w:r>
    </w:p>
    <w:p>
      <w:pPr>
        <w:pStyle w:val="Heading2"/>
        <w:keepNext/>
      </w:pPr>
      <w:r>
        <w:t>3.1 LINE-OA 自动化服务内容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520"/>
        <w:gridCol w:w="2490"/>
      </w:tblGrid>
      <w:tr>
        <w:trPr>
          <w:tblHeader w:val="true"/>
          <w:cantSplit/>
        </w:trPr>
        <w:tc>
          <w:tcPr>
            <w:tcW w:type="dxa" w:w="1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阶段</w:t>
            </w:r>
          </w:p>
        </w:tc>
        <w:tc>
          <w:tcPr>
            <w:tcW w:type="dxa" w:w="5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LINE-OA 动作</w:t>
            </w:r>
          </w:p>
        </w:tc>
        <w:tc>
          <w:tcPr>
            <w:tcW w:type="dxa" w:w="24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结束/转移条件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关注后欢迎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即时问好，说明身份与可提供的帮助；读取注册与预约状态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进入挖需或预约确认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轻量挖需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学习对象、年龄/年级、英语水平/经历、学习目的、可上课时间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字段达到最小可用集，不追求一次填满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预约协助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未预约用户获取可用时段并完成预约；已预约用户确认时间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预约成功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简单问答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处理上课入口、时间、设备、老师/课程基础说明；复杂价格与成交问题转真人规则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问题解决或记录待跟进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课前提醒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首次及二约后的第二次体验课均执行提醒和入室引导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到课时间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缺席二约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首次缺席后发起一次二次预约；成功后重新进入提醒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二约失败、第二次出席或再次缺席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提升 LINE-OA 关注率的建议</w:t>
      </w: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  <w:t>LINE 官方能力可以解决“如何让用户更容易关注”和“如何判断是否已关注”；AI 电话与短信则是业务侧补促手段。建议采用分层触达，而不是依赖电话播报 OA ID。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注册完成页作为主入口：移动端放置高辨识度的一键关注按钮，直接打开 OA 添加好友/资料页；桌面端同时展示二维码。页面保留明确价值，如预约协助、课前提醒和上课入口。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优先评估 LINE Login add friend option：若注册或登录链路可以使用 LINE Login，可在授权时展示添加 OA 选项，并用官方 Friendship Status API 返回关注状态。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注册 +5 分钟查询：按绑定后的 user_id / LINE userId 查询；已关注者立即进入欢迎 SOP，未关注者仅在渠道白名单和外呼时段均符合时进入 AI 电话任务。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AI 电话最多三次：外呼窗口暂定为泰国时间 08:00–21:00。窗口内注册的配置渠道用户，在注册后 +5 分钟首呼；未接通则 +15、+30 分钟重试。每次呼叫前重新查询关注状态，接通或已关注即停止；调用时点超过 21:00 则跳过，不顺延到次日。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AI 电话只做一件事：确认用户是否方便接收 LINE 学习服务，并提示即将发送可点击链接。电话中不要求用户逐字符记录 OA ID。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短信作为操作载体：通话中或通话后立即发送带 OA 深链接的短信；链接先经过自有可追踪跳转页再打开 LINE，以记录点击与触点归因。短信发送需遵守当地通信同意、退订与频控要求。</w:t>
      </w:r>
    </w:p>
    <w:p>
      <w:pPr>
        <w:pStyle w:val="ListNumber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OA ID 仅作兜底：当深链接或二维码无法使用时，才让用户在 LINE 中搜索官方 Basic ID/Premium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B42318"/>
                <w:sz w:val="21"/>
              </w:rPr>
              <w:t xml:space="preserve">为什么不建议只报 OA 号码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语音场景下容易听错、记错和中途退出；可点击深链接把操作从多步搜索缩短为打开 LINE 后确认关注。销售通过手机号搜索用户同样不保证成功，受用户隐私设置和账号绑定状态影响，必须单独统计搜索成功率。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4.1 关注率漏斗与归因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节点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建议事件</w:t>
            </w:r>
          </w:p>
        </w:tc>
        <w:tc>
          <w:tcPr>
            <w:tcW w:type="dxa" w:w="4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完成页曝光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oa_cta_impression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确认用户看到关注入口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点击添加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oa_cta_click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衡量页面引导效率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关注成功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oa_follow_success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核心结果；记录关注时间与来源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5 分钟检测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oa_follow_check_5m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区分自然关注与补促对象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AI 电话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oa_follow_call_attempt / sequence / result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区分 +5/+15/+30 分钟轮次、跳过原因、接通与停止原因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短信点击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oa_sms_link_click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衡量通话后操作完成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取消关注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oa_unfollow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体验与消息质量护栏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销售分配机制与 A/B 测试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184321"/>
            <wp:docPr id="2" name="Picture 2" descr="图 2｜当前渠道分配规则、非安卓 A/B 测试与长期坐席目标" title="图 2｜当前渠道分配规则、非安卓 A/B 测试与长期坐席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ssig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84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iti SC" w:hAnsi="Heiti SC" w:eastAsia="Heiti SC" w:cs="Heiti SC" w:hint="eastAsia"/>
          <w:b w:val="0"/>
          <w:i/>
          <w:color w:val="667085"/>
          <w:sz w:val="18"/>
        </w:rPr>
        <w:t>图 2｜当前渠道分配规则、非安卓 A/B 测试与长期坐席目标</w:t>
      </w:r>
    </w:p>
    <w:p>
      <w:pPr>
        <w:pStyle w:val="Heading2"/>
        <w:keepNext/>
      </w:pPr>
      <w:r>
        <w:t>5.1 实验组定义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90"/>
        <w:gridCol w:w="3990"/>
        <w:gridCol w:w="2130"/>
      </w:tblGrid>
      <w:tr>
        <w:trPr>
          <w:tblHeader w:val="true"/>
          <w:cantSplit/>
        </w:trPr>
        <w:tc>
          <w:tcPr>
            <w:tcW w:type="dxa" w:w="1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人群</w:t>
            </w:r>
          </w:p>
        </w:tc>
        <w:tc>
          <w:tcPr>
            <w:tcW w:type="dxa" w:w="18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分配时点</w:t>
            </w:r>
          </w:p>
        </w:tc>
        <w:tc>
          <w:tcPr>
            <w:tcW w:type="dxa" w:w="39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OA 与真人销售关系</w:t>
            </w:r>
          </w:p>
        </w:tc>
        <w:tc>
          <w:tcPr>
            <w:tcW w:type="dxa" w:w="21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安卓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首次或二次体验课出席后</w:t>
            </w:r>
          </w:p>
        </w:tc>
        <w:tc>
          <w:tcPr>
            <w:tcW w:type="dxa" w:w="3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出席前由 OA 独立运营；出席后分配真人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控制低质量渠道的人力投入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非安卓 A：30%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注册后立即分配</w:t>
            </w:r>
          </w:p>
        </w:tc>
        <w:tc>
          <w:tcPr>
            <w:tcW w:type="dxa" w:w="3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OA 自动运营；销售用手机号搜索并通过私人 LINE 分线沟通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验证前置归属能否提升响应、出席和付费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非安卓 B：70%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真人销售电话打通后</w:t>
            </w:r>
          </w:p>
        </w:tc>
        <w:tc>
          <w:tcPr>
            <w:tcW w:type="dxa" w:w="39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打通前 OA 独立运营；打通归属后销售可用私人 LINE 沟通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保留当前抢新机制作为对照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B36B00"/>
                <w:sz w:val="21"/>
              </w:rPr>
              <w:t xml:space="preserve">实验原则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30%/70% 必须在“符合条件的非安卓新注册用户”中由系统稳定随机分组，并固定用户分组，不允许销售手动挑选。按渠道、注册日期/时段等做分层或协变量校正，避免流量质量差异把结果带偏。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5.2 A/B 测试指标</w:t>
      </w: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  <w:t>OA 关注率是全项目的核心前置指标；销售分配实验则不能只看关注率，因为 30%/70% 的差异发生在销售归属机制。建议使用以下指标层级：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80"/>
        <w:gridCol w:w="288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层级</w:t>
            </w:r>
          </w:p>
        </w:tc>
        <w:tc>
          <w:tcPr>
            <w:tcW w:type="dxa" w:w="49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指标</w:t>
            </w:r>
          </w:p>
        </w:tc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判断用途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项目主指标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注册后 5 分钟 / 30 分钟 / 24 小时 OA 关注率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判断统一建联入口是否建立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分配实验主指标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注册至付费转化率、每注册用户收入（观察窗固定）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判断直分是否创造最终经营价值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领先指标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真人电话接通率、私人 LINE 建联率、预约率、首次/最终出席率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定位机制影响路径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效率指标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每销售有效联系数、人均归属数、首触达时长、每单人工触达量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判断人力与分配效率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护栏指标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重复触达投诉率、OA 屏蔽率、退订率、未联系积压、销售负载离散度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8"/>
              </w:rPr>
              <w:t>避免以转化换取用户体验或组织失衡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/>
          <w:color w:val="667085"/>
          <w:sz w:val="20"/>
        </w:rPr>
        <w:t>统计建议：上线前锁定观察窗、最小样本量与停止规则；优先报告绝对差、相对提升和置信区间。若样本量不足，不以短期波动直接扩到 100% 直分。</w:t>
      </w:r>
    </w:p>
    <w:p>
      <w:pPr>
        <w:pStyle w:val="Heading1"/>
        <w:keepNext/>
      </w:pPr>
      <w:r>
        <w:t>6. 核心指标口径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80"/>
        <w:gridCol w:w="258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指标</w:t>
            </w:r>
          </w:p>
        </w:tc>
        <w:tc>
          <w:tcPr>
            <w:tcW w:type="dxa" w:w="49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定义</w:t>
            </w:r>
          </w:p>
        </w:tc>
        <w:tc>
          <w:tcPr>
            <w:tcW w:type="dxa" w:w="25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关键拆分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OA 关注率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在统计窗口内成功绑定且 friendFlag=true 的去重注册用户数 ÷ 符合条件的去重注册用户数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渠道、设备、完成页版本、自然/电话/短信触点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5 分钟自然关注率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AI 电话触发前已关注人数 ÷ 符合条件注册人数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衡量完成页本身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补促增量关注率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5 分钟未关注、经电话/短信后在窗口内关注人数 ÷ 5 分钟未关注人数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接通/未接通、短信点击/未点击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OA 有效建联率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关注后至少完成一次有效互动或进入自动化状态人数 ÷ 已关注人数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关注但沉默、欢迎消息送达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首次预约率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完成首次预约人数 ÷ 注册人数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自主预约 / OA 协助预约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最终出席率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首次或二次体验课至少出席一次人数 ÷ 注册人数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首次出席、二约后出席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二约成功率</w:t>
            </w:r>
          </w:p>
        </w:tc>
        <w:tc>
          <w:tcPr>
            <w:tcW w:type="dxa" w:w="4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首次缺席后完成二次预约人数 ÷ 首次缺席且进入二约人数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成功时长、时段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2E74B5"/>
                <w:sz w:val="21"/>
              </w:rPr>
              <w:t xml:space="preserve">口径注意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分母要排除测试账号、重复注册、无效手机号和技术故障用户；同一用户跨渠道重复注册需按统一 user_id 去重。关注成功以第三方工具返回的有效关注状态为准，不以“点击按钮”代替。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1"/>
        <w:keepNext/>
      </w:pPr>
      <w:r>
        <w:t>7. 跨部门职责与意义</w:t>
      </w: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  <w:t>本项目不是单一工具接入，而是市场入口、产研系统、运营策略、销售机制与数据评估共同组成的经营流程。每个部门需要对可验收交付物负责。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00"/>
        <w:gridCol w:w="2580"/>
        <w:gridCol w:w="2130"/>
      </w:tblGrid>
      <w:tr>
        <w:trPr>
          <w:tblHeader w:val="true"/>
          <w:cantSplit/>
        </w:trPr>
        <w:tc>
          <w:tcPr>
            <w:tcW w:type="dxa" w:w="1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部门/角色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需要完成的事情</w:t>
            </w:r>
          </w:p>
        </w:tc>
        <w:tc>
          <w:tcPr>
            <w:tcW w:type="dxa" w:w="25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业务意义</w:t>
            </w:r>
          </w:p>
        </w:tc>
        <w:tc>
          <w:tcPr>
            <w:tcW w:type="dxa" w:w="213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主要交付/指标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项目负责人 / PMO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统一范围、里程碑、决策记录、跨部门依赖和灰度节奏；组织周度复盘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防止 OA、外呼和分配机制各自优化但端到端失效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项目看板、风险清单、Go/No-Go 决策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市场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按渠道传递 source/campaign；改造注册完成页价值表达与关注入口；保证流量分组不被活动干扰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提高自然关注率，并让结果可归因到真实渠道质量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完成页曝光/点击/关注率，渠道有效注册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产品/产研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接入第三方 OA、身份绑定与状态查询；实现渠道白名单、+5/+15/+30 分钟外呼、泰国时区窗口、OA SOP、预约/提醒/二约、分配随机化和退出开关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把流程变成稳定、可追踪、可停止的系统能力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事件成功率、任务准时率、异常率、分组一致性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前端运营 / 用户运营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设计泰语欢迎、挖需、FAQ、预约、提醒、二约话术；配置频控、安静时段、异常兜底；抽检会话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保证自动化不是机械催促，而是真正帮助用户完成上课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回复率、预约率、出席率、屏蔽/投诉率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销售运营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定义安卓、30%、70% 的归属规则和销售容量；制定私人 LINE 与 OA 的协同 SOP；处理冲突归属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确保实验可执行，避免重复触达、抢单争议和负载不均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归属时长、负载离散度、冲突率、SOP 执行率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真人销售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按组别执行电话与私人 LINE 触达；查看 CRM 中 OA 摘要；记录打通、搜索/添加和沟通结果；出席后承接转化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把 AI 沉淀转化为高质量人工跟进，而不是重复问询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接通率、私人 LINE 建联率、出席/付费、人均产能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数据/BI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建设统一漏斗、实验分组校验和渠道看板；锁定指标口径、观察窗、显著性和异常监控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区分自然增长、补促增量和销售机制的真实因果效果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数据完整率、实验平衡性、周期分析报告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法务/合规/信息安全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审核 AI 电话与短信同意、隐私告知、数据跨系统传输、保存周期、权限与退订/屏蔽机制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降低个人信息、通信骚扰与第三方平台使用风险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评审结论、权限矩阵、审计记录、事件响应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供应商/第三方工具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保障绑定、状态查询、消息、Webhook、坐席和日志能力；提供 SLA、错误码和对账机制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避免关键链路成为不可观测黑盒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接口 SLA、Webhook 成功率、故障恢复时长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系统与数据需求</w:t>
      </w:r>
    </w:p>
    <w:p>
      <w:pPr>
        <w:pStyle w:val="Heading2"/>
        <w:keepNext/>
      </w:pPr>
      <w:r>
        <w:t>8.1 必要状态字段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60"/>
        <w:gridCol w:w="270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数据域</w:t>
            </w:r>
          </w:p>
        </w:tc>
        <w:tc>
          <w:tcPr>
            <w:tcW w:type="dxa" w:w="5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必要字段/状态</w:t>
            </w:r>
          </w:p>
        </w:tc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身份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user_id、phone_hash/手机号权限字段、LINE userId、绑定时间、绑定来源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唯一识别与跨系统对账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关注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follow_status、首次关注时间、最近检测时间、unfollow 时间、关注触点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关注率与补促归因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渠道/实验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source、campaign、device/channel、experiment_group、assignment_mode、randomization_version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实验稳定性与渠道分析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销售归属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sales_id、assigned_at、assignment_reason、human_call_connected_at、private_line_search/add_result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区分直分与打通后归属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预约/出席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booking_no、lesson_time、reminder_status、attendance_status、reschedule_count、final_end_reason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驱动 SOP 和终止条件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沟通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AI call result、SMS send/click、OA conversation summary、last_contact_at、next_action、exception_code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统一视图、控频与人工承接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必要控制机制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幂等：同一注册事件只能创建一组 +5 / +15 / +30 分钟检测与外呼任务；Webhook 重试不得重复发送欢迎或提醒。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外呼窗口：使用泰国时区判断，当前暂定 08:00–21:00；仅运营配置渠道启用，注册时间和实际调用时间均须在窗口内，超窗任务直接跳过且不顺延。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重试停止：每次呼叫前重新查询关注状态；用户已关注、任一轮已接通或已达到第三轮时，取消剩余外呼任务。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状态机：关注、预约、出席、二约、结束必须有明确状态迁移，任一结束状态都要停止后续课前消息。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控频：OA、AI 电话、短信和真人销售共享 last_contact_at 与 next_action；避免同一小时内多渠道连续催促。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人工可见：销售在 CRM 中看到 OA 摘要、已问字段、预约状态和最近动作，不重复询问用户。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实验冻结：用户首次进入实验后组别固定；跨端、重复登录和重复注册需按统一用户键处理。</w:t>
      </w:r>
    </w:p>
    <w:p>
      <w:pPr>
        <w:pStyle w:val="ListBullet"/>
        <w:spacing w:after="8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1"/>
        </w:rPr>
        <w:t>降级：第三方状态查询或消息能力异常时暂停自动外呼/发送，进入重试队列并告警，不把技术失败计为用户未关注。</w:t>
      </w:r>
    </w:p>
    <w:p>
      <w:pPr>
        <w:pStyle w:val="Heading1"/>
        <w:keepNext/>
      </w:pPr>
      <w:r>
        <w:t>9. 当前阶段的人机协同规则</w:t>
      </w:r>
    </w:p>
    <w:p>
      <w:pPr>
        <w:keepNext w:val="0"/>
        <w:spacing w:before="0" w:after="12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  <w:t>由于尚未购买销售 LINE-OA 坐席，30% 直分组和 70% 打通后归属用户可能同时存在 OA 会话与销售私人 LINE 会话。两条会话无法天然共享上下文，因此需要明确消息边界。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60"/>
        <w:gridCol w:w="2760"/>
        <w:gridCol w:w="234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场景</w:t>
            </w:r>
          </w:p>
        </w:tc>
        <w:tc>
          <w:tcPr>
            <w:tcW w:type="dxa" w:w="2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LINE-OA 负责</w:t>
            </w:r>
          </w:p>
        </w:tc>
        <w:tc>
          <w:tcPr>
            <w:tcW w:type="dxa" w:w="2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真人销售负责</w:t>
            </w:r>
          </w:p>
        </w:tc>
        <w:tc>
          <w:tcPr>
            <w:tcW w:type="dxa" w:w="23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冲突处理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常规课前服务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挖需、FAQ、预约、提醒、缺席二约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查看摘要，原则上不重复发送同类提醒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CRM next_action 为唯一动作依据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销售已建立私人 LINE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继续执行标准 SOP，消息中保持官方服务身份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建立关系、回答非标准问题、推动出席或付费意愿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销售记录最近沟通，OA 在冲突窗口内抑制营销性消息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价格/报名/优惠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给出轻量说明并记录需求，不做未授权报价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负责报价、方案、异议与成交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明确转人工标签和 SLA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用户要求停止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立即停止 OA 主动消息并记录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停止私人 LINE 主动触达或按合规规则处理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跨系统同步 opt-out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用户已出席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立即结束课前 SOP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接管后续转化与长期服务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出席事件为强终止信号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分阶段上线计划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000"/>
        <w:gridCol w:w="3480"/>
        <w:gridCol w:w="1440"/>
      </w:tblGrid>
      <w:tr>
        <w:trPr>
          <w:tblHeader w:val="true"/>
          <w:cantSplit/>
        </w:trPr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阶段</w:t>
            </w:r>
          </w:p>
        </w:tc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范围</w:t>
            </w:r>
          </w:p>
        </w:tc>
        <w:tc>
          <w:tcPr>
            <w:tcW w:type="dxa" w:w="34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关键验收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是否扩量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P0 链路验收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测试账号与内部流量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绑定、关注查询、Webhook、渠道白名单、+5/+15/+30 分钟任务、泰国时区窗口、短信链接、预约/出席状态和终止开关端到端通过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全部关键链路通过才进入 P1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P1 关注率灰度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少量全渠道新注册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5 分钟查询准确；自然/电话/短信归因完整；投诉、屏蔽与技术异常在阈值内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确认完成页和补促有效后扩量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P2 分配 A/B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符合条件的非安卓用户，30%/70% 稳定随机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组间基线平衡；销售容量可承接；付费、出席、人效和护栏指标可解释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按预设观察窗复盘，不提前挑结果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P3 直分扩量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逐步扩大非安卓直分比例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经营指标持续优于对照且无体验/负载恶化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30%→50%→80%→100%，每档设观察期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P4 OA 坐席协作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为销售配置 OA 坐席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机器人/真人在同一 OA 会话的锁定、接管、恢复、权限和审计通过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达到条件后将 100% 直分设为正式机制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11. 风险与决策门槛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580"/>
        <w:gridCol w:w="4440"/>
      </w:tblGrid>
      <w:tr>
        <w:trPr>
          <w:tblHeader w:val="true"/>
          <w:cantSplit/>
        </w:trPr>
        <w:tc>
          <w:tcPr>
            <w:tcW w:type="dxa" w:w="2340"/>
            <w:shd w:fill="F2F4F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风险</w:t>
            </w:r>
          </w:p>
        </w:tc>
        <w:tc>
          <w:tcPr>
            <w:tcW w:type="dxa" w:w="2580"/>
            <w:shd w:fill="F2F4F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影响</w:t>
            </w:r>
          </w:p>
        </w:tc>
        <w:tc>
          <w:tcPr>
            <w:tcW w:type="dxa" w:w="4440"/>
            <w:shd w:fill="F2F4F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/>
                <w:i w:val="0"/>
                <w:color w:val="163A5F"/>
                <w:sz w:val="18"/>
              </w:rPr>
              <w:t>控制措施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关注检测误判或绑定失败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错误外呼已关注用户，损害体验并污染指标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将技术失败与未关注分开；抽样对账；失败时不触发外呼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OA 与私人 LINE 重复触达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用户困惑、屏蔽或投诉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共享最近动作、消息频控、销售回写、结束状态强制停发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手机号搜索 LINE 不成功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直分不等于成功建联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单列 search/add 成功率；不以搜索能力作为唯一沟通路径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30%/70% 样本质量不平衡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错误判断直分效果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系统随机、固定分组、基线平衡检查、预设观察窗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销售容量或执行差异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直分组积压，实验结果被执行力扭曲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容量上限、排班、SLA、人均负载监控和培训抽检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自动化边界失效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出席后仍发送课前提醒，或二次缺席后继续追踪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状态机、结束原因、幂等测试与日常异常报表</w:t>
            </w:r>
          </w:p>
        </w:tc>
      </w:tr>
      <w:tr>
        <w:trPr>
          <w:cantSplit/>
        </w:trPr>
        <w:tc>
          <w:tcPr>
            <w:tcW w:type="dxa" w:w="23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通信与隐私合规</w:t>
            </w:r>
          </w:p>
        </w:tc>
        <w:tc>
          <w:tcPr>
            <w:tcW w:type="dxa" w:w="258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监管、投诉与品牌风险</w:t>
            </w:r>
          </w:p>
        </w:tc>
        <w:tc>
          <w:tcPr>
            <w:tcW w:type="dxa" w:w="444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6"/>
              </w:rPr>
              <w:t>泰语告知、合法同意、最小权限、保存周期、退订/屏蔽和审计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Heiti SC" w:hAnsi="Heiti SC" w:eastAsia="Heiti SC" w:cs="Heiti SC" w:hint="eastAsia"/>
                <w:b/>
                <w:i w:val="0"/>
                <w:color w:val="138A5B"/>
                <w:sz w:val="21"/>
              </w:rPr>
              <w:t xml:space="preserve">扩到 100% 直分的门槛  </w:t>
            </w:r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21"/>
              </w:rPr>
              <w:t>至少同时满足：经营主指标优于抢新对照；销售人均负载可控；重复触达、OA 屏蔽与投诉没有显著恶化；数据完整且实验结果稳定；OA 坐席协作能力通过验收。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22"/>
        </w:rPr>
      </w:r>
    </w:p>
    <w:p>
      <w:pPr>
        <w:pStyle w:val="Heading1"/>
        <w:keepNext/>
        <w:spacing w:before="200" w:after="100"/>
      </w:pPr>
      <w:r>
        <w:t>12. 上线验收清单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所有渠道完成页均有可用的一键关注入口，移动端与桌面端完成测试。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user_id / 手机号与 LINE userId 绑定准确，可按具体用户查询关注状态。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渠道白名单、泰国时区 08:00–21:00、+5/+15/+30 分钟检测与外呼、短信链接、欢迎消息均有事件、轮次和停止/跳过原因。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首次预约、首次提醒、首次出席、二约、第二次提醒、最终结束形成闭环状态机。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安卓、非安卓 30%、非安卓 70% 的分配规则已由系统自动执行并可审计。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销售可见 OA 摘要，能回写电话打通、手机号搜索 LINE 和私人 LINE 建联结果。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看板可同时查看关注漏斗、课前漏斗、分配实验、销售效率和体验护栏。</w:t>
      </w:r>
    </w:p>
    <w:p>
      <w:pPr>
        <w:pStyle w:val="ListBullet"/>
        <w:spacing w:after="0" w:line="228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终止、退订、屏蔽、技术降级、权限和异常告警已完成演练。</w:t>
      </w:r>
    </w:p>
    <w:p>
      <w:pPr>
        <w:pStyle w:val="Heading1"/>
        <w:keepNext/>
        <w:spacing w:before="160" w:after="80"/>
      </w:pPr>
      <w:r>
        <w:t>13. 官方能力依据与方案说明</w:t>
      </w:r>
    </w:p>
    <w:p>
      <w:pPr>
        <w:keepNext w:val="0"/>
        <w:spacing w:before="0" w:after="40" w:line="264" w:lineRule="auto"/>
      </w:pPr>
      <w:r>
        <w:rPr>
          <w:rFonts w:ascii="Heiti SC" w:hAnsi="Heiti SC" w:eastAsia="Heiti SC" w:cs="Heiti SC" w:hint="eastAsia"/>
          <w:b w:val="0"/>
          <w:i w:val="0"/>
          <w:color w:val="1F2937"/>
          <w:sz w:val="18"/>
        </w:rPr>
        <w:t>以下为 LINE 官方技术依据；落地仍需结合第三方接口与泰国当地合规要求评审。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hyperlink r:id="rId13">
              <w:r>
                <w:rPr>
                  <w:color w:val="2E74B5"/>
                  <w:u w:val="single"/>
                </w:rPr>
                <w:t>LINE Login：Add friend option</w:t>
              </w:r>
            </w:hyperlink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｜授权时展示添加 OA 选项。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2E74B5"/>
                  <w:u w:val="single"/>
                </w:rPr>
                <w:t>Friendship Status API</w:t>
              </w:r>
            </w:hyperlink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｜返回 friendFlag 判断好友状态。</w:t>
            </w:r>
          </w:p>
        </w:tc>
      </w:tr>
      <w:tr>
        <w:trPr>
          <w:cantSplit/>
          <w:cantSplit/>
        </w:trPr>
        <w:tc>
          <w:tcPr>
            <w:tcW w:type="dxa" w:w="46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hyperlink r:id="rId15">
              <w:r>
                <w:rPr>
                  <w:color w:val="2E74B5"/>
                  <w:u w:val="single"/>
                </w:rPr>
                <w:t>LINE URL Scheme</w:t>
              </w:r>
            </w:hyperlink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｜打开 OA 资料、聊天或二维码。</w:t>
            </w:r>
          </w:p>
        </w:tc>
        <w:tc>
          <w:tcPr>
            <w:tcW w:type="dxa" w:w="46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2E74B5"/>
                  <w:u w:val="single"/>
                </w:rPr>
                <w:t>Messaging API webhook</w:t>
              </w:r>
            </w:hyperlink>
            <w:r>
              <w:rPr>
                <w:rFonts w:ascii="Heiti SC" w:hAnsi="Heiti SC" w:eastAsia="Heiti SC" w:cs="Heiti SC" w:hint="eastAsia"/>
                <w:b w:val="0"/>
                <w:i w:val="0"/>
                <w:color w:val="1F2937"/>
                <w:sz w:val="17"/>
              </w:rPr>
              <w:t>｜接收 follow / unfollow 等事件。</w:t>
            </w:r>
          </w:p>
        </w:tc>
      </w:tr>
    </w:tbl>
    <w:p>
      <w:pPr>
        <w:keepNext w:val="0"/>
        <w:spacing w:before="60" w:after="0" w:line="264" w:lineRule="auto"/>
      </w:pPr>
      <w:r>
        <w:rPr>
          <w:rFonts w:ascii="Heiti SC" w:hAnsi="Heiti SC" w:eastAsia="Heiti SC" w:cs="Heiti SC" w:hint="eastAsia"/>
          <w:b w:val="0"/>
          <w:i/>
          <w:color w:val="667085"/>
          <w:sz w:val="17"/>
        </w:rPr>
        <w:t>注：短信深链接、触点归因、销售私人 LINE 协同和 A/B 测试设计是项目建议，不是 LINE 官方强制流程。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 w:hint="eastAsia"/>
        <w:b w:val="0"/>
        <w:i w:val="0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 w:cs="Heiti SC" w:hint="eastAsia"/>
        <w:b/>
        <w:i w:val="0"/>
        <w:color w:val="667085"/>
        <w:sz w:val="17"/>
      </w:rPr>
      <w:t>AI-CC｜Thailand LINE-OA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eiti SC" w:hAnsi="Heiti SC" w:eastAsia="Heiti SC" w:cs="Heiti SC" w:hint="eastAsia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 w:cs="Heiti SC" w:hint="eastAsia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 w:hint="eastAsia"/>
      <w:b/>
      <w:color w:val="163A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Heiti SC" w:hAnsi="Heiti SC" w:eastAsia="Heiti SC" w:cs="Heiti SC" w:hint="eastAsia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Heiti SC" w:hAnsi="Heiti SC" w:eastAsia="Heiti SC" w:cs="Heiti SC" w:hint="eastAs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Heiti SC" w:hAnsi="Heiti SC" w:eastAsia="Heiti SC" w:cs="Heiti SC" w:hint="eastAsi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Heiti SC" w:hAnsi="Heiti SC" w:eastAsia="Heiti SC" w:cs="Heiti SC" w:hint="eastAs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evelopers.line.biz/en/docs/line-login/link-a-bot/" TargetMode="External"/><Relationship Id="rId14" Type="http://schemas.openxmlformats.org/officeDocument/2006/relationships/hyperlink" Target="https://developers.line.biz/en/reference/line-login/#get-friendship-status" TargetMode="External"/><Relationship Id="rId15" Type="http://schemas.openxmlformats.org/officeDocument/2006/relationships/hyperlink" Target="https://developers.line.biz/en/docs/messaging-api/using-line-url-scheme/" TargetMode="External"/><Relationship Id="rId16" Type="http://schemas.openxmlformats.org/officeDocument/2006/relationships/hyperlink" Target="https://developers.line.biz/en/docs/messaging-api/receiving-mess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泰国 LINE-OA 课前运营与销售分配实验方案</dc:title>
  <dc:subject>泰国 LINE-OA 全渠道课前运营与销售分配 A/B 测试</dc:subject>
  <dc:creator>AI-CC Project Team</dc:creator>
  <cp:keywords>Thailand, LINE Official Account, AI-CC, sales assignment, A/B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