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4E79"/>
          <w:sz w:val="36"/>
          <w:szCs w:val="36"/>
        </w:rPr>
        <w:t xml:space="preserve">GUÍA DE SUSTENTACIÓN</w:t>
      </w:r>
    </w:p>
    <w:p>
      <w:pPr>
        <w:spacing w:after="300"/>
        <w:jc w:val="center"/>
      </w:pPr>
      <w:r>
        <w:rPr>
          <w:rFonts w:ascii="Calibri" w:cs="Calibri" w:eastAsia="Calibri" w:hAnsi="Calibri"/>
          <w:i/>
          <w:iCs/>
          <w:color w:val="595959"/>
          <w:sz w:val="24"/>
          <w:szCs w:val="24"/>
        </w:rPr>
        <w:t xml:space="preserve">Cómo defender el proyecto ante el jurado — English Day (SENA ADSO)</w:t>
      </w:r>
    </w:p>
    <w:p>
      <w:pPr>
        <w:pStyle w:val="Heading1"/>
        <w:spacing w:after="190" w:before="360"/>
      </w:pPr>
      <w:r>
        <w:rPr>
          <w:b/>
          <w:bCs/>
          <w:color w:val="1F4E79"/>
          <w:sz w:val="29"/>
          <w:szCs w:val="29"/>
        </w:rPr>
        <w:t xml:space="preserve">0. Propósito</w:t>
      </w:r>
    </w:p>
    <w:p>
      <w:pPr>
        <w:spacing w:after="150"/>
      </w:pPr>
      <w:r>
        <w:rPr>
          <w:rFonts w:ascii="Calibri" w:cs="Calibri" w:eastAsia="Calibri" w:hAnsi="Calibri"/>
          <w:b w:val="false"/>
          <w:bCs w:val="false"/>
          <w:i w:val="false"/>
          <w:iCs w:val="false"/>
          <w:sz w:val="22"/>
          <w:szCs w:val="22"/>
        </w:rPr>
        <w:t xml:space="preserve">El código funcionando es solo la mitad de la evaluación. La otra mitad es que cada aprendiz demuestre que entiende lo que construyó. Esta guía organiza quién habla de qué, qué puede preguntar el jurado, y cómo responder con honestidad sobre el uso de la IA — que ya está validado con el instructor precisamente porque se usó para enseñar, no para reemplazar el trabajo del aprendiz.</w:t>
      </w:r>
    </w:p>
    <w:p>
      <w:pPr>
        <w:pStyle w:val="Heading1"/>
        <w:spacing w:after="190" w:before="360"/>
      </w:pPr>
      <w:r>
        <w:rPr>
          <w:b/>
          <w:bCs/>
          <w:color w:val="1F4E79"/>
          <w:sz w:val="29"/>
          <w:szCs w:val="29"/>
        </w:rPr>
        <w:t xml:space="preserve">1. Quién sustenta cada parte</w:t>
      </w:r>
    </w:p>
    <w:p>
      <w:pPr>
        <w:spacing w:after="150"/>
      </w:pPr>
      <w:r>
        <w:rPr>
          <w:rFonts w:ascii="Calibri" w:cs="Calibri" w:eastAsia="Calibri" w:hAnsi="Calibri"/>
          <w:b w:val="false"/>
          <w:bCs w:val="false"/>
          <w:i w:val="false"/>
          <w:iCs w:val="false"/>
          <w:sz w:val="22"/>
          <w:szCs w:val="22"/>
        </w:rPr>
        <w:t xml:space="preserve">Se sigue la misma Matriz RACI del Cronograma — quien construyó algo es quien lo explica: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150"/>
      </w:tblGrid>
      <w:tr>
        <w:trPr>
          <w:tblHeader/>
        </w:trPr>
        <w:tc>
          <w:tcPr>
            <w:tcW w:type="dxa" w:w="1500"/>
            <w:shd w:fill="1F4E79"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Área</w:t>
            </w:r>
          </w:p>
        </w:tc>
        <w:tc>
          <w:tcPr>
            <w:tcW w:type="dxa" w:w="2700"/>
            <w:shd w:fill="1F4E79"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Quién sustenta</w:t>
            </w:r>
          </w:p>
        </w:tc>
        <w:tc>
          <w:tcPr>
            <w:tcW w:type="dxa" w:w="5150"/>
            <w:shd w:fill="1F4E79"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Debe poder explicar</w:t>
            </w:r>
          </w:p>
        </w:tc>
      </w:tr>
      <w:tr>
        <w:tc>
          <w:tcPr>
            <w:tcW w:type="dxa" w:w="15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Backend</w:t>
            </w:r>
          </w:p>
        </w:tc>
        <w:tc>
          <w:tcPr>
            <w:tcW w:type="dxa" w:w="27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Líder de Backend + al menos 1 integrante</w:t>
            </w:r>
          </w:p>
        </w:tc>
        <w:tc>
          <w:tcPr>
            <w:tcW w:type="dxa" w:w="515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Por qué se eligió WebSockets/STOMP, cómo funciona el algoritmo de puntuación, cómo se generan las salas y el PIN.</w:t>
            </w:r>
          </w:p>
        </w:tc>
      </w:tr>
      <w:tr>
        <w:tc>
          <w:tcPr>
            <w:tcW w:type="dxa" w:w="15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Frontend</w:t>
            </w:r>
          </w:p>
        </w:tc>
        <w:tc>
          <w:tcPr>
            <w:tcW w:type="dxa" w:w="27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Líder de Frontend + al menos 1 integrante</w:t>
            </w:r>
          </w:p>
        </w:tc>
        <w:tc>
          <w:tcPr>
            <w:tcW w:type="dxa" w:w="515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Cómo se implementó cada mecánica (selección múltiple, word blocks, texto, voz) y cómo se conecta al backend en tiempo real.</w:t>
            </w:r>
          </w:p>
        </w:tc>
      </w:tr>
      <w:tr>
        <w:tc>
          <w:tcPr>
            <w:tcW w:type="dxa" w:w="15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UI/UX</w:t>
            </w:r>
          </w:p>
        </w:tc>
        <w:tc>
          <w:tcPr>
            <w:tcW w:type="dxa" w:w="27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Líder de UI/UX</w:t>
            </w:r>
          </w:p>
        </w:tc>
        <w:tc>
          <w:tcPr>
            <w:tcW w:type="dxa" w:w="515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Las decisiones de diseño (colores, tipografía, mobile-first) y por qué mejoran la experiencia del jugador.</w:t>
            </w:r>
          </w:p>
        </w:tc>
      </w:tr>
      <w:tr>
        <w:tc>
          <w:tcPr>
            <w:tcW w:type="dxa" w:w="15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Base de Datos</w:t>
            </w:r>
          </w:p>
        </w:tc>
        <w:tc>
          <w:tcPr>
            <w:tcW w:type="dxa" w:w="27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Líder de Base de Datos</w:t>
            </w:r>
          </w:p>
        </w:tc>
        <w:tc>
          <w:tcPr>
            <w:tcW w:type="dxa" w:w="515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El modelo entidad-relación y por qué esas relaciones son correctas para este caso.</w:t>
            </w:r>
          </w:p>
        </w:tc>
      </w:tr>
      <w:tr>
        <w:tc>
          <w:tcPr>
            <w:tcW w:type="dxa" w:w="15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QA</w:t>
            </w:r>
          </w:p>
        </w:tc>
        <w:tc>
          <w:tcPr>
            <w:tcW w:type="dxa" w:w="27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Líder de QA</w:t>
            </w:r>
          </w:p>
        </w:tc>
        <w:tc>
          <w:tcPr>
            <w:tcW w:type="dxa" w:w="515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Cómo se probó el sistema, qué casos límite se cubrieron, y los resultados de la prueba de carga.</w:t>
            </w:r>
          </w:p>
        </w:tc>
      </w:tr>
      <w:tr>
        <w:tc>
          <w:tcPr>
            <w:tcW w:type="dxa" w:w="15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Visión general</w:t>
            </w:r>
          </w:p>
        </w:tc>
        <w:tc>
          <w:tcPr>
            <w:tcW w:type="dxa" w:w="27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PM</w:t>
            </w:r>
          </w:p>
        </w:tc>
        <w:tc>
          <w:tcPr>
            <w:tcW w:type="dxa" w:w="515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El problema que resuelve el proyecto, la arquitectura general, y cómo se organizó el equipo.</w:t>
            </w:r>
          </w:p>
        </w:tc>
      </w:tr>
    </w:tbl>
    <w:p>
      <w:pPr>
        <w:pBdr>
          <w:left w:val="single" w:color="BF9000" w:sz="18"/>
        </w:pBdr>
        <w:shd w:fill="FFF2CC" w:val="clear"/>
        <w:spacing w:after="200" w:before="100"/>
      </w:pPr>
      <w:r>
        <w:rPr>
          <w:rFonts w:ascii="Calibri" w:cs="Calibri" w:eastAsia="Calibri" w:hAnsi="Calibri"/>
          <w:i/>
          <w:iCs/>
          <w:color w:val="594100"/>
          <w:sz w:val="21"/>
          <w:szCs w:val="21"/>
        </w:rPr>
        <w:t xml:space="preserve">⚠ Cualquier integrante debe poder responder si el jurado le pregunta directamente — no solo el líder de su área. La evaluación es individual, aunque el producto sea de equipo.</w:t>
      </w:r>
    </w:p>
    <w:p>
      <w:pPr>
        <w:pStyle w:val="Heading1"/>
        <w:spacing w:after="190" w:before="360"/>
      </w:pPr>
      <w:r>
        <w:rPr>
          <w:b/>
          <w:bCs/>
          <w:color w:val="1F4E79"/>
          <w:sz w:val="29"/>
          <w:szCs w:val="29"/>
        </w:rPr>
        <w:t xml:space="preserve">2. Estructura sugerida de la presentación (15-20 min)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6200"/>
        <w:gridCol w:w="1650"/>
      </w:tblGrid>
      <w:tr>
        <w:trPr>
          <w:tblHeader/>
        </w:trPr>
        <w:tc>
          <w:tcPr>
            <w:tcW w:type="dxa" w:w="1500"/>
            <w:shd w:fill="1F4E79"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Tiempo</w:t>
            </w:r>
          </w:p>
        </w:tc>
        <w:tc>
          <w:tcPr>
            <w:tcW w:type="dxa" w:w="6200"/>
            <w:shd w:fill="1F4E79"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Bloque</w:t>
            </w:r>
          </w:p>
        </w:tc>
        <w:tc>
          <w:tcPr>
            <w:tcW w:type="dxa" w:w="1650"/>
            <w:shd w:fill="1F4E79"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Quién</w:t>
            </w:r>
          </w:p>
        </w:tc>
      </w:tr>
      <w:tr>
        <w:tc>
          <w:tcPr>
            <w:tcW w:type="dxa" w:w="15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0:00 - 0:02</w:t>
            </w:r>
          </w:p>
        </w:tc>
        <w:tc>
          <w:tcPr>
            <w:tcW w:type="dxa" w:w="62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Contexto: qué problema resuelve el proyecto y para quién.</w:t>
            </w:r>
          </w:p>
        </w:tc>
        <w:tc>
          <w:tcPr>
            <w:tcW w:type="dxa" w:w="165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PM</w:t>
            </w:r>
          </w:p>
        </w:tc>
      </w:tr>
      <w:tr>
        <w:tc>
          <w:tcPr>
            <w:tcW w:type="dxa" w:w="15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0:02 - 0:05</w:t>
            </w:r>
          </w:p>
        </w:tc>
        <w:tc>
          <w:tcPr>
            <w:tcW w:type="dxa" w:w="62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Arquitectura general (diagrama del DAS) y stack tecnológico.</w:t>
            </w:r>
          </w:p>
        </w:tc>
        <w:tc>
          <w:tcPr>
            <w:tcW w:type="dxa" w:w="165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Backend</w:t>
            </w:r>
          </w:p>
        </w:tc>
      </w:tr>
      <w:tr>
        <w:tc>
          <w:tcPr>
            <w:tcW w:type="dxa" w:w="15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0:05 - 0:12</w:t>
            </w:r>
          </w:p>
        </w:tc>
        <w:tc>
          <w:tcPr>
            <w:tcW w:type="dxa" w:w="62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Demo en vivo: una partida real con jugadores voluntarios del público.</w:t>
            </w:r>
          </w:p>
        </w:tc>
        <w:tc>
          <w:tcPr>
            <w:tcW w:type="dxa" w:w="165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Moderador + Frontend</w:t>
            </w:r>
          </w:p>
        </w:tc>
      </w:tr>
      <w:tr>
        <w:tc>
          <w:tcPr>
            <w:tcW w:type="dxa" w:w="15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0:12 - 0:14</w:t>
            </w:r>
          </w:p>
        </w:tc>
        <w:tc>
          <w:tcPr>
            <w:tcW w:type="dxa" w:w="62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Breve explicación del proceso: metodología, Git, y cómo se usó la IA como tutor.</w:t>
            </w:r>
          </w:p>
        </w:tc>
        <w:tc>
          <w:tcPr>
            <w:tcW w:type="dxa" w:w="165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PM</w:t>
            </w:r>
          </w:p>
        </w:tc>
      </w:tr>
      <w:tr>
        <w:tc>
          <w:tcPr>
            <w:tcW w:type="dxa" w:w="15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0:14 - 0:20</w:t>
            </w:r>
          </w:p>
        </w:tc>
        <w:tc>
          <w:tcPr>
            <w:tcW w:type="dxa" w:w="62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Preguntas del jurado.</w:t>
            </w:r>
          </w:p>
        </w:tc>
        <w:tc>
          <w:tcPr>
            <w:tcW w:type="dxa" w:w="165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Todos</w:t>
            </w:r>
          </w:p>
        </w:tc>
      </w:tr>
    </w:tbl>
    <w:p>
      <w:pPr>
        <w:pBdr>
          <w:left w:val="single" w:color="BF9000" w:sz="18"/>
        </w:pBdr>
        <w:shd w:fill="FFF2CC" w:val="clear"/>
        <w:spacing w:after="200" w:before="100"/>
      </w:pPr>
      <w:r>
        <w:rPr>
          <w:rFonts w:ascii="Calibri" w:cs="Calibri" w:eastAsia="Calibri" w:hAnsi="Calibri"/>
          <w:i/>
          <w:iCs/>
          <w:color w:val="594100"/>
          <w:sz w:val="21"/>
          <w:szCs w:val="21"/>
        </w:rPr>
        <w:t xml:space="preserve">⚠ Si algo falla durante la demo en vivo, no improvisen — reproduzcan el video de respaldo (Checklist Pre-Evento, sección 4) y sigan explicando en vivo qué se está viendo.</w:t>
      </w:r>
    </w:p>
    <w:p>
      <w:r>
        <w:br w:type="page"/>
      </w:r>
    </w:p>
    <w:p>
      <w:pPr>
        <w:pStyle w:val="Heading1"/>
        <w:spacing w:after="190" w:before="360"/>
      </w:pPr>
      <w:r>
        <w:rPr>
          <w:b/>
          <w:bCs/>
          <w:color w:val="1F4E79"/>
          <w:sz w:val="29"/>
          <w:szCs w:val="29"/>
        </w:rPr>
        <w:t xml:space="preserve">3. Preguntas frecuentes del jurado, por módulo</w:t>
      </w:r>
    </w:p>
    <w:p>
      <w:pPr>
        <w:spacing w:after="150"/>
      </w:pPr>
      <w:r>
        <w:rPr>
          <w:rFonts w:ascii="Calibri" w:cs="Calibri" w:eastAsia="Calibri" w:hAnsi="Calibri"/>
          <w:b w:val="false"/>
          <w:bCs w:val="false"/>
          <w:i w:val="false"/>
          <w:iCs w:val="false"/>
          <w:sz w:val="22"/>
          <w:szCs w:val="22"/>
        </w:rPr>
        <w:t xml:space="preserve">No son respuestas para memorizar — son el tipo de pregunta para la que cada equipo debe estar preparado: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450"/>
        <w:gridCol w:w="3700"/>
      </w:tblGrid>
      <w:tr>
        <w:trPr>
          <w:tblHeader/>
        </w:trPr>
        <w:tc>
          <w:tcPr>
            <w:tcW w:type="dxa" w:w="2200"/>
            <w:shd w:fill="1F4E79"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Módulo</w:t>
            </w:r>
          </w:p>
        </w:tc>
        <w:tc>
          <w:tcPr>
            <w:tcW w:type="dxa" w:w="3450"/>
            <w:shd w:fill="1F4E79"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Posible pregunta del jurado</w:t>
            </w:r>
          </w:p>
        </w:tc>
        <w:tc>
          <w:tcPr>
            <w:tcW w:type="dxa" w:w="3700"/>
            <w:shd w:fill="1F4E79"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Qué deben poder explicar</w:t>
            </w:r>
          </w:p>
        </w:tc>
      </w:tr>
      <w:tr>
        <w:tc>
          <w:tcPr>
            <w:tcW w:type="dxa" w:w="22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Gestión de Salas (RF-01, RF-02)</w:t>
            </w:r>
          </w:p>
        </w:tc>
        <w:tc>
          <w:tcPr>
            <w:tcW w:type="dxa" w:w="345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"¿Qué pasa si dos personas usan el mismo nickname?"</w:t>
            </w:r>
          </w:p>
        </w:tc>
        <w:tc>
          <w:tcPr>
            <w:tcW w:type="dxa" w:w="37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La regla que se definió (ver Bitácora) y por qué se decidió así.</w:t>
            </w:r>
          </w:p>
        </w:tc>
      </w:tr>
      <w:tr>
        <w:tc>
          <w:tcPr>
            <w:tcW w:type="dxa" w:w="22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Tiempo real (RF-08)</w:t>
            </w:r>
          </w:p>
        </w:tc>
        <w:tc>
          <w:tcPr>
            <w:tcW w:type="dxa" w:w="345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"¿Cómo se sincroniza el temporizador entre todos los jugadores?"</w:t>
            </w:r>
          </w:p>
        </w:tc>
        <w:tc>
          <w:tcPr>
            <w:tcW w:type="dxa" w:w="37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El rol del servidor como fuente de verdad del tiempo, no cada celular por su cuenta.</w:t>
            </w:r>
          </w:p>
        </w:tc>
      </w:tr>
      <w:tr>
        <w:tc>
          <w:tcPr>
            <w:tcW w:type="dxa" w:w="22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Puntuación (RF-09)</w:t>
            </w:r>
          </w:p>
        </w:tc>
        <w:tc>
          <w:tcPr>
            <w:tcW w:type="dxa" w:w="345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"¿Por qué gana más puntos quien responde más rápido?"</w:t>
            </w:r>
          </w:p>
        </w:tc>
        <w:tc>
          <w:tcPr>
            <w:tcW w:type="dxa" w:w="37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La fórmula exacta y su justificación pedagógica.</w:t>
            </w:r>
          </w:p>
        </w:tc>
      </w:tr>
      <w:tr>
        <w:tc>
          <w:tcPr>
            <w:tcW w:type="dxa" w:w="22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Ruleta (RF-11)</w:t>
            </w:r>
          </w:p>
        </w:tc>
        <w:tc>
          <w:tcPr>
            <w:tcW w:type="dxa" w:w="345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"¿La selección es aleatoria de verdad?"</w:t>
            </w:r>
          </w:p>
        </w:tc>
        <w:tc>
          <w:tcPr>
            <w:tcW w:type="dxa" w:w="37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Cómo se implementó la aleatoriedad y por qué es justa.</w:t>
            </w:r>
          </w:p>
        </w:tc>
      </w:tr>
      <w:tr>
        <w:tc>
          <w:tcPr>
            <w:tcW w:type="dxa" w:w="22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Arquitectura</w:t>
            </w:r>
          </w:p>
        </w:tc>
        <w:tc>
          <w:tcPr>
            <w:tcW w:type="dxa" w:w="345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"¿Por qué Spring Boot y no otro framework?"</w:t>
            </w:r>
          </w:p>
        </w:tc>
        <w:tc>
          <w:tcPr>
            <w:tcW w:type="dxa" w:w="37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La comparación que respalda la decisión (ver DAS).</w:t>
            </w:r>
          </w:p>
        </w:tc>
      </w:tr>
      <w:tr>
        <w:tc>
          <w:tcPr>
            <w:tcW w:type="dxa" w:w="22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Calidad</w:t>
            </w:r>
          </w:p>
        </w:tc>
        <w:tc>
          <w:tcPr>
            <w:tcW w:type="dxa" w:w="345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"¿Qué pasa si se cae el wifi a mitad de partida?"</w:t>
            </w:r>
          </w:p>
        </w:tc>
        <w:tc>
          <w:tcPr>
            <w:tcW w:type="dxa" w:w="37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El plan de contingencia real (Checklist Pre-Evento, sección 6), no una respuesta inventada en el momento.</w:t>
            </w:r>
          </w:p>
        </w:tc>
      </w:tr>
    </w:tbl>
    <w:p>
      <w:pPr>
        <w:pStyle w:val="Heading1"/>
        <w:spacing w:after="190" w:before="360"/>
      </w:pPr>
      <w:r>
        <w:rPr>
          <w:b/>
          <w:bCs/>
          <w:color w:val="1F4E79"/>
          <w:sz w:val="29"/>
          <w:szCs w:val="29"/>
        </w:rPr>
        <w:t xml:space="preserve">4. Cómo responder sobre el uso de la IA</w:t>
      </w:r>
    </w:p>
    <w:p>
      <w:pPr>
        <w:spacing w:after="150"/>
      </w:pPr>
      <w:r>
        <w:rPr>
          <w:rFonts w:ascii="Calibri" w:cs="Calibri" w:eastAsia="Calibri" w:hAnsi="Calibri"/>
          <w:b w:val="false"/>
          <w:bCs w:val="false"/>
          <w:i w:val="false"/>
          <w:iCs w:val="false"/>
          <w:sz w:val="22"/>
          <w:szCs w:val="22"/>
        </w:rPr>
        <w:t xml:space="preserve">El uso de IA en este proyecto ya está validado con el instructor: se usó para GUIAR el aprendizaje, no para que la IA hiciera el trabajo sin dejar conocimiento en el camino. Si el jurado pregunta al respecto, la respuesta no es esconder que se usó IA — es explicar CÓMO se usó:</w:t>
      </w:r>
    </w:p>
    <w:p>
      <w:pPr>
        <w:pStyle w:val="ListParagraph"/>
        <w:numPr>
          <w:ilvl w:val="0"/>
          <w:numId w:val="2"/>
        </w:numPr>
        <w:spacing w:after="80"/>
      </w:pPr>
      <w:r>
        <w:rPr>
          <w:rFonts w:ascii="Calibri" w:cs="Calibri" w:eastAsia="Calibri" w:hAnsi="Calibri"/>
          <w:sz w:val="22"/>
          <w:szCs w:val="22"/>
        </w:rPr>
        <w:t xml:space="preserve">La IA actuó como tutor: explicó conceptos y guió paso a paso, pero cada aprendiz escribió y entendió su propio código (ver los Prompts Maestros, regla 2).</w:t>
      </w:r>
    </w:p>
    <w:p>
      <w:pPr>
        <w:pStyle w:val="ListParagraph"/>
        <w:numPr>
          <w:ilvl w:val="0"/>
          <w:numId w:val="2"/>
        </w:numPr>
        <w:spacing w:after="80"/>
      </w:pPr>
      <w:r>
        <w:rPr>
          <w:rFonts w:ascii="Calibri" w:cs="Calibri" w:eastAsia="Calibri" w:hAnsi="Calibri"/>
          <w:sz w:val="22"/>
          <w:szCs w:val="22"/>
        </w:rPr>
        <w:t xml:space="preserve">Las decisiones de diseño y arquitectura fueron del equipo, documentadas en el Contrato de Integración y la Bitácora — no improvisadas por la IA sin supervisión.</w:t>
      </w:r>
    </w:p>
    <w:p>
      <w:pPr>
        <w:pStyle w:val="ListParagraph"/>
        <w:numPr>
          <w:ilvl w:val="0"/>
          <w:numId w:val="2"/>
        </w:numPr>
        <w:spacing w:after="80"/>
      </w:pPr>
      <w:r>
        <w:rPr>
          <w:rFonts w:ascii="Calibri" w:cs="Calibri" w:eastAsia="Calibri" w:hAnsi="Calibri"/>
          <w:sz w:val="22"/>
          <w:szCs w:val="22"/>
        </w:rPr>
        <w:t xml:space="preserve">La mejor evidencia de esto es que cualquier integrante puede explicar su código sin la IA delante, en vivo, ante el jurado.</w:t>
      </w:r>
    </w:p>
    <w:p>
      <w:pPr>
        <w:pStyle w:val="Heading1"/>
        <w:spacing w:after="190" w:before="360"/>
      </w:pPr>
      <w:r>
        <w:rPr>
          <w:b/>
          <w:bCs/>
          <w:color w:val="1F4E79"/>
          <w:sz w:val="29"/>
          <w:szCs w:val="29"/>
        </w:rPr>
        <w:t xml:space="preserve">5. Checklist de material antes de entrar a sustentar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rPr>
          <w:tblHeader/>
        </w:trPr>
        <w:tc>
          <w:tcPr>
            <w:tcW w:type="dxa" w:w="700"/>
            <w:shd w:fill="1F4E79"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t>
            </w:r>
          </w:p>
        </w:tc>
        <w:tc>
          <w:tcPr>
            <w:tcW w:type="dxa" w:w="8650"/>
            <w:shd w:fill="1F4E79"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Material</w:t>
            </w:r>
          </w:p>
        </w:tc>
      </w:tr>
      <w:tr>
        <w:tc>
          <w:tcPr>
            <w:tcW w:type="dxa" w:w="7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w:t>
            </w:r>
          </w:p>
        </w:tc>
        <w:tc>
          <w:tcPr>
            <w:tcW w:type="dxa" w:w="865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Laptop con el proyecto corriendo y probado en los últimos 30 minutos.</w:t>
            </w:r>
          </w:p>
        </w:tc>
      </w:tr>
      <w:tr>
        <w:tc>
          <w:tcPr>
            <w:tcW w:type="dxa" w:w="7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w:t>
            </w:r>
          </w:p>
        </w:tc>
        <w:tc>
          <w:tcPr>
            <w:tcW w:type="dxa" w:w="865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Video de respaldo accesible sin internet.</w:t>
            </w:r>
          </w:p>
        </w:tc>
      </w:tr>
      <w:tr>
        <w:tc>
          <w:tcPr>
            <w:tcW w:type="dxa" w:w="7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w:t>
            </w:r>
          </w:p>
        </w:tc>
        <w:tc>
          <w:tcPr>
            <w:tcW w:type="dxa" w:w="865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Diagrama de arquitectura (DAS) listo para mostrar en pantalla.</w:t>
            </w:r>
          </w:p>
        </w:tc>
      </w:tr>
      <w:tr>
        <w:tc>
          <w:tcPr>
            <w:tcW w:type="dxa" w:w="70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w:t>
            </w:r>
          </w:p>
        </w:tc>
        <w:tc>
          <w:tcPr>
            <w:tcW w:type="dxa" w:w="8650"/>
            <w:tcMar>
              <w:top w:type="dxa" w:w="90"/>
              <w:left w:type="dxa" w:w="110"/>
              <w:bottom w:type="dxa" w:w="90"/>
              <w:right w:type="dxa" w:w="110"/>
            </w:tcMar>
            <w:vAlign w:val="center"/>
          </w:tcPr>
          <w:p>
            <w:r>
              <w:rPr>
                <w:rFonts w:ascii="Calibri" w:cs="Calibri" w:eastAsia="Calibri" w:hAnsi="Calibri"/>
                <w:b w:val="false"/>
                <w:bCs w:val="false"/>
                <w:color w:val="000000"/>
                <w:sz w:val="19"/>
                <w:szCs w:val="19"/>
              </w:rPr>
              <w:t xml:space="preserve">Cada integrante sabe qué bloque de la sección 2 le toca y cuánto dura.</w:t>
            </w:r>
          </w:p>
        </w:tc>
      </w:tr>
    </w:tbl>
    <w:p>
      <w:pPr>
        <w:pStyle w:val="Heading1"/>
        <w:spacing w:after="190" w:before="360"/>
      </w:pPr>
      <w:r>
        <w:rPr>
          <w:b/>
          <w:bCs/>
          <w:color w:val="1F4E79"/>
          <w:sz w:val="29"/>
          <w:szCs w:val="29"/>
        </w:rPr>
        <w:t xml:space="preserve">6. Consejos finales</w:t>
      </w:r>
    </w:p>
    <w:p>
      <w:pPr>
        <w:pStyle w:val="ListParagraph"/>
        <w:numPr>
          <w:ilvl w:val="0"/>
          <w:numId w:val="2"/>
        </w:numPr>
        <w:spacing w:after="80"/>
      </w:pPr>
      <w:r>
        <w:rPr>
          <w:rFonts w:ascii="Calibri" w:cs="Calibri" w:eastAsia="Calibri" w:hAnsi="Calibri"/>
          <w:sz w:val="22"/>
          <w:szCs w:val="22"/>
        </w:rPr>
        <w:t xml:space="preserve">No lean diapositivas de memoria — muestren que entienden lo que están diciendo, aunque se les olvide una palabra exacta.</w:t>
      </w:r>
    </w:p>
    <w:p>
      <w:pPr>
        <w:pStyle w:val="ListParagraph"/>
        <w:numPr>
          <w:ilvl w:val="0"/>
          <w:numId w:val="2"/>
        </w:numPr>
        <w:spacing w:after="80"/>
      </w:pPr>
      <w:r>
        <w:rPr>
          <w:rFonts w:ascii="Calibri" w:cs="Calibri" w:eastAsia="Calibri" w:hAnsi="Calibri"/>
          <w:sz w:val="22"/>
          <w:szCs w:val="22"/>
        </w:rPr>
        <w:t xml:space="preserve">Si no saben una respuesta, digan "no lo tengo claro, pero lo que sí sé es..." en vez de inventar — un jurado nota más una respuesta insegura pero honesta que una inventada con seguridad.</w:t>
      </w:r>
    </w:p>
    <w:p>
      <w:pPr>
        <w:pStyle w:val="ListParagraph"/>
        <w:numPr>
          <w:ilvl w:val="0"/>
          <w:numId w:val="2"/>
        </w:numPr>
        <w:spacing w:after="80"/>
      </w:pPr>
      <w:r>
        <w:rPr>
          <w:rFonts w:ascii="Calibri" w:cs="Calibri" w:eastAsia="Calibri" w:hAnsi="Calibri"/>
          <w:sz w:val="22"/>
          <w:szCs w:val="22"/>
        </w:rPr>
        <w:t xml:space="preserve">Practiquen la demo en vivo al menos una vez completa antes del día, con el mismo flujo que van a mostrar al jurado.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2026-09-23T21:11:47.996Z</dcterms:created>
  <dcterms:modified xsi:type="dcterms:W3CDTF">2026-09-23T21:11:47.996Z</dcterms:modified>
</cp:coreProperties>
</file>

<file path=docProps/custom.xml><?xml version="1.0" encoding="utf-8"?>
<Properties xmlns="http://schemas.openxmlformats.org/officeDocument/2006/custom-properties" xmlns:vt="http://schemas.openxmlformats.org/officeDocument/2006/docPropsVTypes"/>
</file>