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LABOUR CALCULATION DETAIL</w:t>
      </w:r>
    </w:p>
    <w:p>
      <w:pPr>
        <w:jc w:val="center"/>
      </w:pPr>
      <w:r>
        <w:rPr>
          <w:b/>
          <w:color w:val="C69A2B"/>
          <w:sz w:val="22"/>
        </w:rPr>
        <w:t>INTERNAL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p>
      <w:r>
        <w:t>Direct labour hours, rates, and quoted totals are project-specific and are not stored in this reusable master.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Labour Task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Basis / Scope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labour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GM reference sell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deck and stair lines; 11 pile locations marked for Pro Post (Pro Post supplies AND installs the piles: no pile labour here)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11 posts cut on brackets; built-up 2×10 beams (7 × 12 ft + 4 × 10 ft), 3/8 in carriage bolts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 joists cut to the pool curve, 8-piece curved header with 14 skewed hangers, blocking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$1,800.00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$2,117.65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9 joists 3 ft, lower beam, blocking, lower posts cut on site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$705.88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wide, 4 treads, 5 risers; stringers cut and hung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147 sq ft (upper 116.8 + lower 30), every board scribed to the pool curve on the upper deck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 tread boards, 5 riser boards 10 ft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$705.88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44 ft of exposed rim, colour-matched screws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$375.00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$441.18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solid blocking under each Vista post base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11 sections, 14 posts on base plates, pickets, 48 in gate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delivery to the back yard (carrying is extra from BMR)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debris, offcuts, punch list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Two-person crew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$11,029.41</w:t>
            </w:r>
          </w:p>
        </w:tc>
      </w:tr>
    </w:tbl>
    <w:p>
      <w:pPr>
        <w:pStyle w:val="Heading1"/>
      </w:pPr>
      <w:r>
        <w:t>Labour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man-hours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Direct labour rate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$75.00 per man-hour (Brayman rate from 27 Oct 2026)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Direct labour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GM reference sell (15% true gross margin)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$11,029.41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Crew and duration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Two-person crew, about 7.8 working days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Supplied and installed by Pro Post Foundations (OT-2236); no pile installation in Brayman labour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Joel's estimating allowance (27 Oct 2026) from the J1 take-off and supplier quantities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For Ben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Review each line; adjust the hours of any task from your experience and the price is recalculated</w:t>
            </w:r>
          </w:p>
        </w:tc>
      </w:tr>
    </w:tbl>
    <w:p>
      <w:r>
        <w:t>Direct labour hours and rates are project-specific and are not stored in this reusable master.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Labour Calculation Detail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  <w:r>
            <w:rPr>
              <w:b/>
              <w:color w:val="C69A2B"/>
              <w:sz w:val="15"/>
            </w:rPr>
            <w:br/>
            <w:t>CONFIDENTIAL - INTERNAL ESTIMATING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