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Investment Policy Statement (Excerpt) — Dr. Priya Nair</w:t>
      </w:r>
    </w:p>
    <w:p>
      <w:r>
        <w:rPr>
          <w:i/>
          <w:sz w:val="22"/>
        </w:rPr>
        <w:t>Effective date: June 20, 2025 — next scheduled review: June 2027</w:t>
      </w:r>
    </w:p>
    <w:p>
      <w:r>
        <w:t>Beacon Ridge Wealth Advisors — Prepared by Sarah Kim, CFP</w:t>
      </w:r>
    </w:p>
    <w:p/>
    <w:p>
      <w:pPr>
        <w:pStyle w:val="Heading1"/>
      </w:pPr>
      <w:r>
        <w:t>Risk Tolerance &amp; Time Horizon</w:t>
      </w:r>
    </w:p>
    <w:p>
      <w:r>
        <w:t>Risk tolerance: Aggressive growth. Time horizon: 25+ years to traditional retirement age. High and growing earned income provides significant capacity to bear market volatility.</w:t>
      </w:r>
    </w:p>
    <w:p>
      <w:pPr>
        <w:pStyle w:val="Heading1"/>
      </w:pPr>
      <w:r>
        <w:t>Target Asset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Target %</w:t>
            </w:r>
          </w:p>
        </w:tc>
        <w:tc>
          <w:tcPr>
            <w:tcW w:type="dxa" w:w="2880"/>
          </w:tcPr>
          <w:p>
            <w:r>
              <w:t>Rebalance Band</w:t>
            </w:r>
          </w:p>
        </w:tc>
      </w:tr>
      <w:tr>
        <w:tc>
          <w:tcPr>
            <w:tcW w:type="dxa" w:w="2880"/>
          </w:tcPr>
          <w:p>
            <w:r>
              <w:t>U.S. Equity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±7%</w:t>
            </w:r>
          </w:p>
        </w:tc>
      </w:tr>
      <w:tr>
        <w:tc>
          <w:tcPr>
            <w:tcW w:type="dxa" w:w="2880"/>
          </w:tcPr>
          <w:p>
            <w:r>
              <w:t>International Equity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±7%</w:t>
            </w:r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±3%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±2%</w:t>
            </w:r>
          </w:p>
        </w:tc>
      </w:tr>
    </w:tbl>
    <w:p/>
    <w:p>
      <w:pPr>
        <w:pStyle w:val="Heading1"/>
      </w:pPr>
      <w:r>
        <w:t>Constraints</w:t>
      </w:r>
    </w:p>
    <w:p>
      <w:r>
        <w:t>Home purchase carve-out: the dedicated home-fund savings (currently $61,000) are held outside this allocation, in high-yield savings, since the funds are needed within 24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