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Investment Policy Statement (Excerpt) — Alvarez Household</w:t>
      </w:r>
    </w:p>
    <w:p>
      <w:r>
        <w:rPr>
          <w:i/>
          <w:sz w:val="22"/>
        </w:rPr>
        <w:t>Effective date: March 15, 2024 — next scheduled review: March 2026</w:t>
      </w:r>
    </w:p>
    <w:p>
      <w:r>
        <w:t>Beacon Ridge Wealth Advisors — Prepared by Sarah Kim, CFP</w:t>
      </w:r>
    </w:p>
    <w:p/>
    <w:p>
      <w:pPr>
        <w:pStyle w:val="Heading1"/>
      </w:pPr>
      <w:r>
        <w:t>Risk Tolerance &amp; Time Horizon</w:t>
      </w:r>
    </w:p>
    <w:p>
      <w:r>
        <w:t>Risk tolerance: Growth-oriented. Time horizon: 15+ years to the planned business exit and beyond, with two children's education funding needs beginning in 2029 (Sofia) and 2032 (Diego).</w:t>
      </w:r>
    </w:p>
    <w:p>
      <w:pPr>
        <w:pStyle w:val="Heading1"/>
      </w:pPr>
      <w:r>
        <w:t>Target Asset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Asset Class</w:t>
            </w:r>
          </w:p>
        </w:tc>
        <w:tc>
          <w:tcPr>
            <w:tcW w:type="dxa" w:w="2880"/>
          </w:tcPr>
          <w:p>
            <w:r>
              <w:t>Target %</w:t>
            </w:r>
          </w:p>
        </w:tc>
        <w:tc>
          <w:tcPr>
            <w:tcW w:type="dxa" w:w="2880"/>
          </w:tcPr>
          <w:p>
            <w:r>
              <w:t>Rebalance Band</w:t>
            </w:r>
          </w:p>
        </w:tc>
      </w:tr>
      <w:tr>
        <w:tc>
          <w:tcPr>
            <w:tcW w:type="dxa" w:w="2880"/>
          </w:tcPr>
          <w:p>
            <w:r>
              <w:t>U.S. Equity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±7%</w:t>
            </w:r>
          </w:p>
        </w:tc>
      </w:tr>
      <w:tr>
        <w:tc>
          <w:tcPr>
            <w:tcW w:type="dxa" w:w="2880"/>
          </w:tcPr>
          <w:p>
            <w:r>
              <w:t>International Equity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±5%</w:t>
            </w:r>
          </w:p>
        </w:tc>
      </w:tr>
      <w:tr>
        <w:tc>
          <w:tcPr>
            <w:tcW w:type="dxa" w:w="2880"/>
          </w:tcPr>
          <w:p>
            <w:r>
              <w:t>Fixed Income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±5%</w:t>
            </w:r>
          </w:p>
        </w:tc>
      </w:tr>
      <w:tr>
        <w:tc>
          <w:tcPr>
            <w:tcW w:type="dxa" w:w="2880"/>
          </w:tcPr>
          <w:p>
            <w:r>
              <w:t>Cash &amp; Equivalents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±2%</w:t>
            </w:r>
          </w:p>
        </w:tc>
      </w:tr>
    </w:tbl>
    <w:p/>
    <w:p>
      <w:pPr>
        <w:pStyle w:val="Heading1"/>
      </w:pPr>
      <w:r>
        <w:t>Constraints</w:t>
      </w:r>
    </w:p>
    <w:p>
      <w:r>
        <w:t>Concentration risk: the household's net worth is heavily weighted toward the business itself; portfolio allocation intentionally favors liquid, diversified public equities to offset that concentration.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