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Meeting Prep Notes — Alvarez Household</w:t>
      </w:r>
    </w:p>
    <w:p>
      <w:r>
        <w:rPr>
          <w:i/>
          <w:sz w:val="22"/>
        </w:rPr>
        <w:t>Upcoming meeting: Wednesday, February 11, 2026, 4:00 PM (video call)</w:t>
      </w:r>
    </w:p>
    <w:p>
      <w:r>
        <w:t>Beacon Ridge Wealth Advisors — Prepared by Sarah Kim, CFP</w:t>
      </w:r>
    </w:p>
    <w:p/>
    <w:p>
      <w:pPr>
        <w:pStyle w:val="Heading1"/>
      </w:pPr>
      <w:r>
        <w:t>Agenda</w:t>
      </w:r>
    </w:p>
    <w:p>
      <w:r>
        <w:t>1. Q1 2026 estimated tax payments — confirm safe-harbor amount given the 2025 Roth conversion income.</w:t>
      </w:r>
    </w:p>
    <w:p>
      <w:r>
        <w:t>2. Tax-loss harvesting review on the Schwab joint brokerage account — two positions (an energy sector ETF and a regional bank fund) are down and eligible for harvesting before year-end planning.</w:t>
      </w:r>
    </w:p>
    <w:p>
      <w:r>
        <w:t>3. Business sale readiness checklist — walk through Meridian's 2025 appraisal letter and discuss what would move enterprise value toward the $3,000,000 target.</w:t>
      </w:r>
    </w:p>
    <w:p>
      <w:r>
        <w:t>4. Confirm 2026 Roth conversion amount ($40,000) and timing (recommend converting in two $20,000 tranches, April and October).</w:t>
      </w:r>
    </w:p>
    <w:p>
      <w:pPr>
        <w:pStyle w:val="Heading1"/>
      </w:pPr>
      <w:r>
        <w:t>Notes From Maria (email, Feb 3, 2026)</w:t>
      </w:r>
    </w:p>
    <w:p>
      <w:r>
        <w:t>• “Diego wants to know if his 529 can be used for a trade school instead of a 4-year college — please check before the meeting.” (Answer: yes, 529 funds cover most accredited trade and vocational programs.)</w:t>
      </w:r>
    </w:p>
    <w:p>
      <w:r>
        <w:t>• “We got an unsolicited offer from a regional restaurant group for the business — want to discuss whether now is too early to sell.”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