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Investment Policy Statement (Excerpt) — Henderson Household</w:t>
      </w:r>
    </w:p>
    <w:p>
      <w:r>
        <w:rPr>
          <w:i/>
          <w:sz w:val="22"/>
        </w:rPr>
        <w:t>Effective date: February 1, 2025 — next scheduled review: February 2027</w:t>
      </w:r>
    </w:p>
    <w:p>
      <w:r>
        <w:t>Beacon Ridge Wealth Advisors — Prepared by Sarah Kim, CFP</w:t>
      </w:r>
    </w:p>
    <w:p/>
    <w:p>
      <w:pPr>
        <w:pStyle w:val="Heading1"/>
      </w:pPr>
      <w:r>
        <w:t>Risk Tolerance &amp; Time Horizon</w:t>
      </w:r>
    </w:p>
    <w:p>
      <w:r>
        <w:t>Risk tolerance: Moderate. Time horizon: 15+ years (joint life expectancy), with an income-need horizon beginning immediately given retired status.</w:t>
      </w:r>
    </w:p>
    <w:p>
      <w:r>
        <w:t>Primary objective: capital preservation with modest growth to offset inflation, sufficient to support $9,500/month in portfolio-funded income alongside Social Security.</w:t>
      </w:r>
    </w:p>
    <w:p>
      <w:pPr>
        <w:pStyle w:val="Heading1"/>
      </w:pPr>
      <w:r>
        <w:t>Target Asset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 Class</w:t>
            </w:r>
          </w:p>
        </w:tc>
        <w:tc>
          <w:tcPr>
            <w:tcW w:type="dxa" w:w="2880"/>
          </w:tcPr>
          <w:p>
            <w:r>
              <w:t>Target %</w:t>
            </w:r>
          </w:p>
        </w:tc>
        <w:tc>
          <w:tcPr>
            <w:tcW w:type="dxa" w:w="2880"/>
          </w:tcPr>
          <w:p>
            <w:r>
              <w:t>Rebalance Band</w:t>
            </w:r>
          </w:p>
        </w:tc>
      </w:tr>
      <w:tr>
        <w:tc>
          <w:tcPr>
            <w:tcW w:type="dxa" w:w="2880"/>
          </w:tcPr>
          <w:p>
            <w:r>
              <w:t>U.S. Equity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±5%</w:t>
            </w:r>
          </w:p>
        </w:tc>
      </w:tr>
      <w:tr>
        <w:tc>
          <w:tcPr>
            <w:tcW w:type="dxa" w:w="2880"/>
          </w:tcPr>
          <w:p>
            <w:r>
              <w:t>International Equity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±5%</w:t>
            </w:r>
          </w:p>
        </w:tc>
      </w:tr>
      <w:tr>
        <w:tc>
          <w:tcPr>
            <w:tcW w:type="dxa" w:w="2880"/>
          </w:tcPr>
          <w:p>
            <w:r>
              <w:t>Fixed Income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±5%</w:t>
            </w:r>
          </w:p>
        </w:tc>
      </w:tr>
      <w:tr>
        <w:tc>
          <w:tcPr>
            <w:tcW w:type="dxa" w:w="2880"/>
          </w:tcPr>
          <w:p>
            <w:r>
              <w:t>Cash &amp; Equivalents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±2%</w:t>
            </w:r>
          </w:p>
        </w:tc>
      </w:tr>
    </w:tbl>
    <w:p/>
    <w:p>
      <w:pPr>
        <w:pStyle w:val="Heading1"/>
      </w:pPr>
      <w:r>
        <w:t>Constraints</w:t>
      </w:r>
    </w:p>
    <w:p>
      <w:r>
        <w:t>Liquidity: maintain at least 12 months of anticipated distributions in cash/short-term instruments at all times.</w:t>
      </w:r>
    </w:p>
    <w:p>
      <w:r>
        <w:t>Tax considerations: prioritize the Traditional IRA for RMD withdrawals; use the taxable brokerage account for the 529 gift funding to preserve tax-deferred growth inside retirement accounts.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