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Financial Plan Summary — Dr. Priya Nair</w:t>
      </w:r>
    </w:p>
    <w:p>
      <w:r>
        <w:rPr>
          <w:i/>
          <w:sz w:val="22"/>
        </w:rPr>
        <w:t>Annual plan update — March 2026</w:t>
      </w:r>
    </w:p>
    <w:p>
      <w:r>
        <w:t>Beacon Ridge Wealth Advisors — Prepared by Sarah Kim, CFP</w:t>
      </w:r>
    </w:p>
    <w:p/>
    <w:p>
      <w:pPr>
        <w:pStyle w:val="Heading1"/>
      </w:pPr>
      <w:r>
        <w:t>Client Overview</w:t>
      </w:r>
    </w:p>
    <w:p>
      <w:r>
        <w:t>Dr. Priya Nair (37) is an interventional cardiologist at Cascade Regional Medical Center, a nonprofit hospital in the Seattle, WA area. She is single with no dependents. Current base income: $420,000/year.</w:t>
      </w:r>
    </w:p>
    <w:p>
      <w:pPr>
        <w:pStyle w:val="Heading1"/>
      </w:pPr>
      <w:r>
        <w:t>Current Assets (as of December 31,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Custodian</w:t>
            </w:r>
          </w:p>
        </w:tc>
        <w:tc>
          <w:tcPr>
            <w:tcW w:type="dxa" w:w="2880"/>
          </w:tcPr>
          <w:p>
            <w:r>
              <w:t>Balance</w:t>
            </w:r>
          </w:p>
        </w:tc>
      </w:tr>
      <w:tr>
        <w:tc>
          <w:tcPr>
            <w:tcW w:type="dxa" w:w="2880"/>
          </w:tcPr>
          <w:p>
            <w:r>
              <w:t>403(b)</w:t>
            </w:r>
          </w:p>
        </w:tc>
        <w:tc>
          <w:tcPr>
            <w:tcW w:type="dxa" w:w="2880"/>
          </w:tcPr>
          <w:p>
            <w:r>
              <w:t>Fidelity</w:t>
            </w:r>
          </w:p>
        </w:tc>
        <w:tc>
          <w:tcPr>
            <w:tcW w:type="dxa" w:w="2880"/>
          </w:tcPr>
          <w:p>
            <w:r>
              <w:t>$215,000</w:t>
            </w:r>
          </w:p>
        </w:tc>
      </w:tr>
      <w:tr>
        <w:tc>
          <w:tcPr>
            <w:tcW w:type="dxa" w:w="2880"/>
          </w:tcPr>
          <w:p>
            <w:r>
              <w:t>Taxable Brokerage</w:t>
            </w:r>
          </w:p>
        </w:tc>
        <w:tc>
          <w:tcPr>
            <w:tcW w:type="dxa" w:w="2880"/>
          </w:tcPr>
          <w:p>
            <w:r>
              <w:t>Fidelity</w:t>
            </w:r>
          </w:p>
        </w:tc>
        <w:tc>
          <w:tcPr>
            <w:tcW w:type="dxa" w:w="2880"/>
          </w:tcPr>
          <w:p>
            <w:r>
              <w:t>$95,000</w:t>
            </w:r>
          </w:p>
        </w:tc>
      </w:tr>
      <w:tr>
        <w:tc>
          <w:tcPr>
            <w:tcW w:type="dxa" w:w="2880"/>
          </w:tcPr>
          <w:p>
            <w:r>
              <w:t>Roth IRA (backdoor contributions)</w:t>
            </w:r>
          </w:p>
        </w:tc>
        <w:tc>
          <w:tcPr>
            <w:tcW w:type="dxa" w:w="2880"/>
          </w:tcPr>
          <w:p>
            <w:r>
              <w:t>Fidelity</w:t>
            </w:r>
          </w:p>
        </w:tc>
        <w:tc>
          <w:tcPr>
            <w:tcW w:type="dxa" w:w="2880"/>
          </w:tcPr>
          <w:p>
            <w:r>
              <w:t>$41,300</w:t>
            </w:r>
          </w:p>
        </w:tc>
      </w:tr>
      <w:tr>
        <w:tc>
          <w:tcPr>
            <w:tcW w:type="dxa" w:w="2880"/>
          </w:tcPr>
          <w:p>
            <w:r>
              <w:t>Cash Reserve</w:t>
            </w:r>
          </w:p>
        </w:tc>
        <w:tc>
          <w:tcPr>
            <w:tcW w:type="dxa" w:w="2880"/>
          </w:tcPr>
          <w:p>
            <w:r>
              <w:t>Ally Bank</w:t>
            </w:r>
          </w:p>
        </w:tc>
        <w:tc>
          <w:tcPr>
            <w:tcW w:type="dxa" w:w="2880"/>
          </w:tcPr>
          <w:p>
            <w:r>
              <w:t>$48,000</w:t>
            </w:r>
          </w:p>
        </w:tc>
      </w:tr>
    </w:tbl>
    <w:p/>
    <w:p>
      <w:pPr>
        <w:pStyle w:val="Heading1"/>
      </w:pPr>
      <w:r>
        <w:t>Goal: Student Loan Payoff via PSLF</w:t>
      </w:r>
    </w:p>
    <w:p>
      <w:r>
        <w:t>Dr. Nair carries $178,400 in federal Direct and Grad PLUS student loans from medical school. Because Cascade Regional Medical Center is a qualifying nonprofit employer, she is pursuing Public Service Loan Forgiveness (PSLF).</w:t>
      </w:r>
    </w:p>
    <w:p>
      <w:r>
        <w:t>As of December 2025, she has made 84 of the required 120 qualifying payments, putting projected full forgiveness in 2029. We recommend continuing minimum income-driven repayment plan payments rather than accelerating payoff.</w:t>
      </w:r>
    </w:p>
    <w:p>
      <w:pPr>
        <w:pStyle w:val="Heading1"/>
      </w:pPr>
      <w:r>
        <w:t>Goal: Backdoor Roth IRA</w:t>
      </w:r>
    </w:p>
    <w:p>
      <w:r>
        <w:t>Dr. Nair's income exceeds the direct Roth IRA contribution limit, so she executes a backdoor Roth conversion each year: a $7,000 nondeductible contribution to a Traditional IRA (2026 limit), converted to Roth shortly after. She holds no other pre-tax IRA balances, so there is no pro-rata complication.</w:t>
      </w:r>
    </w:p>
    <w:p>
      <w:pPr>
        <w:pStyle w:val="Heading1"/>
      </w:pPr>
      <w:r>
        <w:t>Goal: Disability Insurance Review</w:t>
      </w:r>
    </w:p>
    <w:p>
      <w:r>
        <w:t>Dr. Nair holds an own-occupation disability policy through Guardian with a $12,000/month benefit. Given her income growth, we recommend increasing coverage to $15,000/month at her next review, especially given the physical demands of interventional procedures.</w:t>
      </w:r>
    </w:p>
    <w:p>
      <w:pPr>
        <w:pStyle w:val="Heading1"/>
      </w:pPr>
      <w:r>
        <w:t>Goal: Home Purchase</w:t>
      </w:r>
    </w:p>
    <w:p>
      <w:r>
        <w:t>Dr. Nair is saving toward a home purchase in the Seattle area, targeting homes in the $900,000–$1,100,000 range. Target down payment: $250,000 by summer 2027. Current dedicated home-fund savings: $61,000, saving an additional $5,500/month.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