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Financial Plan Summary — Maria &amp; Luis Alvarez</w:t>
      </w:r>
    </w:p>
    <w:p>
      <w:r>
        <w:rPr>
          <w:i/>
          <w:sz w:val="22"/>
        </w:rPr>
        <w:t>Annual plan update — February 2026</w:t>
      </w:r>
    </w:p>
    <w:p>
      <w:r>
        <w:t>Beacon Ridge Wealth Advisors — Prepared by Sarah Kim, CFP</w:t>
      </w:r>
    </w:p>
    <w:p/>
    <w:p>
      <w:pPr>
        <w:pStyle w:val="Heading1"/>
      </w:pPr>
      <w:r>
        <w:t>Household Overview</w:t>
      </w:r>
    </w:p>
    <w:p>
      <w:r>
        <w:t>Maria Alvarez (45) and Luis Alvarez (48) co-own Alvarez Family Taquerias, a 7-location restaurant group in the Austin, TX area. They have two children: Sofia (15) and Diego (12).</w:t>
      </w:r>
    </w:p>
    <w:p>
      <w:r>
        <w:t>A 2025 appraisal by Meridian Business Valuations placed the business at approximately $2,100,000 in enterprise value.</w:t>
      </w:r>
    </w:p>
    <w:p>
      <w:pPr>
        <w:pStyle w:val="Heading1"/>
      </w:pPr>
      <w:r>
        <w:t>Current Assets (as of December 31,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Custodian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Balance</w:t>
            </w:r>
          </w:p>
        </w:tc>
      </w:tr>
      <w:tr>
        <w:tc>
          <w:tcPr>
            <w:tcW w:type="dxa" w:w="2160"/>
          </w:tcPr>
          <w:p>
            <w:r>
              <w:t>Joint Brokerage</w:t>
            </w:r>
          </w:p>
        </w:tc>
        <w:tc>
          <w:tcPr>
            <w:tcW w:type="dxa" w:w="2160"/>
          </w:tcPr>
          <w:p>
            <w:r>
              <w:t>Charles Schwab</w:t>
            </w:r>
          </w:p>
        </w:tc>
        <w:tc>
          <w:tcPr>
            <w:tcW w:type="dxa" w:w="2160"/>
          </w:tcPr>
          <w:p>
            <w:r>
              <w:t>Joint</w:t>
            </w:r>
          </w:p>
        </w:tc>
        <w:tc>
          <w:tcPr>
            <w:tcW w:type="dxa" w:w="2160"/>
          </w:tcPr>
          <w:p>
            <w:r>
              <w:t>$612,340</w:t>
            </w:r>
          </w:p>
        </w:tc>
      </w:tr>
      <w:tr>
        <w:tc>
          <w:tcPr>
            <w:tcW w:type="dxa" w:w="2160"/>
          </w:tcPr>
          <w:p>
            <w:r>
              <w:t>SEP IRA</w:t>
            </w:r>
          </w:p>
        </w:tc>
        <w:tc>
          <w:tcPr>
            <w:tcW w:type="dxa" w:w="2160"/>
          </w:tcPr>
          <w:p>
            <w:r>
              <w:t>Charles Schwab</w:t>
            </w:r>
          </w:p>
        </w:tc>
        <w:tc>
          <w:tcPr>
            <w:tcW w:type="dxa" w:w="2160"/>
          </w:tcPr>
          <w:p>
            <w:r>
              <w:t>Luis</w:t>
            </w:r>
          </w:p>
        </w:tc>
        <w:tc>
          <w:tcPr>
            <w:tcW w:type="dxa" w:w="2160"/>
          </w:tcPr>
          <w:p>
            <w:r>
              <w:t>$284,700</w:t>
            </w:r>
          </w:p>
        </w:tc>
      </w:tr>
      <w:tr>
        <w:tc>
          <w:tcPr>
            <w:tcW w:type="dxa" w:w="2160"/>
          </w:tcPr>
          <w:p>
            <w:r>
              <w:t>Sofia's 529 (Texas Tuition Promise Fund)</w:t>
            </w:r>
          </w:p>
        </w:tc>
        <w:tc>
          <w:tcPr>
            <w:tcW w:type="dxa" w:w="2160"/>
          </w:tcPr>
          <w:p>
            <w:r>
              <w:t>TX 529</w:t>
            </w:r>
          </w:p>
        </w:tc>
        <w:tc>
          <w:tcPr>
            <w:tcW w:type="dxa" w:w="2160"/>
          </w:tcPr>
          <w:p>
            <w:r>
              <w:t>Sofia</w:t>
            </w:r>
          </w:p>
        </w:tc>
        <w:tc>
          <w:tcPr>
            <w:tcW w:type="dxa" w:w="2160"/>
          </w:tcPr>
          <w:p>
            <w:r>
              <w:t>$58,000</w:t>
            </w:r>
          </w:p>
        </w:tc>
      </w:tr>
      <w:tr>
        <w:tc>
          <w:tcPr>
            <w:tcW w:type="dxa" w:w="2160"/>
          </w:tcPr>
          <w:p>
            <w:r>
              <w:t>Diego's 529 (Texas Tuition Promise Fund)</w:t>
            </w:r>
          </w:p>
        </w:tc>
        <w:tc>
          <w:tcPr>
            <w:tcW w:type="dxa" w:w="2160"/>
          </w:tcPr>
          <w:p>
            <w:r>
              <w:t>TX 529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$41,000</w:t>
            </w:r>
          </w:p>
        </w:tc>
      </w:tr>
      <w:tr>
        <w:tc>
          <w:tcPr>
            <w:tcW w:type="dxa" w:w="2160"/>
          </w:tcPr>
          <w:p>
            <w:r>
              <w:t>Business Operating Reserve</w:t>
            </w:r>
          </w:p>
        </w:tc>
        <w:tc>
          <w:tcPr>
            <w:tcW w:type="dxa" w:w="2160"/>
          </w:tcPr>
          <w:p>
            <w:r>
              <w:t>Chase Business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$95,000</w:t>
            </w:r>
          </w:p>
        </w:tc>
      </w:tr>
    </w:tbl>
    <w:p/>
    <w:p>
      <w:pPr>
        <w:pStyle w:val="Heading1"/>
      </w:pPr>
      <w:r>
        <w:t>Goal: Business Exit Planning</w:t>
      </w:r>
    </w:p>
    <w:p>
      <w:r>
        <w:t>Maria and Luis are targeting a sale of Alvarez Family Taquerias by 2031, once Sofia has finished college. They have engaged Meridian Business Valuations for annual appraisals to track enterprise value growth toward a $3,000,000+ exit target.</w:t>
      </w:r>
    </w:p>
    <w:p>
      <w:pPr>
        <w:pStyle w:val="Heading1"/>
      </w:pPr>
      <w:r>
        <w:t>Goal: Roth Conversion Strategy</w:t>
      </w:r>
    </w:p>
    <w:p>
      <w:r>
        <w:t>Given a temporary dip in reportable business income in 2025 (remodel costs at two locations), we recommended converting $40,000 per year from Luis's SEP IRA to a Roth IRA in 2025, 2026, and 2027, filling up the 22% federal bracket without spilling into the 24% bracket.</w:t>
      </w:r>
    </w:p>
    <w:p>
      <w:pPr>
        <w:pStyle w:val="Heading1"/>
      </w:pPr>
      <w:r>
        <w:t>Goal: Emergency Fund Build-Up</w:t>
      </w:r>
    </w:p>
    <w:p>
      <w:r>
        <w:t>Current emergency reserve is $35,000; target is $75,000 (approximately 6 months of the couple's combined $12,500/month household draw from the business). Funding an additional $3,300/month from business distributions until the target is reached, expected by late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