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Financial Plan Summary — Robert &amp; Linda Henderson</w:t>
      </w:r>
    </w:p>
    <w:p>
      <w:r>
        <w:rPr>
          <w:i/>
          <w:sz w:val="22"/>
        </w:rPr>
        <w:t>Annual plan update — January 2026</w:t>
      </w:r>
    </w:p>
    <w:p>
      <w:r>
        <w:t>Beacon Ridge Wealth Advisors — Prepared by Sarah Kim, CFP</w:t>
      </w:r>
    </w:p>
    <w:p/>
    <w:p>
      <w:pPr>
        <w:pStyle w:val="Heading1"/>
      </w:pPr>
      <w:r>
        <w:t>Household Overview</w:t>
      </w:r>
    </w:p>
    <w:p>
      <w:r>
        <w:t>Robert Henderson (born March 14, 1953) and Linda Henderson (born August 2, 1955) are retired and living in Sarasota, FL. Robert retired from Gulf Coast Engineering in 2019; Linda retired from teaching in 2020.</w:t>
      </w:r>
    </w:p>
    <w:p>
      <w:r>
        <w:t>Robert turns 73 in March 2026, which triggers his first Required Minimum Distribution (RMD) from his Traditional IRA. Under the SECURE 2.0 rules, his first RMD must be taken by April 1, 2027.</w:t>
      </w:r>
    </w:p>
    <w:p>
      <w:pPr>
        <w:pStyle w:val="Heading1"/>
      </w:pPr>
      <w:r>
        <w:t>Current Assets (as of December 31,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Account</w:t>
            </w:r>
          </w:p>
        </w:tc>
        <w:tc>
          <w:tcPr>
            <w:tcW w:type="dxa" w:w="2160"/>
          </w:tcPr>
          <w:p>
            <w:r>
              <w:t>Custodian</w:t>
            </w:r>
          </w:p>
        </w:tc>
        <w:tc>
          <w:tcPr>
            <w:tcW w:type="dxa" w:w="2160"/>
          </w:tcPr>
          <w:p>
            <w:r>
              <w:t>Owner</w:t>
            </w:r>
          </w:p>
        </w:tc>
        <w:tc>
          <w:tcPr>
            <w:tcW w:type="dxa" w:w="2160"/>
          </w:tcPr>
          <w:p>
            <w:r>
              <w:t>Balance</w:t>
            </w:r>
          </w:p>
        </w:tc>
      </w:tr>
      <w:tr>
        <w:tc>
          <w:tcPr>
            <w:tcW w:type="dxa" w:w="2160"/>
          </w:tcPr>
          <w:p>
            <w:r>
              <w:t>Traditional IRA</w:t>
            </w:r>
          </w:p>
        </w:tc>
        <w:tc>
          <w:tcPr>
            <w:tcW w:type="dxa" w:w="2160"/>
          </w:tcPr>
          <w:p>
            <w:r>
              <w:t>Fidelity</w:t>
            </w:r>
          </w:p>
        </w:tc>
        <w:tc>
          <w:tcPr>
            <w:tcW w:type="dxa" w:w="2160"/>
          </w:tcPr>
          <w:p>
            <w:r>
              <w:t>Robert</w:t>
            </w:r>
          </w:p>
        </w:tc>
        <w:tc>
          <w:tcPr>
            <w:tcW w:type="dxa" w:w="2160"/>
          </w:tcPr>
          <w:p>
            <w:r>
              <w:t>$1,340,212</w:t>
            </w:r>
          </w:p>
        </w:tc>
      </w:tr>
      <w:tr>
        <w:tc>
          <w:tcPr>
            <w:tcW w:type="dxa" w:w="2160"/>
          </w:tcPr>
          <w:p>
            <w:r>
              <w:t>Roth IRA</w:t>
            </w:r>
          </w:p>
        </w:tc>
        <w:tc>
          <w:tcPr>
            <w:tcW w:type="dxa" w:w="2160"/>
          </w:tcPr>
          <w:p>
            <w:r>
              <w:t>Fidelity</w:t>
            </w:r>
          </w:p>
        </w:tc>
        <w:tc>
          <w:tcPr>
            <w:tcW w:type="dxa" w:w="2160"/>
          </w:tcPr>
          <w:p>
            <w:r>
              <w:t>Linda</w:t>
            </w:r>
          </w:p>
        </w:tc>
        <w:tc>
          <w:tcPr>
            <w:tcW w:type="dxa" w:w="2160"/>
          </w:tcPr>
          <w:p>
            <w:r>
              <w:t>$410,880</w:t>
            </w:r>
          </w:p>
        </w:tc>
      </w:tr>
      <w:tr>
        <w:tc>
          <w:tcPr>
            <w:tcW w:type="dxa" w:w="2160"/>
          </w:tcPr>
          <w:p>
            <w:r>
              <w:t>Joint Brokerage</w:t>
            </w:r>
          </w:p>
        </w:tc>
        <w:tc>
          <w:tcPr>
            <w:tcW w:type="dxa" w:w="2160"/>
          </w:tcPr>
          <w:p>
            <w:r>
              <w:t>Charles Schwab</w:t>
            </w:r>
          </w:p>
        </w:tc>
        <w:tc>
          <w:tcPr>
            <w:tcW w:type="dxa" w:w="2160"/>
          </w:tcPr>
          <w:p>
            <w:r>
              <w:t>Joint</w:t>
            </w:r>
          </w:p>
        </w:tc>
        <w:tc>
          <w:tcPr>
            <w:tcW w:type="dxa" w:w="2160"/>
          </w:tcPr>
          <w:p>
            <w:r>
              <w:t>$685,430</w:t>
            </w:r>
          </w:p>
        </w:tc>
      </w:tr>
      <w:tr>
        <w:tc>
          <w:tcPr>
            <w:tcW w:type="dxa" w:w="2160"/>
          </w:tcPr>
          <w:p>
            <w:r>
              <w:t>Checking / Cash Reserve</w:t>
            </w:r>
          </w:p>
        </w:tc>
        <w:tc>
          <w:tcPr>
            <w:tcW w:type="dxa" w:w="2160"/>
          </w:tcPr>
          <w:p>
            <w:r>
              <w:t>Schwab Bank</w:t>
            </w:r>
          </w:p>
        </w:tc>
        <w:tc>
          <w:tcPr>
            <w:tcW w:type="dxa" w:w="2160"/>
          </w:tcPr>
          <w:p>
            <w:r>
              <w:t>Joint</w:t>
            </w:r>
          </w:p>
        </w:tc>
        <w:tc>
          <w:tcPr>
            <w:tcW w:type="dxa" w:w="2160"/>
          </w:tcPr>
          <w:p>
            <w:r>
              <w:t>$62,000</w:t>
            </w:r>
          </w:p>
        </w:tc>
      </w:tr>
    </w:tbl>
    <w:p/>
    <w:p>
      <w:pPr>
        <w:pStyle w:val="Heading1"/>
      </w:pPr>
      <w:r>
        <w:t>RMD Projection</w:t>
      </w:r>
    </w:p>
    <w:p>
      <w:r>
        <w:t>Using the IRS Uniform Lifetime Table divisor of 26.5 for age 73, Robert's first-year RMD is projected at approximately $50,566, based on the December 31, 2025 IRA balance of $1,340,212.</w:t>
      </w:r>
    </w:p>
    <w:p>
      <w:r>
        <w:t>Recommendation: withhold 15% federal / 4% Florida-equivalent reserve is not applicable (FL has no state income tax); quarterly estimated payments are not required given withholding elected directly from the distribution.</w:t>
      </w:r>
    </w:p>
    <w:p>
      <w:pPr>
        <w:pStyle w:val="Heading1"/>
      </w:pPr>
      <w:r>
        <w:t>Goal: Grandson Ethan's College Fund</w:t>
      </w:r>
    </w:p>
    <w:p>
      <w:r>
        <w:t>Robert and Linda want to superfund a 529 plan for their grandson Ethan Henderson (age 9) with an $80,000 lump-sum contribution in 2026, using the 5-year gift-tax averaging election ($16,000/year annual exclusion × 5 years = $80,000 per grandparent-grandchild pair, filed on Form 709).</w:t>
      </w:r>
    </w:p>
    <w:p>
      <w:r>
        <w:t>Funding source: Charles Schwab joint brokerage account. Target 529 plan: Florida 529 Savings Plan, growth portfolio.</w:t>
      </w:r>
    </w:p>
    <w:p>
      <w:pPr>
        <w:pStyle w:val="Heading1"/>
      </w:pPr>
      <w:r>
        <w:t>Goal: Downsizing the Sarasota Home</w:t>
      </w:r>
    </w:p>
    <w:p>
      <w:r>
        <w:t>The Hendersons plan to sell their current 4-bedroom home and move to a 2-bedroom condo in the same Sarasota community by mid-2027. Estimated net proceeds after a purchase: $350,000, which will be added to the joint brokerage account as a healthcare and long-term-care 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