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Prep Notes — Henderson Household</w:t>
      </w:r>
    </w:p>
    <w:p>
      <w:r>
        <w:rPr>
          <w:i/>
          <w:sz w:val="22"/>
        </w:rPr>
        <w:t>Upcoming meeting: Thursday, January 15, 2026, 10:00 AM (office visit)</w:t>
      </w:r>
    </w:p>
    <w:p>
      <w:r>
        <w:t>Beacon Ridge Wealth Advisors — Prepared by Sarah Kim, CFP</w:t>
      </w:r>
    </w:p>
    <w:p/>
    <w:p>
      <w:pPr>
        <w:pStyle w:val="Heading1"/>
      </w:pPr>
      <w:r>
        <w:t>Agenda</w:t>
      </w:r>
    </w:p>
    <w:p>
      <w:r>
        <w:t>1. Confirm RMD election for Robert's Fidelity Traditional IRA — first distribution due by April 1, 2027; recommend taking it in December 2026 for cleaner tax-year matching.</w:t>
      </w:r>
    </w:p>
    <w:p>
      <w:r>
        <w:t>2. Walk through the $80,000 Form 709 superfunding gift for Ethan's 529 plan — confirm Robert and Linda both want to split-gift (each treated as gifting $40,000).</w:t>
      </w:r>
    </w:p>
    <w:p>
      <w:r>
        <w:t>3. Discuss Sarasota home downsizing timeline — they've met with a realtor (Coastal Realty Group) and are targeting a listing in Q2 2027.</w:t>
      </w:r>
    </w:p>
    <w:p>
      <w:r>
        <w:t>4. Review Q4 2025 Schwab brokerage statement together (attached separately) — YTD return 9.8%, slightly ahead of the IPS benchmark blend.</w:t>
      </w:r>
    </w:p>
    <w:p>
      <w:pPr>
        <w:pStyle w:val="Heading1"/>
      </w:pPr>
      <w:r>
        <w:t>Open Questions From Robert (via voicemail, Jan 8, 2026)</w:t>
      </w:r>
    </w:p>
    <w:p>
      <w:r>
        <w:t>• “Does taking the RMD push us into a higher Medicare IRMAA bracket?” — need to model 2026 MAGI including the ~$50,566 RMD before the meeting.</w:t>
      </w:r>
    </w:p>
    <w:p>
      <w:r>
        <w:t>• “Can we do the 529 gift in two contributions instead of one lump sum?” — yes, but the 5-year election still needs to be filed the year the first contribution is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