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LETTER</w:t>
      </w:r>
    </w:p>
    <w:p>
      <w:r>
        <w:t>Müller &amp; Schäfer GmbH</w:t>
      </w:r>
    </w:p>
    <w:p>
      <w:r>
        <w:t>Hauptstraße 42</w:t>
      </w:r>
    </w:p>
    <w:p>
      <w:r>
        <w:t>80331 München, Germany</w:t>
      </w:r>
    </w:p>
    <w:p/>
    <w:p>
      <w:r>
        <w:t>Dear Herr Müller and Frau Schäfer,</w:t>
      </w:r>
    </w:p>
    <w:p/>
    <w:p>
      <w:r>
        <w:t>This letter confirms our engagement to represent Müller &amp; Schäfer GmbH in connection with the acquisition of Brückner Technologien AG. All communications shall be in English unless otherwise agreed.</w:t>
      </w:r>
    </w:p>
    <w:p/>
    <w:p>
      <w:r>
        <w:t>DRAFT 2 — subject to partner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