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INTAKE MEMORANDUM</w:t>
      </w:r>
    </w:p>
    <w:p>
      <w:r>
        <w:t>Client: Acme Corporation (Wile E. Coyote, CEO)</w:t>
      </w:r>
    </w:p>
    <w:p>
      <w:r>
        <w:t>Opposing Party: Road Runner Logistics LLC</w:t>
      </w:r>
    </w:p>
    <w:p>
      <w:r>
        <w:t>Matter: Breach of Contract — Supply Chain Disruption</w:t>
      </w:r>
    </w:p>
    <w:p>
      <w:r>
        <w:t>Intake Date: June 10, 2026</w:t>
      </w:r>
    </w:p>
    <w:p/>
    <w:p>
      <w:pPr>
        <w:pStyle w:val="Heading1"/>
      </w:pPr>
      <w:r>
        <w:t>Background</w:t>
      </w:r>
    </w:p>
    <w:p>
      <w:r>
        <w:t>Acme Corporation entered into a 24-month supply agreement with Road Runner Logistics LLC in January 2025. Road Runner failed to deliver 14 of 24 monthly shipments on schedule. Acme suffered $2.4 million in downstream losses due to production shutdowns.</w:t>
      </w:r>
    </w:p>
    <w:p>
      <w:pPr>
        <w:pStyle w:val="Heading1"/>
      </w:pPr>
      <w:r>
        <w:t>Claims</w:t>
      </w:r>
    </w:p>
    <w:p>
      <w:r>
        <w:t>1. Breach of contract (failure to perform)</w:t>
      </w:r>
    </w:p>
    <w:p>
      <w:r>
        <w:t>2. Breach of implied covenant of good faith and fair dealing</w:t>
      </w:r>
    </w:p>
    <w:p>
      <w:r>
        <w:t>3. Consequential damages for production shutdown losses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