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4C0293" w14:textId="77777777" w:rsidR="007D487F" w:rsidRDefault="005B1B64">
      <w:pPr>
        <w:spacing w:before="800" w:after="600"/>
        <w:jc w:val="center"/>
      </w:pPr>
      <w:r>
        <w:rPr>
          <w:noProof/>
        </w:rPr>
        <w:drawing>
          <wp:inline distT="0" distB="0" distL="0" distR="0" wp14:anchorId="393396C1" wp14:editId="10AE1E7F">
            <wp:extent cx="1456831" cy="1381760"/>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461603" cy="1386287"/>
                    </a:xfrm>
                    <a:prstGeom prst="rect">
                      <a:avLst/>
                    </a:prstGeom>
                  </pic:spPr>
                </pic:pic>
              </a:graphicData>
            </a:graphic>
          </wp:inline>
        </w:drawing>
      </w:r>
    </w:p>
    <w:p w14:paraId="770B9864" w14:textId="77777777" w:rsidR="007D487F" w:rsidRDefault="005B1B64">
      <w:pPr>
        <w:spacing w:before="200" w:after="80"/>
        <w:jc w:val="center"/>
      </w:pPr>
      <w:r>
        <w:rPr>
          <w:b/>
          <w:bCs/>
          <w:sz w:val="28"/>
          <w:szCs w:val="28"/>
        </w:rPr>
        <w:t>UNIVERSIDAD DE ESPECIALIDADES ESPÍRITU SANTO</w:t>
      </w:r>
    </w:p>
    <w:p w14:paraId="12E2301D" w14:textId="77777777" w:rsidR="007D487F" w:rsidRDefault="005B1B64">
      <w:pPr>
        <w:spacing w:before="200" w:after="400"/>
        <w:jc w:val="center"/>
      </w:pPr>
      <w:r>
        <w:rPr>
          <w:b/>
          <w:bCs/>
          <w:sz w:val="26"/>
          <w:szCs w:val="26"/>
        </w:rPr>
        <w:t>MAESTRÍA EN INTELIGENCIA ARTIFICIAL</w:t>
      </w:r>
    </w:p>
    <w:p w14:paraId="0A5C7EB6" w14:textId="77777777" w:rsidR="007D487F" w:rsidRDefault="005B1B64">
      <w:pPr>
        <w:spacing w:before="240" w:after="80"/>
        <w:jc w:val="center"/>
      </w:pPr>
      <w:r>
        <w:rPr>
          <w:b/>
          <w:bCs/>
          <w:sz w:val="24"/>
          <w:szCs w:val="24"/>
        </w:rPr>
        <w:t>ASIGNATURA:</w:t>
      </w:r>
    </w:p>
    <w:p w14:paraId="1975CC1C" w14:textId="77777777" w:rsidR="007D487F" w:rsidRDefault="005B1B64">
      <w:pPr>
        <w:spacing w:after="280"/>
        <w:jc w:val="center"/>
      </w:pPr>
      <w:r>
        <w:t>PROYECTO INTEGRADOR EN INTELIGENCIA ARTIFICIAL</w:t>
      </w:r>
    </w:p>
    <w:p w14:paraId="5724064B" w14:textId="77777777" w:rsidR="007D487F" w:rsidRDefault="005B1B64">
      <w:pPr>
        <w:spacing w:before="200" w:after="80"/>
        <w:jc w:val="center"/>
      </w:pPr>
      <w:r>
        <w:rPr>
          <w:b/>
          <w:bCs/>
          <w:sz w:val="24"/>
          <w:szCs w:val="24"/>
        </w:rPr>
        <w:t>ACTIVIDAD:</w:t>
      </w:r>
    </w:p>
    <w:p w14:paraId="1C1246F6" w14:textId="77777777" w:rsidR="007D487F" w:rsidRDefault="005B1B64">
      <w:pPr>
        <w:spacing w:after="80"/>
        <w:jc w:val="center"/>
      </w:pPr>
      <w:r>
        <w:rPr>
          <w:b/>
          <w:bCs/>
        </w:rPr>
        <w:t>CASO DE ESTUDIO: PROYECTOS EXITOSOS Y FALLIDOS</w:t>
      </w:r>
    </w:p>
    <w:p w14:paraId="04390B6F" w14:textId="77777777" w:rsidR="007D487F" w:rsidRDefault="005B1B64">
      <w:pPr>
        <w:spacing w:after="280"/>
        <w:jc w:val="center"/>
      </w:pPr>
      <w:r>
        <w:t>ANÁLISIS COMPARATIVO DE PRESENTACIONES DE PROYECTOS DE INTELIGENCIA ARTIFICIAL</w:t>
      </w:r>
    </w:p>
    <w:p w14:paraId="1B78606B" w14:textId="77777777" w:rsidR="007D487F" w:rsidRDefault="005B1B64">
      <w:pPr>
        <w:spacing w:before="280" w:after="80"/>
        <w:jc w:val="center"/>
      </w:pPr>
      <w:r>
        <w:rPr>
          <w:b/>
          <w:bCs/>
          <w:sz w:val="24"/>
          <w:szCs w:val="24"/>
        </w:rPr>
        <w:t>AUTORES:</w:t>
      </w:r>
    </w:p>
    <w:p w14:paraId="74179A19" w14:textId="77777777" w:rsidR="007D487F" w:rsidRDefault="005B1B64">
      <w:pPr>
        <w:spacing w:after="60"/>
        <w:jc w:val="center"/>
      </w:pPr>
      <w:r>
        <w:t>CABRERA PARRALES JOEL DAVID</w:t>
      </w:r>
    </w:p>
    <w:p w14:paraId="487F97E2" w14:textId="77777777" w:rsidR="007D487F" w:rsidRDefault="005B1B64">
      <w:pPr>
        <w:spacing w:after="280"/>
        <w:jc w:val="center"/>
      </w:pPr>
      <w:r>
        <w:t>SÁNCHEZ ARÉVALO ANÍBAL ANDRÉS</w:t>
      </w:r>
    </w:p>
    <w:p w14:paraId="61F29B08" w14:textId="77777777" w:rsidR="007D487F" w:rsidRDefault="005B1B64">
      <w:pPr>
        <w:spacing w:before="200" w:after="80"/>
        <w:jc w:val="center"/>
      </w:pPr>
      <w:r>
        <w:rPr>
          <w:b/>
          <w:bCs/>
          <w:sz w:val="24"/>
          <w:szCs w:val="24"/>
        </w:rPr>
        <w:t>TUTOR:</w:t>
      </w:r>
    </w:p>
    <w:p w14:paraId="33326B42" w14:textId="0985C537" w:rsidR="007D487F" w:rsidRDefault="005B1B64">
      <w:pPr>
        <w:spacing w:after="280"/>
        <w:jc w:val="center"/>
      </w:pPr>
      <w:r>
        <w:t>MG. ALEXANDRA J. ARCINIEGAS C.</w:t>
      </w:r>
    </w:p>
    <w:p w14:paraId="6BEB7F75" w14:textId="77777777" w:rsidR="002A2843" w:rsidRDefault="002A2843">
      <w:pPr>
        <w:spacing w:after="280"/>
        <w:jc w:val="center"/>
      </w:pPr>
    </w:p>
    <w:p w14:paraId="6AF8184D" w14:textId="77777777" w:rsidR="007D487F" w:rsidRDefault="005B1B64">
      <w:pPr>
        <w:spacing w:before="280" w:after="60"/>
        <w:jc w:val="center"/>
      </w:pPr>
      <w:r>
        <w:rPr>
          <w:b/>
          <w:bCs/>
        </w:rPr>
        <w:t>SAMBORONDÓN – E</w:t>
      </w:r>
      <w:r>
        <w:rPr>
          <w:b/>
          <w:bCs/>
        </w:rPr>
        <w:t>CUADOR</w:t>
      </w:r>
    </w:p>
    <w:p w14:paraId="4AC93403" w14:textId="77777777" w:rsidR="007D487F" w:rsidRDefault="005B1B64">
      <w:pPr>
        <w:jc w:val="center"/>
      </w:pPr>
      <w:r>
        <w:rPr>
          <w:b/>
          <w:bCs/>
        </w:rPr>
        <w:t>ABRIL – 2026</w:t>
      </w:r>
    </w:p>
    <w:p w14:paraId="23DD429D" w14:textId="77777777" w:rsidR="007D487F" w:rsidRDefault="005B1B64">
      <w:r>
        <w:br w:type="page"/>
      </w:r>
    </w:p>
    <w:p w14:paraId="7A514D9C" w14:textId="77777777" w:rsidR="007D487F" w:rsidRDefault="007D487F">
      <w:pPr>
        <w:sectPr w:rsidR="007D487F">
          <w:pgSz w:w="12240" w:h="15840"/>
          <w:pgMar w:top="1440" w:right="1440" w:bottom="1440" w:left="1440" w:header="708" w:footer="708" w:gutter="0"/>
          <w:cols w:space="720"/>
          <w:docGrid w:linePitch="360"/>
        </w:sectPr>
      </w:pPr>
    </w:p>
    <w:p w14:paraId="1C1B4BF1" w14:textId="77777777" w:rsidR="007D487F" w:rsidRDefault="005B1B64">
      <w:pPr>
        <w:spacing w:before="320" w:after="200" w:line="320" w:lineRule="auto"/>
      </w:pPr>
      <w:r>
        <w:rPr>
          <w:b/>
          <w:bCs/>
          <w:color w:val="7B1A2F"/>
          <w:sz w:val="28"/>
          <w:szCs w:val="28"/>
        </w:rPr>
        <w:lastRenderedPageBreak/>
        <w:t>Resumen</w:t>
      </w:r>
    </w:p>
    <w:p w14:paraId="5E3D102D" w14:textId="147A5238" w:rsidR="007D487F" w:rsidRDefault="005B1B64">
      <w:pPr>
        <w:spacing w:before="80" w:after="80" w:line="320" w:lineRule="auto"/>
        <w:jc w:val="both"/>
      </w:pPr>
      <w:r>
        <w:rPr>
          <w:color w:val="000000"/>
        </w:rPr>
        <w:t>El presente trabajo desarrolla un análisis comparativo de presentaciones públicas de proyectos de inteligencia artificial, con el objetivo de identificar empíricamente los factores que distinguen las iniciativas exitosas de las que fracasan en el mercado o</w:t>
      </w:r>
      <w:r>
        <w:rPr>
          <w:color w:val="000000"/>
        </w:rPr>
        <w:t xml:space="preserve"> en su promesa científica. La actividad responde a los cuatro lineamientos definidos en la rúbrica: evaluación de la claridad del problema y la solución, análisis de la narrativa utilizada para comunicar el proyecto, identificación de errores comunes </w:t>
      </w:r>
      <w:r>
        <w:rPr>
          <w:color w:val="000000"/>
        </w:rPr>
        <w:t>sobr</w:t>
      </w:r>
      <w:r>
        <w:rPr>
          <w:color w:val="000000"/>
        </w:rPr>
        <w:t>ecarga técnica, falta de enfoque y débil justificación</w:t>
      </w:r>
      <w:r>
        <w:rPr>
          <w:color w:val="000000"/>
        </w:rPr>
        <w:t xml:space="preserve"> y extracción de buenas prácticas transferibles al Proyecto Integrador del </w:t>
      </w:r>
      <w:r w:rsidR="00A6629E">
        <w:rPr>
          <w:color w:val="000000"/>
        </w:rPr>
        <w:t>Grupo</w:t>
      </w:r>
      <w:r>
        <w:rPr>
          <w:color w:val="000000"/>
        </w:rPr>
        <w:t>. Se analizan cinco casos representativos seleccionados por su impacto documentado y la disponibilidad de fuentes verif</w:t>
      </w:r>
      <w:r>
        <w:rPr>
          <w:color w:val="000000"/>
        </w:rPr>
        <w:t xml:space="preserve">icables: tres fracasos paradigmáticos (IBM Watson </w:t>
      </w:r>
      <w:proofErr w:type="spellStart"/>
      <w:r>
        <w:rPr>
          <w:color w:val="000000"/>
        </w:rPr>
        <w:t>for</w:t>
      </w:r>
      <w:proofErr w:type="spellEnd"/>
      <w:r>
        <w:rPr>
          <w:color w:val="000000"/>
        </w:rPr>
        <w:t xml:space="preserve"> </w:t>
      </w:r>
      <w:proofErr w:type="spellStart"/>
      <w:r>
        <w:rPr>
          <w:color w:val="000000"/>
        </w:rPr>
        <w:t>Oncology</w:t>
      </w:r>
      <w:proofErr w:type="spellEnd"/>
      <w:r>
        <w:rPr>
          <w:color w:val="000000"/>
        </w:rPr>
        <w:t xml:space="preserve">, </w:t>
      </w:r>
      <w:proofErr w:type="spellStart"/>
      <w:r>
        <w:rPr>
          <w:color w:val="000000"/>
        </w:rPr>
        <w:t>Zillow</w:t>
      </w:r>
      <w:proofErr w:type="spellEnd"/>
      <w:r>
        <w:rPr>
          <w:color w:val="000000"/>
        </w:rPr>
        <w:t xml:space="preserve"> </w:t>
      </w:r>
      <w:proofErr w:type="spellStart"/>
      <w:r>
        <w:rPr>
          <w:color w:val="000000"/>
        </w:rPr>
        <w:t>Offers</w:t>
      </w:r>
      <w:proofErr w:type="spellEnd"/>
      <w:r>
        <w:rPr>
          <w:color w:val="000000"/>
        </w:rPr>
        <w:t xml:space="preserve"> y COMPAS) y dos éxitos paradigmáticos (</w:t>
      </w:r>
      <w:proofErr w:type="spellStart"/>
      <w:r>
        <w:rPr>
          <w:color w:val="000000"/>
        </w:rPr>
        <w:t>AlphaFold</w:t>
      </w:r>
      <w:proofErr w:type="spellEnd"/>
      <w:r>
        <w:rPr>
          <w:color w:val="000000"/>
        </w:rPr>
        <w:t xml:space="preserve"> 2 de Google </w:t>
      </w:r>
      <w:proofErr w:type="spellStart"/>
      <w:r>
        <w:rPr>
          <w:color w:val="000000"/>
        </w:rPr>
        <w:t>DeepMind</w:t>
      </w:r>
      <w:proofErr w:type="spellEnd"/>
      <w:r>
        <w:rPr>
          <w:color w:val="000000"/>
        </w:rPr>
        <w:t xml:space="preserve"> y GitHub </w:t>
      </w:r>
      <w:proofErr w:type="spellStart"/>
      <w:r>
        <w:rPr>
          <w:color w:val="000000"/>
        </w:rPr>
        <w:t>Copilot</w:t>
      </w:r>
      <w:proofErr w:type="spellEnd"/>
      <w:r>
        <w:rPr>
          <w:color w:val="000000"/>
        </w:rPr>
        <w:t xml:space="preserve"> de Microsoft). Cada caso se examina sobre seis dimensiones consistentes </w:t>
      </w:r>
      <w:r>
        <w:rPr>
          <w:color w:val="000000"/>
        </w:rPr>
        <w:t>problema, solución</w:t>
      </w:r>
      <w:r>
        <w:rPr>
          <w:color w:val="000000"/>
        </w:rPr>
        <w:t>, narrativa, evidencia, alcance y resultado</w:t>
      </w:r>
      <w:r>
        <w:rPr>
          <w:color w:val="000000"/>
        </w:rPr>
        <w:t xml:space="preserve"> y se contrasta posteriormente en una matriz comparativa. Los hallazgos confirman patrones documentados en la literatura sobre gestión de proyectos de IA (Davenport &amp; </w:t>
      </w:r>
      <w:proofErr w:type="spellStart"/>
      <w:r>
        <w:rPr>
          <w:color w:val="000000"/>
        </w:rPr>
        <w:t>Ronanki</w:t>
      </w:r>
      <w:proofErr w:type="spellEnd"/>
      <w:r>
        <w:rPr>
          <w:color w:val="000000"/>
        </w:rPr>
        <w:t xml:space="preserve">, 2018; </w:t>
      </w:r>
      <w:proofErr w:type="spellStart"/>
      <w:r>
        <w:rPr>
          <w:color w:val="000000"/>
        </w:rPr>
        <w:t>Westenberger</w:t>
      </w:r>
      <w:proofErr w:type="spellEnd"/>
      <w:r>
        <w:rPr>
          <w:color w:val="000000"/>
        </w:rPr>
        <w:t xml:space="preserve"> et al., 2022; </w:t>
      </w:r>
      <w:proofErr w:type="spellStart"/>
      <w:r>
        <w:rPr>
          <w:color w:val="000000"/>
        </w:rPr>
        <w:t>Hen</w:t>
      </w:r>
      <w:r>
        <w:rPr>
          <w:color w:val="000000"/>
        </w:rPr>
        <w:t>ke</w:t>
      </w:r>
      <w:proofErr w:type="spellEnd"/>
      <w:r>
        <w:rPr>
          <w:color w:val="000000"/>
        </w:rPr>
        <w:t xml:space="preserve"> et al., 2023): los fracasos se concentran sistemáticamente en problemas de alcance excesivo, narrativa de </w:t>
      </w:r>
      <w:proofErr w:type="spellStart"/>
      <w:r>
        <w:rPr>
          <w:color w:val="000000"/>
        </w:rPr>
        <w:t>hype</w:t>
      </w:r>
      <w:proofErr w:type="spellEnd"/>
      <w:r>
        <w:rPr>
          <w:color w:val="000000"/>
        </w:rPr>
        <w:t xml:space="preserve"> desconectada de evidencia, y subestimación de las restricciones del contexto operativo, mientras los éxitos comparten alcance estrecho, rigor </w:t>
      </w:r>
      <w:r>
        <w:rPr>
          <w:color w:val="000000"/>
        </w:rPr>
        <w:t>en la validación y publicación abierta de limitaciones. El documento cierra con un decálogo de buenas prácticas que se aplicará deliberadamente en la presentación final del Proyecto Integrador prevista para la semana 8 del cronograma (9-15 de mayo de 2026)</w:t>
      </w:r>
      <w:r>
        <w:rPr>
          <w:color w:val="000000"/>
        </w:rPr>
        <w:t>.</w:t>
      </w:r>
    </w:p>
    <w:p w14:paraId="67A26DF4" w14:textId="77777777" w:rsidR="007D487F" w:rsidRDefault="005B1B64">
      <w:pPr>
        <w:spacing w:before="320" w:after="200" w:line="320" w:lineRule="auto"/>
      </w:pPr>
      <w:r>
        <w:rPr>
          <w:b/>
          <w:bCs/>
          <w:color w:val="7B1A2F"/>
          <w:sz w:val="28"/>
          <w:szCs w:val="28"/>
        </w:rPr>
        <w:t>1. Introducción</w:t>
      </w:r>
    </w:p>
    <w:p w14:paraId="5D612126" w14:textId="77777777" w:rsidR="007D487F" w:rsidRDefault="005B1B64">
      <w:pPr>
        <w:spacing w:before="80" w:after="80" w:line="320" w:lineRule="auto"/>
        <w:jc w:val="both"/>
      </w:pPr>
      <w:r>
        <w:rPr>
          <w:color w:val="000000"/>
        </w:rPr>
        <w:t xml:space="preserve">La capacidad técnica de construir un sistema de inteligencia artificial y la capacidad de comunicarlo eficazmente son dos competencias distintas que rara vez convergen de forma automática. Un modelo con métricas excelentes puede fracasar </w:t>
      </w:r>
      <w:r>
        <w:rPr>
          <w:color w:val="000000"/>
        </w:rPr>
        <w:t>en la fase de presentación si el equipo no logra articular con claridad el problema que resuelve, la evidencia que respalda su funcionamiento y los límites razonables de su alcance. Inversamente, una presentación brillante sobre un sistema deficiente acele</w:t>
      </w:r>
      <w:r>
        <w:rPr>
          <w:color w:val="000000"/>
        </w:rPr>
        <w:t>ra el fracaso al amplificar expectativas que el modelo no puede cumplir, configurando lo que la literatura ha denominado "</w:t>
      </w:r>
      <w:proofErr w:type="spellStart"/>
      <w:r>
        <w:rPr>
          <w:color w:val="000000"/>
        </w:rPr>
        <w:t>hype</w:t>
      </w:r>
      <w:proofErr w:type="spellEnd"/>
      <w:r>
        <w:rPr>
          <w:color w:val="000000"/>
        </w:rPr>
        <w:t xml:space="preserve"> </w:t>
      </w:r>
      <w:proofErr w:type="spellStart"/>
      <w:r>
        <w:rPr>
          <w:color w:val="000000"/>
        </w:rPr>
        <w:t>debt</w:t>
      </w:r>
      <w:proofErr w:type="spellEnd"/>
      <w:r>
        <w:rPr>
          <w:color w:val="000000"/>
        </w:rPr>
        <w:t>" (West, 2024). El estudio comparativo de proyectos exitosos y fallidos en IA es, por lo tanto, un ejercicio de aprendizaje s</w:t>
      </w:r>
      <w:r>
        <w:rPr>
          <w:color w:val="000000"/>
        </w:rPr>
        <w:t>obre la articulación entre lo técnico y lo comunicativo.</w:t>
      </w:r>
    </w:p>
    <w:p w14:paraId="7241A424" w14:textId="247ABF76" w:rsidR="007D487F" w:rsidRDefault="005B1B64">
      <w:pPr>
        <w:spacing w:before="80" w:after="80" w:line="320" w:lineRule="auto"/>
        <w:jc w:val="both"/>
      </w:pPr>
      <w:r>
        <w:rPr>
          <w:color w:val="000000"/>
        </w:rPr>
        <w:t xml:space="preserve">La actividad se enmarca dentro del cronograma del Proyecto Integrador del </w:t>
      </w:r>
      <w:r w:rsidR="00A6629E">
        <w:rPr>
          <w:color w:val="000000"/>
        </w:rPr>
        <w:t>Grupo</w:t>
      </w:r>
      <w:r>
        <w:rPr>
          <w:color w:val="000000"/>
        </w:rPr>
        <w:t>, comprendido entre el 21 de marzo y el 15 de mayo de 2026, y se ubica en la sexta semana del calendario académico.</w:t>
      </w:r>
      <w:r>
        <w:rPr>
          <w:color w:val="000000"/>
        </w:rPr>
        <w:t xml:space="preserve"> Las lecciones extraídas del análisis comparativo no son ornamentales: se traducen en decisiones </w:t>
      </w:r>
      <w:r>
        <w:rPr>
          <w:color w:val="000000"/>
        </w:rPr>
        <w:t xml:space="preserve">concretas sobre cómo </w:t>
      </w:r>
      <w:r>
        <w:rPr>
          <w:color w:val="000000"/>
        </w:rPr>
        <w:lastRenderedPageBreak/>
        <w:t>estructurar la narrativa del proyecto, qué evidencia priorizar en las diapositivas, qué errores comunes evitar y qué buenas prácticas adoptar deliberadamente.</w:t>
      </w:r>
    </w:p>
    <w:p w14:paraId="5B42E426" w14:textId="2AB083CF" w:rsidR="007D487F" w:rsidRDefault="005B1B64">
      <w:pPr>
        <w:spacing w:before="80" w:after="80" w:line="320" w:lineRule="auto"/>
        <w:jc w:val="both"/>
      </w:pPr>
      <w:r>
        <w:rPr>
          <w:color w:val="000000"/>
        </w:rPr>
        <w:t xml:space="preserve">La selección de los cinco casos </w:t>
      </w:r>
      <w:r>
        <w:rPr>
          <w:color w:val="000000"/>
        </w:rPr>
        <w:t xml:space="preserve">IBM Watson </w:t>
      </w:r>
      <w:proofErr w:type="spellStart"/>
      <w:r>
        <w:rPr>
          <w:color w:val="000000"/>
        </w:rPr>
        <w:t>for</w:t>
      </w:r>
      <w:proofErr w:type="spellEnd"/>
      <w:r>
        <w:rPr>
          <w:color w:val="000000"/>
        </w:rPr>
        <w:t xml:space="preserve"> </w:t>
      </w:r>
      <w:proofErr w:type="spellStart"/>
      <w:r>
        <w:rPr>
          <w:color w:val="000000"/>
        </w:rPr>
        <w:t>Oncology</w:t>
      </w:r>
      <w:proofErr w:type="spellEnd"/>
      <w:r>
        <w:rPr>
          <w:color w:val="000000"/>
        </w:rPr>
        <w:t xml:space="preserve">, </w:t>
      </w:r>
      <w:proofErr w:type="spellStart"/>
      <w:r>
        <w:rPr>
          <w:color w:val="000000"/>
        </w:rPr>
        <w:t>Zillow</w:t>
      </w:r>
      <w:proofErr w:type="spellEnd"/>
      <w:r>
        <w:rPr>
          <w:color w:val="000000"/>
        </w:rPr>
        <w:t xml:space="preserve"> </w:t>
      </w:r>
      <w:proofErr w:type="spellStart"/>
      <w:r>
        <w:rPr>
          <w:color w:val="000000"/>
        </w:rPr>
        <w:t>Offers</w:t>
      </w:r>
      <w:proofErr w:type="spellEnd"/>
      <w:r>
        <w:rPr>
          <w:color w:val="000000"/>
        </w:rPr>
        <w:t>, COM</w:t>
      </w:r>
      <w:r>
        <w:rPr>
          <w:color w:val="000000"/>
        </w:rPr>
        <w:t xml:space="preserve">PAS, </w:t>
      </w:r>
      <w:proofErr w:type="spellStart"/>
      <w:r>
        <w:rPr>
          <w:color w:val="000000"/>
        </w:rPr>
        <w:t>AlphaFold</w:t>
      </w:r>
      <w:proofErr w:type="spellEnd"/>
      <w:r>
        <w:rPr>
          <w:color w:val="000000"/>
        </w:rPr>
        <w:t xml:space="preserve"> 2 y GitHub </w:t>
      </w:r>
      <w:proofErr w:type="spellStart"/>
      <w:r>
        <w:rPr>
          <w:color w:val="000000"/>
        </w:rPr>
        <w:t>Copilot</w:t>
      </w:r>
      <w:proofErr w:type="spellEnd"/>
      <w:r>
        <w:rPr>
          <w:color w:val="000000"/>
        </w:rPr>
        <w:t xml:space="preserve"> responde a tres criterios. Primero, representatividad: los tres fallos cubren los principales modos de falla documentados en la literatura (</w:t>
      </w:r>
      <w:proofErr w:type="spellStart"/>
      <w:r>
        <w:rPr>
          <w:color w:val="000000"/>
        </w:rPr>
        <w:t>sobrepromesa</w:t>
      </w:r>
      <w:proofErr w:type="spellEnd"/>
      <w:r>
        <w:rPr>
          <w:color w:val="000000"/>
        </w:rPr>
        <w:t xml:space="preserve"> narrativa, fragilidad técnica frente a cambios del entorno y sesgo a</w:t>
      </w:r>
      <w:r>
        <w:rPr>
          <w:color w:val="000000"/>
        </w:rPr>
        <w:t>lgorítmico estructural), mientras los dos éxitos cubren tanto avance científico como producto comercial maduro. Segundo, verificabilidad: cada caso cuenta con literatura académica revisada por pares, cobertura periodística investigativa, declaraciones públ</w:t>
      </w:r>
      <w:r>
        <w:rPr>
          <w:color w:val="000000"/>
        </w:rPr>
        <w:t>icas de los actores involucrados o documentación regulatoria. Tercero, vigencia: los casos cubren un arco temporal entre 2012 y 2024, suficiente para identificar patrones recurrentes y no idiosincrasia de un momento particular.</w:t>
      </w:r>
    </w:p>
    <w:p w14:paraId="30377560" w14:textId="406DE076" w:rsidR="007D487F" w:rsidRDefault="005B1B64">
      <w:pPr>
        <w:spacing w:before="80" w:after="80" w:line="320" w:lineRule="auto"/>
        <w:jc w:val="both"/>
      </w:pPr>
      <w:r>
        <w:rPr>
          <w:color w:val="000000"/>
        </w:rPr>
        <w:t>La estructura del documento es la siguiente: el apartado 2 establece el marco metodológico para evaluar presentaciones de proyectos de IA. El apartado 3 desarrolla los tres casos fallidos. El apartado 4 desarrolla los dos casos exitosos. El apartado 5 pres</w:t>
      </w:r>
      <w:r>
        <w:rPr>
          <w:color w:val="000000"/>
        </w:rPr>
        <w:t xml:space="preserve">enta la matriz comparativa y la discusión de patrones. El apartado 6 sintetiza el decálogo de buenas prácticas y formula su aplicación específica a la presentación final del </w:t>
      </w:r>
      <w:r w:rsidR="00A6629E">
        <w:rPr>
          <w:color w:val="000000"/>
        </w:rPr>
        <w:t>Grupo</w:t>
      </w:r>
      <w:r>
        <w:rPr>
          <w:color w:val="000000"/>
        </w:rPr>
        <w:t>. El apartado 7 cierra con conclusiones y referencias APA 7ª edición.</w:t>
      </w:r>
    </w:p>
    <w:p w14:paraId="5A9EA91C" w14:textId="77777777" w:rsidR="007D487F" w:rsidRDefault="005B1B64">
      <w:pPr>
        <w:spacing w:before="320" w:after="200" w:line="320" w:lineRule="auto"/>
      </w:pPr>
      <w:r>
        <w:rPr>
          <w:b/>
          <w:bCs/>
          <w:color w:val="7B1A2F"/>
          <w:sz w:val="28"/>
          <w:szCs w:val="28"/>
        </w:rPr>
        <w:t>2. Ma</w:t>
      </w:r>
      <w:r>
        <w:rPr>
          <w:b/>
          <w:bCs/>
          <w:color w:val="7B1A2F"/>
          <w:sz w:val="28"/>
          <w:szCs w:val="28"/>
        </w:rPr>
        <w:t>rco metodológico para el análisis de presentaciones</w:t>
      </w:r>
    </w:p>
    <w:p w14:paraId="13CA6AB8" w14:textId="77777777" w:rsidR="007D487F" w:rsidRDefault="005B1B64">
      <w:pPr>
        <w:spacing w:before="240" w:after="140" w:line="320" w:lineRule="auto"/>
      </w:pPr>
      <w:r>
        <w:rPr>
          <w:b/>
          <w:bCs/>
          <w:color w:val="7B1A2F"/>
          <w:sz w:val="24"/>
          <w:szCs w:val="24"/>
        </w:rPr>
        <w:t>2.1. Dimensiones de análisis</w:t>
      </w:r>
    </w:p>
    <w:p w14:paraId="576CDCA0" w14:textId="77777777" w:rsidR="007D487F" w:rsidRDefault="005B1B64">
      <w:pPr>
        <w:spacing w:before="80" w:after="80" w:line="320" w:lineRule="auto"/>
        <w:jc w:val="both"/>
      </w:pPr>
      <w:r>
        <w:rPr>
          <w:color w:val="000000"/>
        </w:rPr>
        <w:t>Cada caso se evalúa sobre seis dimensiones que cubren los cuatro lineamientos de la rúbrica de la actividad. Las dimensiones derivan del marco de evaluación de proyectos de IA</w:t>
      </w:r>
      <w:r>
        <w:rPr>
          <w:color w:val="000000"/>
        </w:rPr>
        <w:t xml:space="preserve"> propuesto por Davenport y </w:t>
      </w:r>
      <w:proofErr w:type="spellStart"/>
      <w:r>
        <w:rPr>
          <w:color w:val="000000"/>
        </w:rPr>
        <w:t>Ronanki</w:t>
      </w:r>
      <w:proofErr w:type="spellEnd"/>
      <w:r>
        <w:rPr>
          <w:color w:val="000000"/>
        </w:rPr>
        <w:t xml:space="preserve"> (2018) en Harvard Business </w:t>
      </w:r>
      <w:proofErr w:type="spellStart"/>
      <w:r>
        <w:rPr>
          <w:color w:val="000000"/>
        </w:rPr>
        <w:t>Review</w:t>
      </w:r>
      <w:proofErr w:type="spellEnd"/>
      <w:r>
        <w:rPr>
          <w:color w:val="000000"/>
        </w:rPr>
        <w:t xml:space="preserve">, complementado con los criterios de comunicación científica de </w:t>
      </w:r>
      <w:proofErr w:type="spellStart"/>
      <w:r>
        <w:rPr>
          <w:color w:val="000000"/>
        </w:rPr>
        <w:t>Schimel</w:t>
      </w:r>
      <w:proofErr w:type="spellEnd"/>
      <w:r>
        <w:rPr>
          <w:color w:val="000000"/>
        </w:rPr>
        <w:t xml:space="preserve"> (2012) y los principios de presentación técnica de Reynolds (2020). La Tabla 1 sintetiza la operacionalización de ca</w:t>
      </w:r>
      <w:r>
        <w:rPr>
          <w:color w:val="000000"/>
        </w:rPr>
        <w:t>da dimensión.</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5500"/>
        <w:gridCol w:w="1960"/>
      </w:tblGrid>
      <w:tr w:rsidR="007D487F" w14:paraId="2C40D4A4" w14:textId="77777777">
        <w:tblPrEx>
          <w:tblCellMar>
            <w:top w:w="0" w:type="dxa"/>
            <w:bottom w:w="0" w:type="dxa"/>
          </w:tblCellMar>
        </w:tblPrEx>
        <w:trPr>
          <w:tblHeader/>
        </w:trPr>
        <w:tc>
          <w:tcPr>
            <w:tcW w:w="1900" w:type="dxa"/>
            <w:tcBorders>
              <w:top w:val="single" w:sz="4" w:space="0" w:color="CCCCCC"/>
              <w:left w:val="single" w:sz="4" w:space="0" w:color="CCCCCC"/>
              <w:bottom w:val="single" w:sz="4" w:space="0" w:color="CCCCCC"/>
              <w:right w:val="single" w:sz="4" w:space="0" w:color="CCCCCC"/>
            </w:tcBorders>
            <w:shd w:val="clear" w:color="auto" w:fill="EFE3E6"/>
            <w:tcMar>
              <w:top w:w="100" w:type="dxa"/>
              <w:left w:w="140" w:type="dxa"/>
              <w:bottom w:w="100" w:type="dxa"/>
              <w:right w:w="140" w:type="dxa"/>
            </w:tcMar>
            <w:vAlign w:val="center"/>
          </w:tcPr>
          <w:p w14:paraId="0658C06B" w14:textId="77777777" w:rsidR="007D487F" w:rsidRDefault="005B1B64">
            <w:pPr>
              <w:spacing w:line="280" w:lineRule="auto"/>
            </w:pPr>
            <w:r>
              <w:rPr>
                <w:b/>
                <w:bCs/>
                <w:color w:val="7B1A2F"/>
                <w:sz w:val="20"/>
                <w:szCs w:val="20"/>
              </w:rPr>
              <w:t>Dimensión</w:t>
            </w:r>
          </w:p>
        </w:tc>
        <w:tc>
          <w:tcPr>
            <w:tcW w:w="5500" w:type="dxa"/>
            <w:tcBorders>
              <w:top w:val="single" w:sz="4" w:space="0" w:color="CCCCCC"/>
              <w:left w:val="single" w:sz="4" w:space="0" w:color="CCCCCC"/>
              <w:bottom w:val="single" w:sz="4" w:space="0" w:color="CCCCCC"/>
              <w:right w:val="single" w:sz="4" w:space="0" w:color="CCCCCC"/>
            </w:tcBorders>
            <w:shd w:val="clear" w:color="auto" w:fill="EFE3E6"/>
            <w:tcMar>
              <w:top w:w="100" w:type="dxa"/>
              <w:left w:w="140" w:type="dxa"/>
              <w:bottom w:w="100" w:type="dxa"/>
              <w:right w:w="140" w:type="dxa"/>
            </w:tcMar>
            <w:vAlign w:val="center"/>
          </w:tcPr>
          <w:p w14:paraId="15DA77A1" w14:textId="77777777" w:rsidR="007D487F" w:rsidRDefault="005B1B64">
            <w:pPr>
              <w:spacing w:line="280" w:lineRule="auto"/>
            </w:pPr>
            <w:r>
              <w:rPr>
                <w:b/>
                <w:bCs/>
                <w:color w:val="7B1A2F"/>
                <w:sz w:val="20"/>
                <w:szCs w:val="20"/>
              </w:rPr>
              <w:t>Pregunta clave</w:t>
            </w:r>
          </w:p>
        </w:tc>
        <w:tc>
          <w:tcPr>
            <w:tcW w:w="1960" w:type="dxa"/>
            <w:tcBorders>
              <w:top w:val="single" w:sz="4" w:space="0" w:color="CCCCCC"/>
              <w:left w:val="single" w:sz="4" w:space="0" w:color="CCCCCC"/>
              <w:bottom w:val="single" w:sz="4" w:space="0" w:color="CCCCCC"/>
              <w:right w:val="single" w:sz="4" w:space="0" w:color="CCCCCC"/>
            </w:tcBorders>
            <w:shd w:val="clear" w:color="auto" w:fill="EFE3E6"/>
            <w:tcMar>
              <w:top w:w="100" w:type="dxa"/>
              <w:left w:w="140" w:type="dxa"/>
              <w:bottom w:w="100" w:type="dxa"/>
              <w:right w:w="140" w:type="dxa"/>
            </w:tcMar>
            <w:vAlign w:val="center"/>
          </w:tcPr>
          <w:p w14:paraId="792C1C26" w14:textId="77777777" w:rsidR="007D487F" w:rsidRDefault="005B1B64">
            <w:pPr>
              <w:spacing w:line="280" w:lineRule="auto"/>
            </w:pPr>
            <w:r>
              <w:rPr>
                <w:b/>
                <w:bCs/>
                <w:color w:val="7B1A2F"/>
                <w:sz w:val="20"/>
                <w:szCs w:val="20"/>
              </w:rPr>
              <w:t>Lineamiento atendido</w:t>
            </w:r>
          </w:p>
        </w:tc>
      </w:tr>
      <w:tr w:rsidR="007D487F" w14:paraId="15EBD39D"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E2A74B7" w14:textId="77777777" w:rsidR="007D487F" w:rsidRDefault="005B1B64">
            <w:pPr>
              <w:spacing w:line="280" w:lineRule="auto"/>
            </w:pPr>
            <w:r>
              <w:rPr>
                <w:color w:val="000000"/>
                <w:sz w:val="20"/>
                <w:szCs w:val="20"/>
              </w:rPr>
              <w:t>Problema</w:t>
            </w:r>
          </w:p>
        </w:tc>
        <w:tc>
          <w:tcPr>
            <w:tcW w:w="5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DCC61DA" w14:textId="77777777" w:rsidR="007D487F" w:rsidRDefault="005B1B64">
            <w:pPr>
              <w:spacing w:line="280" w:lineRule="auto"/>
            </w:pPr>
            <w:r>
              <w:rPr>
                <w:color w:val="000000"/>
                <w:sz w:val="20"/>
                <w:szCs w:val="20"/>
              </w:rPr>
              <w:t>¿El problema está claramente acotado y justificado?</w:t>
            </w:r>
          </w:p>
        </w:tc>
        <w:tc>
          <w:tcPr>
            <w:tcW w:w="1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4D2CC13" w14:textId="77777777" w:rsidR="007D487F" w:rsidRDefault="005B1B64">
            <w:pPr>
              <w:spacing w:line="280" w:lineRule="auto"/>
            </w:pPr>
            <w:r>
              <w:rPr>
                <w:color w:val="000000"/>
                <w:sz w:val="20"/>
                <w:szCs w:val="20"/>
              </w:rPr>
              <w:t>Claridad del problema</w:t>
            </w:r>
          </w:p>
        </w:tc>
      </w:tr>
      <w:tr w:rsidR="007D487F" w14:paraId="1B9D38CD"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321F84B" w14:textId="77777777" w:rsidR="007D487F" w:rsidRDefault="005B1B64">
            <w:pPr>
              <w:spacing w:line="280" w:lineRule="auto"/>
            </w:pPr>
            <w:r>
              <w:rPr>
                <w:color w:val="000000"/>
                <w:sz w:val="20"/>
                <w:szCs w:val="20"/>
              </w:rPr>
              <w:t>Solución</w:t>
            </w:r>
          </w:p>
        </w:tc>
        <w:tc>
          <w:tcPr>
            <w:tcW w:w="5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93F08F3" w14:textId="77777777" w:rsidR="007D487F" w:rsidRDefault="005B1B64">
            <w:pPr>
              <w:spacing w:line="280" w:lineRule="auto"/>
            </w:pPr>
            <w:r>
              <w:rPr>
                <w:color w:val="000000"/>
                <w:sz w:val="20"/>
                <w:szCs w:val="20"/>
              </w:rPr>
              <w:t>¿La solución es proporcional al problema?</w:t>
            </w:r>
          </w:p>
        </w:tc>
        <w:tc>
          <w:tcPr>
            <w:tcW w:w="1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247127E" w14:textId="77777777" w:rsidR="007D487F" w:rsidRDefault="005B1B64">
            <w:pPr>
              <w:spacing w:line="280" w:lineRule="auto"/>
            </w:pPr>
            <w:r>
              <w:rPr>
                <w:color w:val="000000"/>
                <w:sz w:val="20"/>
                <w:szCs w:val="20"/>
              </w:rPr>
              <w:t>Claridad de la solución</w:t>
            </w:r>
          </w:p>
        </w:tc>
      </w:tr>
      <w:tr w:rsidR="007D487F" w14:paraId="3F723298"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998DFD2" w14:textId="77777777" w:rsidR="007D487F" w:rsidRDefault="005B1B64">
            <w:pPr>
              <w:spacing w:line="280" w:lineRule="auto"/>
            </w:pPr>
            <w:r>
              <w:rPr>
                <w:color w:val="000000"/>
                <w:sz w:val="20"/>
                <w:szCs w:val="20"/>
              </w:rPr>
              <w:t>Narrativa</w:t>
            </w:r>
          </w:p>
        </w:tc>
        <w:tc>
          <w:tcPr>
            <w:tcW w:w="5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8CF62D6" w14:textId="77777777" w:rsidR="007D487F" w:rsidRDefault="005B1B64">
            <w:pPr>
              <w:spacing w:line="280" w:lineRule="auto"/>
            </w:pPr>
            <w:r>
              <w:rPr>
                <w:color w:val="000000"/>
                <w:sz w:val="20"/>
                <w:szCs w:val="20"/>
              </w:rPr>
              <w:t>¿La historia es coherente, honesta y memorable?</w:t>
            </w:r>
          </w:p>
        </w:tc>
        <w:tc>
          <w:tcPr>
            <w:tcW w:w="1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70FAD25" w14:textId="77777777" w:rsidR="007D487F" w:rsidRDefault="005B1B64">
            <w:pPr>
              <w:spacing w:line="280" w:lineRule="auto"/>
            </w:pPr>
            <w:r>
              <w:rPr>
                <w:color w:val="000000"/>
                <w:sz w:val="20"/>
                <w:szCs w:val="20"/>
              </w:rPr>
              <w:t>Análisis de narrativa</w:t>
            </w:r>
          </w:p>
        </w:tc>
      </w:tr>
      <w:tr w:rsidR="007D487F" w14:paraId="06A4E1EB"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B0BB601" w14:textId="77777777" w:rsidR="007D487F" w:rsidRDefault="005B1B64">
            <w:pPr>
              <w:spacing w:line="280" w:lineRule="auto"/>
            </w:pPr>
            <w:r>
              <w:rPr>
                <w:color w:val="000000"/>
                <w:sz w:val="20"/>
                <w:szCs w:val="20"/>
              </w:rPr>
              <w:t>Evidencia</w:t>
            </w:r>
          </w:p>
        </w:tc>
        <w:tc>
          <w:tcPr>
            <w:tcW w:w="5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B521477" w14:textId="77777777" w:rsidR="007D487F" w:rsidRDefault="005B1B64">
            <w:pPr>
              <w:spacing w:line="280" w:lineRule="auto"/>
            </w:pPr>
            <w:r>
              <w:rPr>
                <w:color w:val="000000"/>
                <w:sz w:val="20"/>
                <w:szCs w:val="20"/>
              </w:rPr>
              <w:t>¿Las afirmaciones se respaldan con datos verificables?</w:t>
            </w:r>
          </w:p>
        </w:tc>
        <w:tc>
          <w:tcPr>
            <w:tcW w:w="1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6E7D361" w14:textId="77777777" w:rsidR="007D487F" w:rsidRDefault="005B1B64">
            <w:pPr>
              <w:spacing w:line="280" w:lineRule="auto"/>
            </w:pPr>
            <w:r>
              <w:rPr>
                <w:color w:val="000000"/>
                <w:sz w:val="20"/>
                <w:szCs w:val="20"/>
              </w:rPr>
              <w:t>Justificación</w:t>
            </w:r>
          </w:p>
        </w:tc>
      </w:tr>
      <w:tr w:rsidR="007D487F" w14:paraId="3FDF8731"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E7BB841" w14:textId="77777777" w:rsidR="007D487F" w:rsidRDefault="005B1B64">
            <w:pPr>
              <w:spacing w:line="280" w:lineRule="auto"/>
            </w:pPr>
            <w:r>
              <w:rPr>
                <w:color w:val="000000"/>
                <w:sz w:val="20"/>
                <w:szCs w:val="20"/>
              </w:rPr>
              <w:lastRenderedPageBreak/>
              <w:t>Alcance</w:t>
            </w:r>
          </w:p>
        </w:tc>
        <w:tc>
          <w:tcPr>
            <w:tcW w:w="5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B58852E" w14:textId="77777777" w:rsidR="007D487F" w:rsidRDefault="005B1B64">
            <w:pPr>
              <w:spacing w:line="280" w:lineRule="auto"/>
            </w:pPr>
            <w:r>
              <w:rPr>
                <w:color w:val="000000"/>
                <w:sz w:val="20"/>
                <w:szCs w:val="20"/>
              </w:rPr>
              <w:t>¿El alcance declarado es realista y limitado?</w:t>
            </w:r>
          </w:p>
        </w:tc>
        <w:tc>
          <w:tcPr>
            <w:tcW w:w="1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DFA2162" w14:textId="77777777" w:rsidR="007D487F" w:rsidRDefault="005B1B64">
            <w:pPr>
              <w:spacing w:line="280" w:lineRule="auto"/>
            </w:pPr>
            <w:r>
              <w:rPr>
                <w:color w:val="000000"/>
                <w:sz w:val="20"/>
                <w:szCs w:val="20"/>
              </w:rPr>
              <w:t>Errores comunes (foco)</w:t>
            </w:r>
          </w:p>
        </w:tc>
      </w:tr>
      <w:tr w:rsidR="007D487F" w14:paraId="15D3D184"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D522D6D" w14:textId="77777777" w:rsidR="007D487F" w:rsidRDefault="005B1B64">
            <w:pPr>
              <w:spacing w:line="280" w:lineRule="auto"/>
            </w:pPr>
            <w:r>
              <w:rPr>
                <w:color w:val="000000"/>
                <w:sz w:val="20"/>
                <w:szCs w:val="20"/>
              </w:rPr>
              <w:t>Resultado</w:t>
            </w:r>
          </w:p>
        </w:tc>
        <w:tc>
          <w:tcPr>
            <w:tcW w:w="5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4A5AB81" w14:textId="77777777" w:rsidR="007D487F" w:rsidRDefault="005B1B64">
            <w:pPr>
              <w:spacing w:line="280" w:lineRule="auto"/>
            </w:pPr>
            <w:r>
              <w:rPr>
                <w:color w:val="000000"/>
                <w:sz w:val="20"/>
                <w:szCs w:val="20"/>
              </w:rPr>
              <w:t>¿La promesa pública se sostuvo en el tiempo?</w:t>
            </w:r>
          </w:p>
        </w:tc>
        <w:tc>
          <w:tcPr>
            <w:tcW w:w="1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2B145E8" w14:textId="77777777" w:rsidR="007D487F" w:rsidRDefault="005B1B64">
            <w:pPr>
              <w:spacing w:line="280" w:lineRule="auto"/>
            </w:pPr>
            <w:r>
              <w:rPr>
                <w:color w:val="000000"/>
                <w:sz w:val="20"/>
                <w:szCs w:val="20"/>
              </w:rPr>
              <w:t>Resultado / aprendizaje</w:t>
            </w:r>
          </w:p>
        </w:tc>
      </w:tr>
    </w:tbl>
    <w:p w14:paraId="7A196EB8" w14:textId="77777777" w:rsidR="007D487F" w:rsidRDefault="005B1B64">
      <w:pPr>
        <w:spacing w:before="100" w:after="200" w:line="280" w:lineRule="auto"/>
        <w:jc w:val="center"/>
      </w:pPr>
      <w:r>
        <w:rPr>
          <w:i/>
          <w:iCs/>
          <w:color w:val="595959"/>
          <w:sz w:val="20"/>
          <w:szCs w:val="20"/>
        </w:rPr>
        <w:t xml:space="preserve">Tabla 1. Dimensiones de análisis de presentaciones de proyectos de IA. Marco propio elaborado a partir de Davenport y </w:t>
      </w:r>
      <w:proofErr w:type="spellStart"/>
      <w:r>
        <w:rPr>
          <w:i/>
          <w:iCs/>
          <w:color w:val="595959"/>
          <w:sz w:val="20"/>
          <w:szCs w:val="20"/>
        </w:rPr>
        <w:t>Ronanki</w:t>
      </w:r>
      <w:proofErr w:type="spellEnd"/>
      <w:r>
        <w:rPr>
          <w:i/>
          <w:iCs/>
          <w:color w:val="595959"/>
          <w:sz w:val="20"/>
          <w:szCs w:val="20"/>
        </w:rPr>
        <w:t xml:space="preserve"> (2018), </w:t>
      </w:r>
      <w:proofErr w:type="spellStart"/>
      <w:r>
        <w:rPr>
          <w:i/>
          <w:iCs/>
          <w:color w:val="595959"/>
          <w:sz w:val="20"/>
          <w:szCs w:val="20"/>
        </w:rPr>
        <w:t>Schimel</w:t>
      </w:r>
      <w:proofErr w:type="spellEnd"/>
      <w:r>
        <w:rPr>
          <w:i/>
          <w:iCs/>
          <w:color w:val="595959"/>
          <w:sz w:val="20"/>
          <w:szCs w:val="20"/>
        </w:rPr>
        <w:t xml:space="preserve"> (2012) y Reynolds (2020).</w:t>
      </w:r>
    </w:p>
    <w:p w14:paraId="3CB98AC5" w14:textId="77777777" w:rsidR="007D487F" w:rsidRDefault="005B1B64">
      <w:pPr>
        <w:spacing w:before="240" w:after="140" w:line="320" w:lineRule="auto"/>
      </w:pPr>
      <w:r>
        <w:rPr>
          <w:b/>
          <w:bCs/>
          <w:color w:val="7B1A2F"/>
          <w:sz w:val="24"/>
          <w:szCs w:val="24"/>
        </w:rPr>
        <w:t>2.2. Tipología de errores comunes</w:t>
      </w:r>
    </w:p>
    <w:p w14:paraId="350D8035" w14:textId="77777777" w:rsidR="007D487F" w:rsidRDefault="005B1B64">
      <w:pPr>
        <w:spacing w:before="80" w:after="80" w:line="320" w:lineRule="auto"/>
        <w:jc w:val="both"/>
      </w:pPr>
      <w:r>
        <w:rPr>
          <w:color w:val="000000"/>
        </w:rPr>
        <w:t>La rúbrica de la actividad identifica tres errores frecuentes en presentaciones de proyectos de IA: sobrecarga técnica, falta de enfoque y débil justificación. La literatura amplía esta tipología y permite formularla con m</w:t>
      </w:r>
      <w:r>
        <w:rPr>
          <w:color w:val="000000"/>
        </w:rPr>
        <w:t>ayor precisión operativa.</w:t>
      </w:r>
    </w:p>
    <w:p w14:paraId="61FC4685" w14:textId="44664CB3" w:rsidR="007D487F" w:rsidRDefault="005B1B64">
      <w:pPr>
        <w:pStyle w:val="Prrafodelista"/>
        <w:numPr>
          <w:ilvl w:val="0"/>
          <w:numId w:val="2"/>
        </w:numPr>
        <w:spacing w:before="60" w:after="60" w:line="320" w:lineRule="auto"/>
        <w:jc w:val="both"/>
      </w:pPr>
      <w:r>
        <w:rPr>
          <w:b/>
          <w:bCs/>
        </w:rPr>
        <w:t xml:space="preserve">Sobrecarga técnica: </w:t>
      </w:r>
      <w:r w:rsidR="00A6629E">
        <w:t>S</w:t>
      </w:r>
      <w:r>
        <w:t xml:space="preserve">aturar la presentación con detalles algorítmicos, fórmulas o arquitecturas que la audiencia no necesita para evaluar el aporte del proyecto. Reynolds (2020) llama a este error "información sin propósito"; </w:t>
      </w:r>
      <w:proofErr w:type="spellStart"/>
      <w:r>
        <w:t>Schi</w:t>
      </w:r>
      <w:r>
        <w:t>mel</w:t>
      </w:r>
      <w:proofErr w:type="spellEnd"/>
      <w:r>
        <w:t xml:space="preserve"> (2012) lo describe como "perder al lector en el método antes de explicar por qué importa".</w:t>
      </w:r>
    </w:p>
    <w:p w14:paraId="262A5148" w14:textId="496DCB41" w:rsidR="007D487F" w:rsidRDefault="005B1B64">
      <w:pPr>
        <w:pStyle w:val="Prrafodelista"/>
        <w:numPr>
          <w:ilvl w:val="0"/>
          <w:numId w:val="2"/>
        </w:numPr>
        <w:spacing w:before="60" w:after="60" w:line="320" w:lineRule="auto"/>
        <w:jc w:val="both"/>
      </w:pPr>
      <w:r>
        <w:rPr>
          <w:b/>
          <w:bCs/>
        </w:rPr>
        <w:t xml:space="preserve">Falta de enfoque: </w:t>
      </w:r>
      <w:r w:rsidR="00A6629E">
        <w:t>I</w:t>
      </w:r>
      <w:r>
        <w:t>ntentar abordar simultáneamente múltiples problemas, dominios o usuarios, lo que diluye la propuesta de valor y genera la percepción de que el</w:t>
      </w:r>
      <w:r>
        <w:t xml:space="preserve"> equipo no sabe qué construye exactamente. </w:t>
      </w:r>
      <w:proofErr w:type="spellStart"/>
      <w:r>
        <w:t>Westenberger</w:t>
      </w:r>
      <w:proofErr w:type="spellEnd"/>
      <w:r>
        <w:t xml:space="preserve">, </w:t>
      </w:r>
      <w:proofErr w:type="spellStart"/>
      <w:r>
        <w:t>Schaller</w:t>
      </w:r>
      <w:proofErr w:type="spellEnd"/>
      <w:r>
        <w:t xml:space="preserve"> y </w:t>
      </w:r>
      <w:proofErr w:type="spellStart"/>
      <w:r>
        <w:t>Lasi</w:t>
      </w:r>
      <w:proofErr w:type="spellEnd"/>
      <w:r>
        <w:t xml:space="preserve"> (2022) reportan en su revisión sistemática que el alcance excesivo es la primera causa de fracaso en proyectos industriales de IA.</w:t>
      </w:r>
    </w:p>
    <w:p w14:paraId="407CFF63" w14:textId="7643C3A8" w:rsidR="007D487F" w:rsidRDefault="005B1B64">
      <w:pPr>
        <w:pStyle w:val="Prrafodelista"/>
        <w:numPr>
          <w:ilvl w:val="0"/>
          <w:numId w:val="2"/>
        </w:numPr>
        <w:spacing w:before="60" w:after="60" w:line="320" w:lineRule="auto"/>
        <w:jc w:val="both"/>
      </w:pPr>
      <w:r>
        <w:rPr>
          <w:b/>
          <w:bCs/>
        </w:rPr>
        <w:t xml:space="preserve">Débil justificación: </w:t>
      </w:r>
      <w:r w:rsidR="00A6629E">
        <w:t>A</w:t>
      </w:r>
      <w:r>
        <w:t xml:space="preserve">firmar resultados sin proporcionar la evidencia que los respalde, mezclar evidencia anecdótica con métricas controladas o presentar comparaciones sesgadas con </w:t>
      </w:r>
      <w:proofErr w:type="spellStart"/>
      <w:r>
        <w:t>baselines</w:t>
      </w:r>
      <w:proofErr w:type="spellEnd"/>
      <w:r>
        <w:t xml:space="preserve"> débiles. </w:t>
      </w:r>
      <w:proofErr w:type="spellStart"/>
      <w:r>
        <w:t>Henke</w:t>
      </w:r>
      <w:proofErr w:type="spellEnd"/>
      <w:r>
        <w:t xml:space="preserve">, Levine y </w:t>
      </w:r>
      <w:proofErr w:type="spellStart"/>
      <w:r>
        <w:t>McInerney</w:t>
      </w:r>
      <w:proofErr w:type="spellEnd"/>
      <w:r>
        <w:t xml:space="preserve"> (2023) documentan que esta es la causa principal de</w:t>
      </w:r>
      <w:r>
        <w:t xml:space="preserve"> la pérdida de confianza institucional una vez el proyecto pasa a la fase de evaluación externa.</w:t>
      </w:r>
    </w:p>
    <w:p w14:paraId="165E56B4" w14:textId="00B94FF7" w:rsidR="007D487F" w:rsidRDefault="005B1B64">
      <w:pPr>
        <w:pStyle w:val="Prrafodelista"/>
        <w:numPr>
          <w:ilvl w:val="0"/>
          <w:numId w:val="2"/>
        </w:numPr>
        <w:spacing w:before="60" w:after="60" w:line="320" w:lineRule="auto"/>
        <w:jc w:val="both"/>
      </w:pPr>
      <w:proofErr w:type="spellStart"/>
      <w:r>
        <w:rPr>
          <w:b/>
          <w:bCs/>
        </w:rPr>
        <w:t>Hype</w:t>
      </w:r>
      <w:proofErr w:type="spellEnd"/>
      <w:r>
        <w:rPr>
          <w:b/>
          <w:bCs/>
        </w:rPr>
        <w:t xml:space="preserve"> narrativo: </w:t>
      </w:r>
      <w:r w:rsidR="00A6629E">
        <w:t>U</w:t>
      </w:r>
      <w:r>
        <w:t>sar lenguaje hiperbólico ("revoluciona", "cambia todo", "soluciona el problema") sin validación empírica. Es el error más visible en casos fal</w:t>
      </w:r>
      <w:r>
        <w:t xml:space="preserve">lidos como Watson </w:t>
      </w:r>
      <w:proofErr w:type="spellStart"/>
      <w:r>
        <w:t>for</w:t>
      </w:r>
      <w:proofErr w:type="spellEnd"/>
      <w:r>
        <w:t xml:space="preserve"> </w:t>
      </w:r>
      <w:proofErr w:type="spellStart"/>
      <w:r>
        <w:t>Oncology</w:t>
      </w:r>
      <w:proofErr w:type="spellEnd"/>
      <w:r>
        <w:t xml:space="preserve"> (Strickland, 2019).</w:t>
      </w:r>
    </w:p>
    <w:p w14:paraId="3C30F3C9" w14:textId="5D1D7FED" w:rsidR="007D487F" w:rsidRDefault="005B1B64">
      <w:pPr>
        <w:pStyle w:val="Prrafodelista"/>
        <w:numPr>
          <w:ilvl w:val="0"/>
          <w:numId w:val="2"/>
        </w:numPr>
        <w:spacing w:before="60" w:after="60" w:line="320" w:lineRule="auto"/>
        <w:jc w:val="both"/>
      </w:pPr>
      <w:r>
        <w:rPr>
          <w:b/>
          <w:bCs/>
        </w:rPr>
        <w:t xml:space="preserve">Inconsistencia interna: </w:t>
      </w:r>
      <w:r w:rsidR="00A6629E">
        <w:t>D</w:t>
      </w:r>
      <w:r>
        <w:t>eclarar objetivos en una diapositiva y métricas que no los miden en otra. Es uno de los signos que evaluadores expertos detectan más rápidamente.</w:t>
      </w:r>
    </w:p>
    <w:p w14:paraId="4FC17D1D" w14:textId="660957CE" w:rsidR="00A6629E" w:rsidRDefault="00A6629E" w:rsidP="00A6629E">
      <w:pPr>
        <w:spacing w:before="60" w:after="60" w:line="320" w:lineRule="auto"/>
        <w:jc w:val="both"/>
      </w:pPr>
    </w:p>
    <w:p w14:paraId="0F7A5E2B" w14:textId="77777777" w:rsidR="00A6629E" w:rsidRDefault="00A6629E" w:rsidP="00A6629E">
      <w:pPr>
        <w:spacing w:before="60" w:after="60" w:line="320" w:lineRule="auto"/>
        <w:jc w:val="both"/>
      </w:pPr>
    </w:p>
    <w:p w14:paraId="3D0528EE" w14:textId="77777777" w:rsidR="007D487F" w:rsidRDefault="005B1B64">
      <w:pPr>
        <w:spacing w:before="320" w:after="200" w:line="320" w:lineRule="auto"/>
      </w:pPr>
      <w:r>
        <w:rPr>
          <w:b/>
          <w:bCs/>
          <w:color w:val="7B1A2F"/>
          <w:sz w:val="28"/>
          <w:szCs w:val="28"/>
        </w:rPr>
        <w:lastRenderedPageBreak/>
        <w:t>3</w:t>
      </w:r>
      <w:r>
        <w:rPr>
          <w:b/>
          <w:bCs/>
          <w:color w:val="7B1A2F"/>
          <w:sz w:val="28"/>
          <w:szCs w:val="28"/>
        </w:rPr>
        <w:t>. Análisis de casos fallidos</w:t>
      </w:r>
    </w:p>
    <w:p w14:paraId="0A00142C" w14:textId="6A3BE165" w:rsidR="007D487F" w:rsidRPr="00A6629E" w:rsidRDefault="005B1B64">
      <w:pPr>
        <w:spacing w:before="240" w:after="140" w:line="320" w:lineRule="auto"/>
        <w:rPr>
          <w:lang w:val="en-US"/>
        </w:rPr>
      </w:pPr>
      <w:r w:rsidRPr="00A6629E">
        <w:rPr>
          <w:b/>
          <w:bCs/>
          <w:color w:val="7B1A2F"/>
          <w:sz w:val="24"/>
          <w:szCs w:val="24"/>
          <w:lang w:val="en-US"/>
        </w:rPr>
        <w:t>3.1.</w:t>
      </w:r>
      <w:r w:rsidRPr="00A6629E">
        <w:rPr>
          <w:b/>
          <w:bCs/>
          <w:color w:val="7B1A2F"/>
          <w:sz w:val="24"/>
          <w:szCs w:val="24"/>
          <w:lang w:val="en-US"/>
        </w:rPr>
        <w:t xml:space="preserve"> Caso 1</w:t>
      </w:r>
      <w:r w:rsidR="00A6629E">
        <w:rPr>
          <w:b/>
          <w:bCs/>
          <w:color w:val="7B1A2F"/>
          <w:sz w:val="24"/>
          <w:szCs w:val="24"/>
          <w:lang w:val="en-US"/>
        </w:rPr>
        <w:t>:</w:t>
      </w:r>
      <w:r w:rsidRPr="00A6629E">
        <w:rPr>
          <w:b/>
          <w:bCs/>
          <w:color w:val="7B1A2F"/>
          <w:sz w:val="24"/>
          <w:szCs w:val="24"/>
          <w:lang w:val="en-US"/>
        </w:rPr>
        <w:t xml:space="preserve"> </w:t>
      </w:r>
      <w:r w:rsidRPr="00A6629E">
        <w:rPr>
          <w:b/>
          <w:bCs/>
          <w:color w:val="7B1A2F"/>
          <w:sz w:val="24"/>
          <w:szCs w:val="24"/>
          <w:lang w:val="en-US"/>
        </w:rPr>
        <w:t>IBM Watson for Oncology y MD Anderson Cancer Center</w:t>
      </w:r>
    </w:p>
    <w:p w14:paraId="40128A11" w14:textId="77777777" w:rsidR="007D487F" w:rsidRDefault="005B1B64">
      <w:pPr>
        <w:spacing w:before="180" w:after="100" w:line="320" w:lineRule="auto"/>
      </w:pPr>
      <w:r>
        <w:rPr>
          <w:b/>
          <w:bCs/>
          <w:i/>
          <w:iCs/>
        </w:rPr>
        <w:t>3.1.1. Contexto y promesa pública</w:t>
      </w:r>
    </w:p>
    <w:p w14:paraId="22477CDA" w14:textId="77777777" w:rsidR="007D487F" w:rsidRDefault="005B1B64">
      <w:pPr>
        <w:spacing w:before="80" w:after="80" w:line="320" w:lineRule="auto"/>
        <w:jc w:val="both"/>
      </w:pPr>
      <w:r>
        <w:rPr>
          <w:color w:val="000000"/>
        </w:rPr>
        <w:t xml:space="preserve">En 2013, IBM y la </w:t>
      </w:r>
      <w:proofErr w:type="spellStart"/>
      <w:r>
        <w:rPr>
          <w:color w:val="000000"/>
        </w:rPr>
        <w:t>University</w:t>
      </w:r>
      <w:proofErr w:type="spellEnd"/>
      <w:r>
        <w:rPr>
          <w:color w:val="000000"/>
        </w:rPr>
        <w:t xml:space="preserve"> of Texas MD Anderson </w:t>
      </w:r>
      <w:proofErr w:type="spellStart"/>
      <w:r>
        <w:rPr>
          <w:color w:val="000000"/>
        </w:rPr>
        <w:t>Cancer</w:t>
      </w:r>
      <w:proofErr w:type="spellEnd"/>
      <w:r>
        <w:rPr>
          <w:color w:val="000000"/>
        </w:rPr>
        <w:t xml:space="preserve"> Center anunciaron el desarrollo del </w:t>
      </w:r>
      <w:proofErr w:type="spellStart"/>
      <w:r>
        <w:rPr>
          <w:color w:val="000000"/>
        </w:rPr>
        <w:t>Oncology</w:t>
      </w:r>
      <w:proofErr w:type="spellEnd"/>
      <w:r>
        <w:rPr>
          <w:color w:val="000000"/>
        </w:rPr>
        <w:t xml:space="preserve"> Expert </w:t>
      </w:r>
      <w:proofErr w:type="spellStart"/>
      <w:r>
        <w:rPr>
          <w:color w:val="000000"/>
        </w:rPr>
        <w:t>Advisor</w:t>
      </w:r>
      <w:proofErr w:type="spellEnd"/>
      <w:r>
        <w:rPr>
          <w:color w:val="000000"/>
        </w:rPr>
        <w:t xml:space="preserve"> (OEA), un sistema de soporte clínico basado</w:t>
      </w:r>
      <w:r>
        <w:rPr>
          <w:color w:val="000000"/>
        </w:rPr>
        <w:t xml:space="preserve"> en Watson cuya promesa pública era nada menos que erradicar el cáncer (Schmidt, 2017). La narrativa de lanzamiento, fuertemente respaldada por la entonces CEO de IBM </w:t>
      </w:r>
      <w:proofErr w:type="spellStart"/>
      <w:r>
        <w:rPr>
          <w:color w:val="000000"/>
        </w:rPr>
        <w:t>Ginni</w:t>
      </w:r>
      <w:proofErr w:type="spellEnd"/>
      <w:r>
        <w:rPr>
          <w:color w:val="000000"/>
        </w:rPr>
        <w:t xml:space="preserve"> </w:t>
      </w:r>
      <w:proofErr w:type="spellStart"/>
      <w:r>
        <w:rPr>
          <w:color w:val="000000"/>
        </w:rPr>
        <w:t>Rometty</w:t>
      </w:r>
      <w:proofErr w:type="spellEnd"/>
      <w:r>
        <w:rPr>
          <w:color w:val="000000"/>
        </w:rPr>
        <w:t>, posicionó al proyecto como el "</w:t>
      </w:r>
      <w:proofErr w:type="spellStart"/>
      <w:r>
        <w:rPr>
          <w:color w:val="000000"/>
        </w:rPr>
        <w:t>moonshot</w:t>
      </w:r>
      <w:proofErr w:type="spellEnd"/>
      <w:r>
        <w:rPr>
          <w:color w:val="000000"/>
        </w:rPr>
        <w:t>" de la compañía y atrajo más de ci</w:t>
      </w:r>
      <w:r>
        <w:rPr>
          <w:color w:val="000000"/>
        </w:rPr>
        <w:t xml:space="preserve">ncuenta </w:t>
      </w:r>
      <w:proofErr w:type="spellStart"/>
      <w:r>
        <w:rPr>
          <w:color w:val="000000"/>
        </w:rPr>
        <w:t>partnerships</w:t>
      </w:r>
      <w:proofErr w:type="spellEnd"/>
      <w:r>
        <w:rPr>
          <w:color w:val="000000"/>
        </w:rPr>
        <w:t xml:space="preserve"> institucionales en pocos años (Strickland, 2019).</w:t>
      </w:r>
    </w:p>
    <w:p w14:paraId="2B8D8665" w14:textId="77777777" w:rsidR="007D487F" w:rsidRDefault="005B1B64">
      <w:pPr>
        <w:spacing w:before="180" w:after="100" w:line="320" w:lineRule="auto"/>
      </w:pPr>
      <w:r>
        <w:rPr>
          <w:b/>
          <w:bCs/>
          <w:i/>
          <w:iCs/>
        </w:rPr>
        <w:t>3.1.2. Lo que ocurrió</w:t>
      </w:r>
    </w:p>
    <w:p w14:paraId="6F69AA4E" w14:textId="027E94B2" w:rsidR="007D487F" w:rsidRDefault="005B1B64">
      <w:pPr>
        <w:spacing w:before="80" w:after="80" w:line="320" w:lineRule="auto"/>
        <w:jc w:val="both"/>
      </w:pPr>
      <w:r>
        <w:rPr>
          <w:color w:val="000000"/>
        </w:rPr>
        <w:t>Cinco años y aproximadamente 62 millones de dólares después, MD Anderson canceló el contrato sin haber utilizado nunca el sistema en pacientes reales (Schmidt, 201</w:t>
      </w:r>
      <w:r>
        <w:rPr>
          <w:color w:val="000000"/>
        </w:rPr>
        <w:t xml:space="preserve">7; </w:t>
      </w:r>
      <w:proofErr w:type="spellStart"/>
      <w:r>
        <w:rPr>
          <w:color w:val="000000"/>
        </w:rPr>
        <w:t>Becker's</w:t>
      </w:r>
      <w:proofErr w:type="spellEnd"/>
      <w:r>
        <w:rPr>
          <w:color w:val="000000"/>
        </w:rPr>
        <w:t xml:space="preserve"> Hospital </w:t>
      </w:r>
      <w:proofErr w:type="spellStart"/>
      <w:r>
        <w:rPr>
          <w:color w:val="000000"/>
        </w:rPr>
        <w:t>Review</w:t>
      </w:r>
      <w:proofErr w:type="spellEnd"/>
      <w:r>
        <w:rPr>
          <w:color w:val="000000"/>
        </w:rPr>
        <w:t xml:space="preserve">, 2017). Una auditoría interna de la </w:t>
      </w:r>
      <w:proofErr w:type="spellStart"/>
      <w:r>
        <w:rPr>
          <w:color w:val="000000"/>
        </w:rPr>
        <w:t>University</w:t>
      </w:r>
      <w:proofErr w:type="spellEnd"/>
      <w:r>
        <w:rPr>
          <w:color w:val="000000"/>
        </w:rPr>
        <w:t xml:space="preserve"> of Texas reveló problemas de gestión, cambios sucesivos de alcance </w:t>
      </w:r>
      <w:r>
        <w:rPr>
          <w:color w:val="000000"/>
        </w:rPr>
        <w:t>el proyecto pasó de leucemia a cáncer de pulmón sin completar ninguna</w:t>
      </w:r>
      <w:r>
        <w:rPr>
          <w:color w:val="000000"/>
        </w:rPr>
        <w:t xml:space="preserve"> y desconexión técnica entre el sistema y l</w:t>
      </w:r>
      <w:r>
        <w:rPr>
          <w:color w:val="000000"/>
        </w:rPr>
        <w:t>os registros médicos electrónicos vigentes (</w:t>
      </w:r>
      <w:proofErr w:type="spellStart"/>
      <w:r>
        <w:rPr>
          <w:color w:val="000000"/>
        </w:rPr>
        <w:t>Becker's</w:t>
      </w:r>
      <w:proofErr w:type="spellEnd"/>
      <w:r>
        <w:rPr>
          <w:color w:val="000000"/>
        </w:rPr>
        <w:t>, 2017). Documentos internos filtrados por STAT mostraron que el sistema recomendaba en ocasiones tratamientos "inseguros e incorrectos", aunque sin daño a pacientes reales porque las recomendaciones nunc</w:t>
      </w:r>
      <w:r>
        <w:rPr>
          <w:color w:val="000000"/>
        </w:rPr>
        <w:t xml:space="preserve">a se aplicaron clínicamente (Strickland, 2019). Para 2022, IBM había vendido los activos de Watson </w:t>
      </w:r>
      <w:proofErr w:type="spellStart"/>
      <w:r>
        <w:rPr>
          <w:color w:val="000000"/>
        </w:rPr>
        <w:t>Health</w:t>
      </w:r>
      <w:proofErr w:type="spellEnd"/>
      <w:r>
        <w:rPr>
          <w:color w:val="000000"/>
        </w:rPr>
        <w:t xml:space="preserve"> a un fondo de capital privado, marcando el cierre formal de la iniciativa (</w:t>
      </w:r>
      <w:proofErr w:type="spellStart"/>
      <w:r>
        <w:rPr>
          <w:color w:val="000000"/>
        </w:rPr>
        <w:t>Dolfing</w:t>
      </w:r>
      <w:proofErr w:type="spellEnd"/>
      <w:r>
        <w:rPr>
          <w:color w:val="000000"/>
        </w:rPr>
        <w:t>, 2024).</w:t>
      </w:r>
    </w:p>
    <w:p w14:paraId="43B75577" w14:textId="77777777" w:rsidR="007D487F" w:rsidRDefault="005B1B64">
      <w:pPr>
        <w:spacing w:before="180" w:after="100" w:line="320" w:lineRule="auto"/>
      </w:pPr>
      <w:r>
        <w:rPr>
          <w:b/>
          <w:bCs/>
          <w:i/>
          <w:iCs/>
        </w:rPr>
        <w:t>3.1.3. Análisis por dimensiones</w:t>
      </w:r>
    </w:p>
    <w:tbl>
      <w:tblPr>
        <w:tblW w:w="9371"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2"/>
        <w:gridCol w:w="7469"/>
      </w:tblGrid>
      <w:tr w:rsidR="007D487F" w14:paraId="489923AA" w14:textId="77777777" w:rsidTr="00A6629E">
        <w:tblPrEx>
          <w:tblCellMar>
            <w:top w:w="0" w:type="dxa"/>
            <w:bottom w:w="0" w:type="dxa"/>
          </w:tblCellMar>
        </w:tblPrEx>
        <w:trPr>
          <w:trHeight w:val="295"/>
          <w:tblHeader/>
        </w:trPr>
        <w:tc>
          <w:tcPr>
            <w:tcW w:w="1902" w:type="dxa"/>
            <w:tcBorders>
              <w:top w:val="single" w:sz="4" w:space="0" w:color="CCCCCC"/>
              <w:left w:val="single" w:sz="4" w:space="0" w:color="CCCCCC"/>
              <w:bottom w:val="single" w:sz="4" w:space="0" w:color="CCCCCC"/>
              <w:right w:val="single" w:sz="4" w:space="0" w:color="CCCCCC"/>
            </w:tcBorders>
            <w:shd w:val="clear" w:color="auto" w:fill="EFE3E6"/>
            <w:tcMar>
              <w:top w:w="100" w:type="dxa"/>
              <w:left w:w="140" w:type="dxa"/>
              <w:bottom w:w="100" w:type="dxa"/>
              <w:right w:w="140" w:type="dxa"/>
            </w:tcMar>
            <w:vAlign w:val="center"/>
          </w:tcPr>
          <w:p w14:paraId="6B569C0E" w14:textId="77777777" w:rsidR="007D487F" w:rsidRDefault="005B1B64">
            <w:pPr>
              <w:spacing w:line="280" w:lineRule="auto"/>
            </w:pPr>
            <w:r>
              <w:rPr>
                <w:b/>
                <w:bCs/>
                <w:color w:val="7B1A2F"/>
                <w:sz w:val="20"/>
                <w:szCs w:val="20"/>
              </w:rPr>
              <w:t>Dimensión</w:t>
            </w:r>
          </w:p>
        </w:tc>
        <w:tc>
          <w:tcPr>
            <w:tcW w:w="7469" w:type="dxa"/>
            <w:tcBorders>
              <w:top w:val="single" w:sz="4" w:space="0" w:color="CCCCCC"/>
              <w:left w:val="single" w:sz="4" w:space="0" w:color="CCCCCC"/>
              <w:bottom w:val="single" w:sz="4" w:space="0" w:color="CCCCCC"/>
              <w:right w:val="single" w:sz="4" w:space="0" w:color="CCCCCC"/>
            </w:tcBorders>
            <w:shd w:val="clear" w:color="auto" w:fill="EFE3E6"/>
            <w:tcMar>
              <w:top w:w="100" w:type="dxa"/>
              <w:left w:w="140" w:type="dxa"/>
              <w:bottom w:w="100" w:type="dxa"/>
              <w:right w:w="140" w:type="dxa"/>
            </w:tcMar>
            <w:vAlign w:val="center"/>
          </w:tcPr>
          <w:p w14:paraId="74ADBF84" w14:textId="77777777" w:rsidR="007D487F" w:rsidRDefault="005B1B64">
            <w:pPr>
              <w:spacing w:line="280" w:lineRule="auto"/>
            </w:pPr>
            <w:r>
              <w:rPr>
                <w:b/>
                <w:bCs/>
                <w:color w:val="7B1A2F"/>
                <w:sz w:val="20"/>
                <w:szCs w:val="20"/>
              </w:rPr>
              <w:t>Diagnóstico</w:t>
            </w:r>
          </w:p>
        </w:tc>
      </w:tr>
      <w:tr w:rsidR="007D487F" w14:paraId="01516900" w14:textId="77777777" w:rsidTr="00A6629E">
        <w:tblPrEx>
          <w:tblCellMar>
            <w:top w:w="0" w:type="dxa"/>
            <w:bottom w:w="0" w:type="dxa"/>
          </w:tblCellMar>
        </w:tblPrEx>
        <w:trPr>
          <w:trHeight w:val="295"/>
        </w:trPr>
        <w:tc>
          <w:tcPr>
            <w:tcW w:w="1902"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5F9FC36" w14:textId="77777777" w:rsidR="007D487F" w:rsidRDefault="005B1B64">
            <w:pPr>
              <w:spacing w:line="280" w:lineRule="auto"/>
            </w:pPr>
            <w:r>
              <w:rPr>
                <w:color w:val="000000"/>
                <w:sz w:val="20"/>
                <w:szCs w:val="20"/>
              </w:rPr>
              <w:t>Problema</w:t>
            </w:r>
          </w:p>
        </w:tc>
        <w:tc>
          <w:tcPr>
            <w:tcW w:w="746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24D7A15" w14:textId="77777777" w:rsidR="007D487F" w:rsidRDefault="005B1B64">
            <w:pPr>
              <w:spacing w:line="280" w:lineRule="auto"/>
            </w:pPr>
            <w:r>
              <w:rPr>
                <w:color w:val="000000"/>
                <w:sz w:val="20"/>
                <w:szCs w:val="20"/>
              </w:rPr>
              <w:t>Excesivamente amplio: "erradicar el cáncer". Sin acotación clínica operativa.</w:t>
            </w:r>
          </w:p>
        </w:tc>
      </w:tr>
      <w:tr w:rsidR="007D487F" w14:paraId="35EBFE1D" w14:textId="77777777" w:rsidTr="00A6629E">
        <w:tblPrEx>
          <w:tblCellMar>
            <w:top w:w="0" w:type="dxa"/>
            <w:bottom w:w="0" w:type="dxa"/>
          </w:tblCellMar>
        </w:tblPrEx>
        <w:trPr>
          <w:trHeight w:val="309"/>
        </w:trPr>
        <w:tc>
          <w:tcPr>
            <w:tcW w:w="1902"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B35D1A9" w14:textId="77777777" w:rsidR="007D487F" w:rsidRDefault="005B1B64">
            <w:pPr>
              <w:spacing w:line="280" w:lineRule="auto"/>
            </w:pPr>
            <w:r>
              <w:rPr>
                <w:color w:val="000000"/>
                <w:sz w:val="20"/>
                <w:szCs w:val="20"/>
              </w:rPr>
              <w:t>Solución</w:t>
            </w:r>
          </w:p>
        </w:tc>
        <w:tc>
          <w:tcPr>
            <w:tcW w:w="746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AB8FDC3" w14:textId="77777777" w:rsidR="007D487F" w:rsidRDefault="005B1B64">
            <w:pPr>
              <w:spacing w:line="280" w:lineRule="auto"/>
            </w:pPr>
            <w:r>
              <w:rPr>
                <w:color w:val="000000"/>
                <w:sz w:val="20"/>
                <w:szCs w:val="20"/>
              </w:rPr>
              <w:t>Genérica: NLP sobre literatura médica. Sin adaptación a flujos clínicos.</w:t>
            </w:r>
          </w:p>
        </w:tc>
      </w:tr>
      <w:tr w:rsidR="007D487F" w14:paraId="4CE00FA5" w14:textId="77777777" w:rsidTr="00A6629E">
        <w:tblPrEx>
          <w:tblCellMar>
            <w:top w:w="0" w:type="dxa"/>
            <w:bottom w:w="0" w:type="dxa"/>
          </w:tblCellMar>
        </w:tblPrEx>
        <w:trPr>
          <w:trHeight w:val="295"/>
        </w:trPr>
        <w:tc>
          <w:tcPr>
            <w:tcW w:w="1902"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9807FA5" w14:textId="77777777" w:rsidR="007D487F" w:rsidRDefault="005B1B64">
            <w:pPr>
              <w:spacing w:line="280" w:lineRule="auto"/>
            </w:pPr>
            <w:r>
              <w:rPr>
                <w:color w:val="000000"/>
                <w:sz w:val="20"/>
                <w:szCs w:val="20"/>
              </w:rPr>
              <w:t>Narrativa</w:t>
            </w:r>
          </w:p>
        </w:tc>
        <w:tc>
          <w:tcPr>
            <w:tcW w:w="746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1ADA001" w14:textId="77777777" w:rsidR="007D487F" w:rsidRDefault="005B1B64">
            <w:pPr>
              <w:spacing w:line="280" w:lineRule="auto"/>
            </w:pPr>
            <w:proofErr w:type="spellStart"/>
            <w:r>
              <w:rPr>
                <w:color w:val="000000"/>
                <w:sz w:val="20"/>
                <w:szCs w:val="20"/>
              </w:rPr>
              <w:t>Hype</w:t>
            </w:r>
            <w:proofErr w:type="spellEnd"/>
            <w:r>
              <w:rPr>
                <w:color w:val="000000"/>
                <w:sz w:val="20"/>
                <w:szCs w:val="20"/>
              </w:rPr>
              <w:t xml:space="preserve"> extremo desde la victoria en </w:t>
            </w:r>
            <w:proofErr w:type="spellStart"/>
            <w:r>
              <w:rPr>
                <w:color w:val="000000"/>
                <w:sz w:val="20"/>
                <w:szCs w:val="20"/>
              </w:rPr>
              <w:t>Jeopardy</w:t>
            </w:r>
            <w:proofErr w:type="spellEnd"/>
            <w:r>
              <w:rPr>
                <w:color w:val="000000"/>
                <w:sz w:val="20"/>
                <w:szCs w:val="20"/>
              </w:rPr>
              <w:t>! (2011). Marketing sobre evidencia.</w:t>
            </w:r>
          </w:p>
        </w:tc>
      </w:tr>
      <w:tr w:rsidR="007D487F" w14:paraId="11B13FCF" w14:textId="77777777" w:rsidTr="00A6629E">
        <w:tblPrEx>
          <w:tblCellMar>
            <w:top w:w="0" w:type="dxa"/>
            <w:bottom w:w="0" w:type="dxa"/>
          </w:tblCellMar>
        </w:tblPrEx>
        <w:trPr>
          <w:trHeight w:val="295"/>
        </w:trPr>
        <w:tc>
          <w:tcPr>
            <w:tcW w:w="1902"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AC4F925" w14:textId="77777777" w:rsidR="007D487F" w:rsidRDefault="005B1B64">
            <w:pPr>
              <w:spacing w:line="280" w:lineRule="auto"/>
            </w:pPr>
            <w:r>
              <w:rPr>
                <w:color w:val="000000"/>
                <w:sz w:val="20"/>
                <w:szCs w:val="20"/>
              </w:rPr>
              <w:t>Evidencia</w:t>
            </w:r>
          </w:p>
        </w:tc>
        <w:tc>
          <w:tcPr>
            <w:tcW w:w="746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196CFDF" w14:textId="77777777" w:rsidR="007D487F" w:rsidRDefault="005B1B64">
            <w:pPr>
              <w:spacing w:line="280" w:lineRule="auto"/>
            </w:pPr>
            <w:r>
              <w:rPr>
                <w:color w:val="000000"/>
                <w:sz w:val="20"/>
                <w:szCs w:val="20"/>
              </w:rPr>
              <w:t>Métricas internas no replicadas externamente. Casos sintéticos como entrenamiento.</w:t>
            </w:r>
          </w:p>
        </w:tc>
      </w:tr>
      <w:tr w:rsidR="007D487F" w14:paraId="33B3C760" w14:textId="77777777" w:rsidTr="00A6629E">
        <w:tblPrEx>
          <w:tblCellMar>
            <w:top w:w="0" w:type="dxa"/>
            <w:bottom w:w="0" w:type="dxa"/>
          </w:tblCellMar>
        </w:tblPrEx>
        <w:trPr>
          <w:trHeight w:val="295"/>
        </w:trPr>
        <w:tc>
          <w:tcPr>
            <w:tcW w:w="1902"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7E9989A" w14:textId="77777777" w:rsidR="007D487F" w:rsidRDefault="005B1B64">
            <w:pPr>
              <w:spacing w:line="280" w:lineRule="auto"/>
            </w:pPr>
            <w:r>
              <w:rPr>
                <w:color w:val="000000"/>
                <w:sz w:val="20"/>
                <w:szCs w:val="20"/>
              </w:rPr>
              <w:t>Alcance</w:t>
            </w:r>
          </w:p>
        </w:tc>
        <w:tc>
          <w:tcPr>
            <w:tcW w:w="746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7903E53" w14:textId="77777777" w:rsidR="007D487F" w:rsidRDefault="005B1B64">
            <w:pPr>
              <w:spacing w:line="280" w:lineRule="auto"/>
            </w:pPr>
            <w:r>
              <w:rPr>
                <w:color w:val="000000"/>
                <w:sz w:val="20"/>
                <w:szCs w:val="20"/>
              </w:rPr>
              <w:t>Cambió múltiples veces (leucemia → pulmón → indefinido). Falta de foco cró</w:t>
            </w:r>
            <w:r>
              <w:rPr>
                <w:color w:val="000000"/>
                <w:sz w:val="20"/>
                <w:szCs w:val="20"/>
              </w:rPr>
              <w:t>nica.</w:t>
            </w:r>
          </w:p>
        </w:tc>
      </w:tr>
      <w:tr w:rsidR="007D487F" w14:paraId="2E40B43F" w14:textId="77777777" w:rsidTr="00A6629E">
        <w:tblPrEx>
          <w:tblCellMar>
            <w:top w:w="0" w:type="dxa"/>
            <w:bottom w:w="0" w:type="dxa"/>
          </w:tblCellMar>
        </w:tblPrEx>
        <w:trPr>
          <w:trHeight w:val="295"/>
        </w:trPr>
        <w:tc>
          <w:tcPr>
            <w:tcW w:w="1902"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2F483D2" w14:textId="77777777" w:rsidR="007D487F" w:rsidRDefault="005B1B64">
            <w:pPr>
              <w:spacing w:line="280" w:lineRule="auto"/>
            </w:pPr>
            <w:r>
              <w:rPr>
                <w:color w:val="000000"/>
                <w:sz w:val="20"/>
                <w:szCs w:val="20"/>
              </w:rPr>
              <w:t>Resultado</w:t>
            </w:r>
          </w:p>
        </w:tc>
        <w:tc>
          <w:tcPr>
            <w:tcW w:w="746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971CFE1" w14:textId="77777777" w:rsidR="007D487F" w:rsidRDefault="005B1B64">
            <w:pPr>
              <w:spacing w:line="280" w:lineRule="auto"/>
            </w:pPr>
            <w:r>
              <w:rPr>
                <w:color w:val="000000"/>
                <w:sz w:val="20"/>
                <w:szCs w:val="20"/>
              </w:rPr>
              <w:t xml:space="preserve">Cancelación contractual, USD 62M perdidos, venta de Watson </w:t>
            </w:r>
            <w:proofErr w:type="spellStart"/>
            <w:r>
              <w:rPr>
                <w:color w:val="000000"/>
                <w:sz w:val="20"/>
                <w:szCs w:val="20"/>
              </w:rPr>
              <w:t>Health</w:t>
            </w:r>
            <w:proofErr w:type="spellEnd"/>
            <w:r>
              <w:rPr>
                <w:color w:val="000000"/>
                <w:sz w:val="20"/>
                <w:szCs w:val="20"/>
              </w:rPr>
              <w:t xml:space="preserve"> en 2022.</w:t>
            </w:r>
          </w:p>
        </w:tc>
      </w:tr>
    </w:tbl>
    <w:p w14:paraId="034F8FA2" w14:textId="77777777" w:rsidR="007D487F" w:rsidRDefault="005B1B64">
      <w:pPr>
        <w:spacing w:before="100" w:after="200" w:line="280" w:lineRule="auto"/>
        <w:jc w:val="center"/>
      </w:pPr>
      <w:r>
        <w:rPr>
          <w:i/>
          <w:iCs/>
          <w:color w:val="595959"/>
          <w:sz w:val="20"/>
          <w:szCs w:val="20"/>
        </w:rPr>
        <w:t xml:space="preserve">Tabla 2. Análisis dimensional del caso IBM Watson </w:t>
      </w:r>
      <w:proofErr w:type="spellStart"/>
      <w:r>
        <w:rPr>
          <w:i/>
          <w:iCs/>
          <w:color w:val="595959"/>
          <w:sz w:val="20"/>
          <w:szCs w:val="20"/>
        </w:rPr>
        <w:t>for</w:t>
      </w:r>
      <w:proofErr w:type="spellEnd"/>
      <w:r>
        <w:rPr>
          <w:i/>
          <w:iCs/>
          <w:color w:val="595959"/>
          <w:sz w:val="20"/>
          <w:szCs w:val="20"/>
        </w:rPr>
        <w:t xml:space="preserve"> </w:t>
      </w:r>
      <w:proofErr w:type="spellStart"/>
      <w:r>
        <w:rPr>
          <w:i/>
          <w:iCs/>
          <w:color w:val="595959"/>
          <w:sz w:val="20"/>
          <w:szCs w:val="20"/>
        </w:rPr>
        <w:t>Oncology</w:t>
      </w:r>
      <w:proofErr w:type="spellEnd"/>
      <w:r>
        <w:rPr>
          <w:i/>
          <w:iCs/>
          <w:color w:val="595959"/>
          <w:sz w:val="20"/>
          <w:szCs w:val="20"/>
        </w:rPr>
        <w:t>. Elaboración propia.</w:t>
      </w:r>
    </w:p>
    <w:p w14:paraId="1E45FCEA" w14:textId="77777777" w:rsidR="007D487F" w:rsidRDefault="005B1B64">
      <w:pPr>
        <w:spacing w:before="180" w:after="100" w:line="320" w:lineRule="auto"/>
      </w:pPr>
      <w:r>
        <w:rPr>
          <w:b/>
          <w:bCs/>
          <w:i/>
          <w:iCs/>
        </w:rPr>
        <w:lastRenderedPageBreak/>
        <w:t>3.1.4. Lecciones extraídas</w:t>
      </w:r>
    </w:p>
    <w:p w14:paraId="7E046649" w14:textId="269F3B3C" w:rsidR="007D487F" w:rsidRDefault="005B1B64">
      <w:pPr>
        <w:spacing w:before="80" w:after="80" w:line="320" w:lineRule="auto"/>
        <w:jc w:val="both"/>
      </w:pPr>
      <w:r>
        <w:rPr>
          <w:color w:val="000000"/>
        </w:rPr>
        <w:t xml:space="preserve">La principal lección es que el </w:t>
      </w:r>
      <w:proofErr w:type="spellStart"/>
      <w:r>
        <w:rPr>
          <w:color w:val="000000"/>
        </w:rPr>
        <w:t>hype</w:t>
      </w:r>
      <w:proofErr w:type="spellEnd"/>
      <w:r>
        <w:rPr>
          <w:color w:val="000000"/>
        </w:rPr>
        <w:t xml:space="preserve"> narrativo no es un complemento de marketing benigno: es una hipoteca técnica. Cuando el lenguaje promocional </w:t>
      </w:r>
      <w:r>
        <w:rPr>
          <w:color w:val="000000"/>
        </w:rPr>
        <w:t>declara "erradicar el cáncer" pero el sistema apenas consigue procesar registros médicos heterogéneos, la brecha entre promesa y entrega erosiona la credibilidad de toda la categoría tecnológica. Strickland (2019) documenta cómo el desajuste fundamental en</w:t>
      </w:r>
      <w:r>
        <w:rPr>
          <w:color w:val="000000"/>
        </w:rPr>
        <w:t xml:space="preserve">tre las capacidades reales del sistema y las expectativas creadas configuró el fracaso desde la presentación inicial. Además, el cambio sucesivo de alcance </w:t>
      </w:r>
      <w:r>
        <w:rPr>
          <w:color w:val="000000"/>
        </w:rPr>
        <w:t>de leucemia a cáncer de pulmón sin cerrar ninguno</w:t>
      </w:r>
      <w:r>
        <w:rPr>
          <w:color w:val="000000"/>
        </w:rPr>
        <w:t xml:space="preserve"> ilustra el error de "falta de enfoque" descrito </w:t>
      </w:r>
      <w:r>
        <w:rPr>
          <w:color w:val="000000"/>
        </w:rPr>
        <w:t>en el apartado 2.2: intentar resolver demasiados problemas a la vez resulta en no resolver ninguno.</w:t>
      </w:r>
    </w:p>
    <w:p w14:paraId="09D50817" w14:textId="32DF21A9" w:rsidR="007D487F" w:rsidRDefault="005B1B64">
      <w:pPr>
        <w:spacing w:before="240" w:after="140" w:line="320" w:lineRule="auto"/>
      </w:pPr>
      <w:r>
        <w:rPr>
          <w:b/>
          <w:bCs/>
          <w:color w:val="7B1A2F"/>
          <w:sz w:val="24"/>
          <w:szCs w:val="24"/>
        </w:rPr>
        <w:t>3.2. Caso 2</w:t>
      </w:r>
      <w:r w:rsidR="00A6629E">
        <w:rPr>
          <w:b/>
          <w:bCs/>
          <w:color w:val="7B1A2F"/>
          <w:sz w:val="24"/>
          <w:szCs w:val="24"/>
        </w:rPr>
        <w:t>:</w:t>
      </w:r>
      <w:r>
        <w:rPr>
          <w:b/>
          <w:bCs/>
          <w:color w:val="7B1A2F"/>
          <w:sz w:val="24"/>
          <w:szCs w:val="24"/>
        </w:rPr>
        <w:t xml:space="preserve"> </w:t>
      </w:r>
      <w:proofErr w:type="spellStart"/>
      <w:r>
        <w:rPr>
          <w:b/>
          <w:bCs/>
          <w:color w:val="7B1A2F"/>
          <w:sz w:val="24"/>
          <w:szCs w:val="24"/>
        </w:rPr>
        <w:t>Zillow</w:t>
      </w:r>
      <w:proofErr w:type="spellEnd"/>
      <w:r>
        <w:rPr>
          <w:b/>
          <w:bCs/>
          <w:color w:val="7B1A2F"/>
          <w:sz w:val="24"/>
          <w:szCs w:val="24"/>
        </w:rPr>
        <w:t xml:space="preserve"> </w:t>
      </w:r>
      <w:proofErr w:type="spellStart"/>
      <w:r>
        <w:rPr>
          <w:b/>
          <w:bCs/>
          <w:color w:val="7B1A2F"/>
          <w:sz w:val="24"/>
          <w:szCs w:val="24"/>
        </w:rPr>
        <w:t>Offers</w:t>
      </w:r>
      <w:proofErr w:type="spellEnd"/>
      <w:r>
        <w:rPr>
          <w:b/>
          <w:bCs/>
          <w:color w:val="7B1A2F"/>
          <w:sz w:val="24"/>
          <w:szCs w:val="24"/>
        </w:rPr>
        <w:t xml:space="preserve"> y el colapso del </w:t>
      </w:r>
      <w:proofErr w:type="spellStart"/>
      <w:r>
        <w:rPr>
          <w:b/>
          <w:bCs/>
          <w:color w:val="7B1A2F"/>
          <w:sz w:val="24"/>
          <w:szCs w:val="24"/>
        </w:rPr>
        <w:t>iBuying</w:t>
      </w:r>
      <w:proofErr w:type="spellEnd"/>
      <w:r>
        <w:rPr>
          <w:b/>
          <w:bCs/>
          <w:color w:val="7B1A2F"/>
          <w:sz w:val="24"/>
          <w:szCs w:val="24"/>
        </w:rPr>
        <w:t xml:space="preserve"> algorítmico</w:t>
      </w:r>
    </w:p>
    <w:p w14:paraId="4CA420B6" w14:textId="77777777" w:rsidR="007D487F" w:rsidRDefault="005B1B64">
      <w:pPr>
        <w:spacing w:before="180" w:after="100" w:line="320" w:lineRule="auto"/>
      </w:pPr>
      <w:r>
        <w:rPr>
          <w:b/>
          <w:bCs/>
          <w:i/>
          <w:iCs/>
        </w:rPr>
        <w:t>3.2.1. Contexto y promesa pública</w:t>
      </w:r>
    </w:p>
    <w:p w14:paraId="4F87D576" w14:textId="77777777" w:rsidR="007D487F" w:rsidRDefault="005B1B64">
      <w:pPr>
        <w:spacing w:before="80" w:after="80" w:line="320" w:lineRule="auto"/>
        <w:jc w:val="both"/>
      </w:pPr>
      <w:proofErr w:type="spellStart"/>
      <w:r>
        <w:rPr>
          <w:color w:val="000000"/>
        </w:rPr>
        <w:t>Zillow</w:t>
      </w:r>
      <w:proofErr w:type="spellEnd"/>
      <w:r>
        <w:rPr>
          <w:color w:val="000000"/>
        </w:rPr>
        <w:t xml:space="preserve"> </w:t>
      </w:r>
      <w:proofErr w:type="spellStart"/>
      <w:r>
        <w:rPr>
          <w:color w:val="000000"/>
        </w:rPr>
        <w:t>Offers</w:t>
      </w:r>
      <w:proofErr w:type="spellEnd"/>
      <w:r>
        <w:rPr>
          <w:color w:val="000000"/>
        </w:rPr>
        <w:t xml:space="preserve"> fue el brazo de </w:t>
      </w:r>
      <w:proofErr w:type="spellStart"/>
      <w:r>
        <w:rPr>
          <w:color w:val="000000"/>
        </w:rPr>
        <w:t>iBuying</w:t>
      </w:r>
      <w:proofErr w:type="spellEnd"/>
      <w:r>
        <w:rPr>
          <w:color w:val="000000"/>
        </w:rPr>
        <w:t xml:space="preserve"> de </w:t>
      </w:r>
      <w:proofErr w:type="spellStart"/>
      <w:r>
        <w:rPr>
          <w:color w:val="000000"/>
        </w:rPr>
        <w:t>Zillow</w:t>
      </w:r>
      <w:proofErr w:type="spellEnd"/>
      <w:r>
        <w:rPr>
          <w:color w:val="000000"/>
        </w:rPr>
        <w:t xml:space="preserve"> Group, pl</w:t>
      </w:r>
      <w:r>
        <w:rPr>
          <w:color w:val="000000"/>
        </w:rPr>
        <w:t xml:space="preserve">ataforma estadounidense líder en información inmobiliaria. La iniciativa, lanzada en 2018 y ampliada agresivamente en 2020-2021, se apoyaba en el algoritmo </w:t>
      </w:r>
      <w:proofErr w:type="spellStart"/>
      <w:r>
        <w:rPr>
          <w:color w:val="000000"/>
        </w:rPr>
        <w:t>Zestimate</w:t>
      </w:r>
      <w:proofErr w:type="spellEnd"/>
      <w:r>
        <w:rPr>
          <w:color w:val="000000"/>
        </w:rPr>
        <w:t xml:space="preserve"> para estimar el valor de viviendas y emitir ofertas automáticas de compra. La narrativa pú</w:t>
      </w:r>
      <w:r>
        <w:rPr>
          <w:color w:val="000000"/>
        </w:rPr>
        <w:t xml:space="preserve">blica posicionaba a </w:t>
      </w:r>
      <w:proofErr w:type="spellStart"/>
      <w:r>
        <w:rPr>
          <w:color w:val="000000"/>
        </w:rPr>
        <w:t>Zillow</w:t>
      </w:r>
      <w:proofErr w:type="spellEnd"/>
      <w:r>
        <w:rPr>
          <w:color w:val="000000"/>
        </w:rPr>
        <w:t xml:space="preserve"> como "</w:t>
      </w:r>
      <w:proofErr w:type="spellStart"/>
      <w:r>
        <w:rPr>
          <w:color w:val="000000"/>
        </w:rPr>
        <w:t>market</w:t>
      </w:r>
      <w:proofErr w:type="spellEnd"/>
      <w:r>
        <w:rPr>
          <w:color w:val="000000"/>
        </w:rPr>
        <w:t xml:space="preserve"> </w:t>
      </w:r>
      <w:proofErr w:type="spellStart"/>
      <w:r>
        <w:rPr>
          <w:color w:val="000000"/>
        </w:rPr>
        <w:t>maker</w:t>
      </w:r>
      <w:proofErr w:type="spellEnd"/>
      <w:r>
        <w:rPr>
          <w:color w:val="000000"/>
        </w:rPr>
        <w:t xml:space="preserve">, no </w:t>
      </w:r>
      <w:proofErr w:type="spellStart"/>
      <w:r>
        <w:rPr>
          <w:color w:val="000000"/>
        </w:rPr>
        <w:t>market</w:t>
      </w:r>
      <w:proofErr w:type="spellEnd"/>
      <w:r>
        <w:rPr>
          <w:color w:val="000000"/>
        </w:rPr>
        <w:t xml:space="preserve"> </w:t>
      </w:r>
      <w:proofErr w:type="spellStart"/>
      <w:r>
        <w:rPr>
          <w:color w:val="000000"/>
        </w:rPr>
        <w:t>risk</w:t>
      </w:r>
      <w:proofErr w:type="spellEnd"/>
      <w:r>
        <w:rPr>
          <w:color w:val="000000"/>
        </w:rPr>
        <w:t xml:space="preserve"> </w:t>
      </w:r>
      <w:proofErr w:type="spellStart"/>
      <w:r>
        <w:rPr>
          <w:color w:val="000000"/>
        </w:rPr>
        <w:t>taker</w:t>
      </w:r>
      <w:proofErr w:type="spellEnd"/>
      <w:r>
        <w:rPr>
          <w:color w:val="000000"/>
        </w:rPr>
        <w:t>" capaz de pronosticar precios de vivienda con tres a seis meses de anticipación (</w:t>
      </w:r>
      <w:proofErr w:type="spellStart"/>
      <w:r>
        <w:rPr>
          <w:color w:val="000000"/>
        </w:rPr>
        <w:t>Zillow</w:t>
      </w:r>
      <w:proofErr w:type="spellEnd"/>
      <w:r>
        <w:rPr>
          <w:color w:val="000000"/>
        </w:rPr>
        <w:t xml:space="preserve"> Group, 2021).</w:t>
      </w:r>
    </w:p>
    <w:p w14:paraId="2914E690" w14:textId="77777777" w:rsidR="007D487F" w:rsidRDefault="005B1B64">
      <w:pPr>
        <w:spacing w:before="180" w:after="100" w:line="320" w:lineRule="auto"/>
      </w:pPr>
      <w:r>
        <w:rPr>
          <w:b/>
          <w:bCs/>
          <w:i/>
          <w:iCs/>
        </w:rPr>
        <w:t>3.2.2. Lo que ocurrió</w:t>
      </w:r>
    </w:p>
    <w:p w14:paraId="21DDDBDC" w14:textId="77777777" w:rsidR="007D487F" w:rsidRDefault="005B1B64">
      <w:pPr>
        <w:spacing w:before="80" w:after="80" w:line="320" w:lineRule="auto"/>
        <w:jc w:val="both"/>
      </w:pPr>
      <w:r>
        <w:rPr>
          <w:color w:val="000000"/>
        </w:rPr>
        <w:t xml:space="preserve">El 2 de noviembre de 2021, </w:t>
      </w:r>
      <w:proofErr w:type="spellStart"/>
      <w:r>
        <w:rPr>
          <w:color w:val="000000"/>
        </w:rPr>
        <w:t>Zillow</w:t>
      </w:r>
      <w:proofErr w:type="spellEnd"/>
      <w:r>
        <w:rPr>
          <w:color w:val="000000"/>
        </w:rPr>
        <w:t xml:space="preserve"> anunció el cierre completo del</w:t>
      </w:r>
      <w:r>
        <w:rPr>
          <w:color w:val="000000"/>
        </w:rPr>
        <w:t xml:space="preserve"> programa, una baja contable superior a 500 millones de dólares en inventario sobrevalorado y el despido del 25% de la plantilla, aproximadamente 2.000 empleados (</w:t>
      </w:r>
      <w:proofErr w:type="spellStart"/>
      <w:r>
        <w:rPr>
          <w:color w:val="000000"/>
        </w:rPr>
        <w:t>Zillow</w:t>
      </w:r>
      <w:proofErr w:type="spellEnd"/>
      <w:r>
        <w:rPr>
          <w:color w:val="000000"/>
        </w:rPr>
        <w:t xml:space="preserve"> Group, 2021; Stanford GSB, 2021). En el comunicado oficial a inversionistas, el CEO </w:t>
      </w:r>
      <w:proofErr w:type="spellStart"/>
      <w:r>
        <w:rPr>
          <w:color w:val="000000"/>
        </w:rPr>
        <w:t>Ri</w:t>
      </w:r>
      <w:r>
        <w:rPr>
          <w:color w:val="000000"/>
        </w:rPr>
        <w:t>ch</w:t>
      </w:r>
      <w:proofErr w:type="spellEnd"/>
      <w:r>
        <w:rPr>
          <w:color w:val="000000"/>
        </w:rPr>
        <w:t xml:space="preserve"> Barton reconoció textualmente que la volatilidad observada en el error de pronóstico "ha sido mucho más volátil de lo que jamás esperamos posible" (</w:t>
      </w:r>
      <w:proofErr w:type="spellStart"/>
      <w:r>
        <w:rPr>
          <w:color w:val="000000"/>
        </w:rPr>
        <w:t>Zillow</w:t>
      </w:r>
      <w:proofErr w:type="spellEnd"/>
      <w:r>
        <w:rPr>
          <w:color w:val="000000"/>
        </w:rPr>
        <w:t xml:space="preserve"> Group, 2021). El fundamento técnico del fracaso, según el análisis de Stanford GSB (2021), fue tri</w:t>
      </w:r>
      <w:r>
        <w:rPr>
          <w:color w:val="000000"/>
        </w:rPr>
        <w:t>ple: el algoritmo no se recalibró cuando el mercado postpandemia se enfrió, asumió que las tendencias de 2020-2021 eran sostenibles y subestimó la complejidad dinámica de un activo cuyo valor depende de variables que el modelo no capturaba (estilo arquitec</w:t>
      </w:r>
      <w:r>
        <w:rPr>
          <w:color w:val="000000"/>
        </w:rPr>
        <w:t>tónico, ruido del barrio, calidad del mantenimiento del vecindario).</w:t>
      </w:r>
    </w:p>
    <w:p w14:paraId="57484D94" w14:textId="77777777" w:rsidR="007D487F" w:rsidRDefault="005B1B64">
      <w:pPr>
        <w:spacing w:before="180" w:after="100" w:line="320" w:lineRule="auto"/>
      </w:pPr>
      <w:r>
        <w:rPr>
          <w:b/>
          <w:bCs/>
          <w:i/>
          <w:iCs/>
        </w:rPr>
        <w:t>3.2.3. Análisis por dimensiones</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7D487F" w14:paraId="2E984380" w14:textId="77777777">
        <w:tblPrEx>
          <w:tblCellMar>
            <w:top w:w="0" w:type="dxa"/>
            <w:bottom w:w="0" w:type="dxa"/>
          </w:tblCellMar>
        </w:tblPrEx>
        <w:trPr>
          <w:tblHeader/>
        </w:trPr>
        <w:tc>
          <w:tcPr>
            <w:tcW w:w="1900" w:type="dxa"/>
            <w:tcBorders>
              <w:top w:val="single" w:sz="4" w:space="0" w:color="CCCCCC"/>
              <w:left w:val="single" w:sz="4" w:space="0" w:color="CCCCCC"/>
              <w:bottom w:val="single" w:sz="4" w:space="0" w:color="CCCCCC"/>
              <w:right w:val="single" w:sz="4" w:space="0" w:color="CCCCCC"/>
            </w:tcBorders>
            <w:shd w:val="clear" w:color="auto" w:fill="EFE3E6"/>
            <w:tcMar>
              <w:top w:w="100" w:type="dxa"/>
              <w:left w:w="140" w:type="dxa"/>
              <w:bottom w:w="100" w:type="dxa"/>
              <w:right w:w="140" w:type="dxa"/>
            </w:tcMar>
            <w:vAlign w:val="center"/>
          </w:tcPr>
          <w:p w14:paraId="0BD50B9F" w14:textId="77777777" w:rsidR="007D487F" w:rsidRDefault="005B1B64">
            <w:pPr>
              <w:spacing w:line="280" w:lineRule="auto"/>
            </w:pPr>
            <w:r>
              <w:rPr>
                <w:b/>
                <w:bCs/>
                <w:color w:val="7B1A2F"/>
                <w:sz w:val="20"/>
                <w:szCs w:val="20"/>
              </w:rPr>
              <w:t>Dimensión</w:t>
            </w:r>
          </w:p>
        </w:tc>
        <w:tc>
          <w:tcPr>
            <w:tcW w:w="7460" w:type="dxa"/>
            <w:tcBorders>
              <w:top w:val="single" w:sz="4" w:space="0" w:color="CCCCCC"/>
              <w:left w:val="single" w:sz="4" w:space="0" w:color="CCCCCC"/>
              <w:bottom w:val="single" w:sz="4" w:space="0" w:color="CCCCCC"/>
              <w:right w:val="single" w:sz="4" w:space="0" w:color="CCCCCC"/>
            </w:tcBorders>
            <w:shd w:val="clear" w:color="auto" w:fill="EFE3E6"/>
            <w:tcMar>
              <w:top w:w="100" w:type="dxa"/>
              <w:left w:w="140" w:type="dxa"/>
              <w:bottom w:w="100" w:type="dxa"/>
              <w:right w:w="140" w:type="dxa"/>
            </w:tcMar>
            <w:vAlign w:val="center"/>
          </w:tcPr>
          <w:p w14:paraId="072B98F9" w14:textId="77777777" w:rsidR="007D487F" w:rsidRDefault="005B1B64">
            <w:pPr>
              <w:spacing w:line="280" w:lineRule="auto"/>
            </w:pPr>
            <w:r>
              <w:rPr>
                <w:b/>
                <w:bCs/>
                <w:color w:val="7B1A2F"/>
                <w:sz w:val="20"/>
                <w:szCs w:val="20"/>
              </w:rPr>
              <w:t>Diagnóstico</w:t>
            </w:r>
          </w:p>
        </w:tc>
      </w:tr>
      <w:tr w:rsidR="007D487F" w14:paraId="1511C3C0"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2626470" w14:textId="77777777" w:rsidR="007D487F" w:rsidRDefault="005B1B64">
            <w:pPr>
              <w:spacing w:line="280" w:lineRule="auto"/>
            </w:pPr>
            <w:r>
              <w:rPr>
                <w:color w:val="000000"/>
                <w:sz w:val="20"/>
                <w:szCs w:val="20"/>
              </w:rPr>
              <w:t>Problema</w:t>
            </w:r>
          </w:p>
        </w:tc>
        <w:tc>
          <w:tcPr>
            <w:tcW w:w="74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3B3D57C" w14:textId="77777777" w:rsidR="007D487F" w:rsidRDefault="005B1B64">
            <w:pPr>
              <w:spacing w:line="280" w:lineRule="auto"/>
            </w:pPr>
            <w:r>
              <w:rPr>
                <w:color w:val="000000"/>
                <w:sz w:val="20"/>
                <w:szCs w:val="20"/>
              </w:rPr>
              <w:t>Acotado: estimar valor de viviendas. Pero sin modelar incertidumbre temporal.</w:t>
            </w:r>
          </w:p>
        </w:tc>
      </w:tr>
      <w:tr w:rsidR="007D487F" w14:paraId="0FBDE230"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58F5E16" w14:textId="77777777" w:rsidR="007D487F" w:rsidRDefault="005B1B64">
            <w:pPr>
              <w:spacing w:line="280" w:lineRule="auto"/>
            </w:pPr>
            <w:r>
              <w:rPr>
                <w:color w:val="000000"/>
                <w:sz w:val="20"/>
                <w:szCs w:val="20"/>
              </w:rPr>
              <w:t>Solución</w:t>
            </w:r>
          </w:p>
        </w:tc>
        <w:tc>
          <w:tcPr>
            <w:tcW w:w="74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8195AD1" w14:textId="77777777" w:rsidR="007D487F" w:rsidRDefault="005B1B64">
            <w:pPr>
              <w:spacing w:line="280" w:lineRule="auto"/>
            </w:pPr>
            <w:r>
              <w:rPr>
                <w:color w:val="000000"/>
                <w:sz w:val="20"/>
                <w:szCs w:val="20"/>
              </w:rPr>
              <w:t xml:space="preserve">Algoritmo </w:t>
            </w:r>
            <w:proofErr w:type="spellStart"/>
            <w:r>
              <w:rPr>
                <w:color w:val="000000"/>
                <w:sz w:val="20"/>
                <w:szCs w:val="20"/>
              </w:rPr>
              <w:t>Zestimate</w:t>
            </w:r>
            <w:proofErr w:type="spellEnd"/>
            <w:r>
              <w:rPr>
                <w:color w:val="000000"/>
                <w:sz w:val="20"/>
                <w:szCs w:val="20"/>
              </w:rPr>
              <w:t xml:space="preserve"> sin recalibración ante </w:t>
            </w:r>
            <w:proofErr w:type="spellStart"/>
            <w:r>
              <w:rPr>
                <w:color w:val="000000"/>
                <w:sz w:val="20"/>
                <w:szCs w:val="20"/>
              </w:rPr>
              <w:t>drift</w:t>
            </w:r>
            <w:proofErr w:type="spellEnd"/>
            <w:r>
              <w:rPr>
                <w:color w:val="000000"/>
                <w:sz w:val="20"/>
                <w:szCs w:val="20"/>
              </w:rPr>
              <w:t xml:space="preserve"> de mercado.</w:t>
            </w:r>
          </w:p>
        </w:tc>
      </w:tr>
      <w:tr w:rsidR="007D487F" w:rsidRPr="00A6629E" w14:paraId="35462C65"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29B1240" w14:textId="77777777" w:rsidR="007D487F" w:rsidRDefault="005B1B64">
            <w:pPr>
              <w:spacing w:line="280" w:lineRule="auto"/>
            </w:pPr>
            <w:r>
              <w:rPr>
                <w:color w:val="000000"/>
                <w:sz w:val="20"/>
                <w:szCs w:val="20"/>
              </w:rPr>
              <w:lastRenderedPageBreak/>
              <w:t>Narrativa</w:t>
            </w:r>
          </w:p>
        </w:tc>
        <w:tc>
          <w:tcPr>
            <w:tcW w:w="74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217C751" w14:textId="77777777" w:rsidR="007D487F" w:rsidRPr="00A6629E" w:rsidRDefault="005B1B64">
            <w:pPr>
              <w:spacing w:line="280" w:lineRule="auto"/>
              <w:rPr>
                <w:lang w:val="en-US"/>
              </w:rPr>
            </w:pPr>
            <w:r>
              <w:rPr>
                <w:color w:val="000000"/>
                <w:sz w:val="20"/>
                <w:szCs w:val="20"/>
              </w:rPr>
              <w:t xml:space="preserve">Confianza excesiva en el algoritmo. </w:t>
            </w:r>
            <w:r w:rsidRPr="00A6629E">
              <w:rPr>
                <w:color w:val="000000"/>
                <w:sz w:val="20"/>
                <w:szCs w:val="20"/>
                <w:lang w:val="en-US"/>
              </w:rPr>
              <w:t>"Market maker, not market risk taker".</w:t>
            </w:r>
          </w:p>
        </w:tc>
      </w:tr>
      <w:tr w:rsidR="007D487F" w14:paraId="7C9A35EE"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021F17C" w14:textId="77777777" w:rsidR="007D487F" w:rsidRDefault="005B1B64">
            <w:pPr>
              <w:spacing w:line="280" w:lineRule="auto"/>
            </w:pPr>
            <w:r>
              <w:rPr>
                <w:color w:val="000000"/>
                <w:sz w:val="20"/>
                <w:szCs w:val="20"/>
              </w:rPr>
              <w:t>Evidencia</w:t>
            </w:r>
          </w:p>
        </w:tc>
        <w:tc>
          <w:tcPr>
            <w:tcW w:w="74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13A173D" w14:textId="77777777" w:rsidR="007D487F" w:rsidRDefault="005B1B64">
            <w:pPr>
              <w:spacing w:line="280" w:lineRule="auto"/>
            </w:pPr>
            <w:r>
              <w:rPr>
                <w:color w:val="000000"/>
                <w:sz w:val="20"/>
                <w:szCs w:val="20"/>
              </w:rPr>
              <w:t xml:space="preserve">Métricas de error </w:t>
            </w:r>
            <w:proofErr w:type="spellStart"/>
            <w:r>
              <w:rPr>
                <w:color w:val="000000"/>
                <w:sz w:val="20"/>
                <w:szCs w:val="20"/>
              </w:rPr>
              <w:t>in-sample</w:t>
            </w:r>
            <w:proofErr w:type="spellEnd"/>
            <w:r>
              <w:rPr>
                <w:color w:val="000000"/>
                <w:sz w:val="20"/>
                <w:szCs w:val="20"/>
              </w:rPr>
              <w:t>, sin pruebas de robustez ante cambios de régimen.</w:t>
            </w:r>
          </w:p>
        </w:tc>
      </w:tr>
      <w:tr w:rsidR="007D487F" w14:paraId="2E3C1973"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313E332" w14:textId="77777777" w:rsidR="007D487F" w:rsidRDefault="005B1B64">
            <w:pPr>
              <w:spacing w:line="280" w:lineRule="auto"/>
            </w:pPr>
            <w:r>
              <w:rPr>
                <w:color w:val="000000"/>
                <w:sz w:val="20"/>
                <w:szCs w:val="20"/>
              </w:rPr>
              <w:t>Alcance</w:t>
            </w:r>
          </w:p>
        </w:tc>
        <w:tc>
          <w:tcPr>
            <w:tcW w:w="74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CFFD931" w14:textId="77777777" w:rsidR="007D487F" w:rsidRDefault="005B1B64">
            <w:pPr>
              <w:spacing w:line="280" w:lineRule="auto"/>
            </w:pPr>
            <w:r>
              <w:rPr>
                <w:color w:val="000000"/>
                <w:sz w:val="20"/>
                <w:szCs w:val="20"/>
              </w:rPr>
              <w:t>Crecimiento acelerado: 3.805 casas en Q2 2021 (&gt;2x el trimestre anterior).</w:t>
            </w:r>
          </w:p>
        </w:tc>
      </w:tr>
      <w:tr w:rsidR="007D487F" w14:paraId="6414F37A"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2A912F0" w14:textId="77777777" w:rsidR="007D487F" w:rsidRDefault="005B1B64">
            <w:pPr>
              <w:spacing w:line="280" w:lineRule="auto"/>
            </w:pPr>
            <w:r>
              <w:rPr>
                <w:color w:val="000000"/>
                <w:sz w:val="20"/>
                <w:szCs w:val="20"/>
              </w:rPr>
              <w:t>Resulta</w:t>
            </w:r>
            <w:r>
              <w:rPr>
                <w:color w:val="000000"/>
                <w:sz w:val="20"/>
                <w:szCs w:val="20"/>
              </w:rPr>
              <w:t>do</w:t>
            </w:r>
          </w:p>
        </w:tc>
        <w:tc>
          <w:tcPr>
            <w:tcW w:w="74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B4869F0" w14:textId="77777777" w:rsidR="007D487F" w:rsidRDefault="005B1B64">
            <w:pPr>
              <w:spacing w:line="280" w:lineRule="auto"/>
            </w:pPr>
            <w:r>
              <w:rPr>
                <w:color w:val="000000"/>
                <w:sz w:val="20"/>
                <w:szCs w:val="20"/>
              </w:rPr>
              <w:t>USD 500M+ en pérdidas, cierre del programa, despido del 25% de la plantilla.</w:t>
            </w:r>
          </w:p>
        </w:tc>
      </w:tr>
    </w:tbl>
    <w:p w14:paraId="12CD809D" w14:textId="77777777" w:rsidR="007D487F" w:rsidRDefault="005B1B64">
      <w:pPr>
        <w:spacing w:before="100" w:after="200" w:line="280" w:lineRule="auto"/>
        <w:jc w:val="center"/>
      </w:pPr>
      <w:r>
        <w:rPr>
          <w:i/>
          <w:iCs/>
          <w:color w:val="595959"/>
          <w:sz w:val="20"/>
          <w:szCs w:val="20"/>
        </w:rPr>
        <w:t xml:space="preserve">Tabla 3. Análisis dimensional del caso </w:t>
      </w:r>
      <w:proofErr w:type="spellStart"/>
      <w:r>
        <w:rPr>
          <w:i/>
          <w:iCs/>
          <w:color w:val="595959"/>
          <w:sz w:val="20"/>
          <w:szCs w:val="20"/>
        </w:rPr>
        <w:t>Zillow</w:t>
      </w:r>
      <w:proofErr w:type="spellEnd"/>
      <w:r>
        <w:rPr>
          <w:i/>
          <w:iCs/>
          <w:color w:val="595959"/>
          <w:sz w:val="20"/>
          <w:szCs w:val="20"/>
        </w:rPr>
        <w:t xml:space="preserve"> </w:t>
      </w:r>
      <w:proofErr w:type="spellStart"/>
      <w:r>
        <w:rPr>
          <w:i/>
          <w:iCs/>
          <w:color w:val="595959"/>
          <w:sz w:val="20"/>
          <w:szCs w:val="20"/>
        </w:rPr>
        <w:t>Offers</w:t>
      </w:r>
      <w:proofErr w:type="spellEnd"/>
      <w:r>
        <w:rPr>
          <w:i/>
          <w:iCs/>
          <w:color w:val="595959"/>
          <w:sz w:val="20"/>
          <w:szCs w:val="20"/>
        </w:rPr>
        <w:t xml:space="preserve">. Elaboración propia con base en </w:t>
      </w:r>
      <w:proofErr w:type="spellStart"/>
      <w:r>
        <w:rPr>
          <w:i/>
          <w:iCs/>
          <w:color w:val="595959"/>
          <w:sz w:val="20"/>
          <w:szCs w:val="20"/>
        </w:rPr>
        <w:t>Zillow</w:t>
      </w:r>
      <w:proofErr w:type="spellEnd"/>
      <w:r>
        <w:rPr>
          <w:i/>
          <w:iCs/>
          <w:color w:val="595959"/>
          <w:sz w:val="20"/>
          <w:szCs w:val="20"/>
        </w:rPr>
        <w:t xml:space="preserve"> Group (2021) y Stanford GSB (2021).</w:t>
      </w:r>
    </w:p>
    <w:p w14:paraId="70CBD316" w14:textId="77777777" w:rsidR="007D487F" w:rsidRDefault="005B1B64">
      <w:pPr>
        <w:spacing w:before="180" w:after="100" w:line="320" w:lineRule="auto"/>
      </w:pPr>
      <w:r>
        <w:rPr>
          <w:b/>
          <w:bCs/>
          <w:i/>
          <w:iCs/>
        </w:rPr>
        <w:t>3.2.4. Lecciones extraídas</w:t>
      </w:r>
    </w:p>
    <w:p w14:paraId="566DDAD7" w14:textId="53DA64FE" w:rsidR="007D487F" w:rsidRDefault="005B1B64">
      <w:pPr>
        <w:spacing w:before="80" w:after="80" w:line="320" w:lineRule="auto"/>
        <w:jc w:val="both"/>
      </w:pPr>
      <w:proofErr w:type="spellStart"/>
      <w:r>
        <w:rPr>
          <w:color w:val="000000"/>
        </w:rPr>
        <w:t>Zillow</w:t>
      </w:r>
      <w:proofErr w:type="spellEnd"/>
      <w:r>
        <w:rPr>
          <w:color w:val="000000"/>
        </w:rPr>
        <w:t xml:space="preserve"> </w:t>
      </w:r>
      <w:proofErr w:type="spellStart"/>
      <w:r>
        <w:rPr>
          <w:color w:val="000000"/>
        </w:rPr>
        <w:t>Offers</w:t>
      </w:r>
      <w:proofErr w:type="spellEnd"/>
      <w:r>
        <w:rPr>
          <w:color w:val="000000"/>
        </w:rPr>
        <w:t xml:space="preserve"> ilustra dos errores adicionales que toda presentación técnica debe prevenir. El primero</w:t>
      </w:r>
      <w:r>
        <w:rPr>
          <w:color w:val="000000"/>
        </w:rPr>
        <w:t xml:space="preserve"> es la confusión entre precisión y robustez: el </w:t>
      </w:r>
      <w:proofErr w:type="spellStart"/>
      <w:r>
        <w:rPr>
          <w:color w:val="000000"/>
        </w:rPr>
        <w:t>Zestimate</w:t>
      </w:r>
      <w:proofErr w:type="spellEnd"/>
      <w:r>
        <w:rPr>
          <w:color w:val="000000"/>
        </w:rPr>
        <w:t xml:space="preserve"> era razonablemente preciso en condiciones estables, pero las presentaciones públicas de </w:t>
      </w:r>
      <w:proofErr w:type="spellStart"/>
      <w:r>
        <w:rPr>
          <w:color w:val="000000"/>
        </w:rPr>
        <w:t>Zillow</w:t>
      </w:r>
      <w:proofErr w:type="spellEnd"/>
      <w:r>
        <w:rPr>
          <w:color w:val="000000"/>
        </w:rPr>
        <w:t xml:space="preserve"> no comunicaron adecuadamente la fragilidad del modelo ante cambios de régimen del mercado. El segundo e</w:t>
      </w:r>
      <w:r>
        <w:rPr>
          <w:color w:val="000000"/>
        </w:rPr>
        <w:t>s la asimetría de la narrativa de éxito: cuando el algoritmo funcionaba se atribuía a la sofisticación tecnológica; cuando dejó de funcionar, se atribuyó a "circunstancias extraordinarias del mercado". Esta asimetría es un patrón típico de presentaciones q</w:t>
      </w:r>
      <w:r>
        <w:rPr>
          <w:color w:val="000000"/>
        </w:rPr>
        <w:t xml:space="preserve">ue no establecen </w:t>
      </w:r>
      <w:proofErr w:type="spellStart"/>
      <w:r>
        <w:rPr>
          <w:color w:val="000000"/>
        </w:rPr>
        <w:t>baselines</w:t>
      </w:r>
      <w:proofErr w:type="spellEnd"/>
      <w:r>
        <w:rPr>
          <w:color w:val="000000"/>
        </w:rPr>
        <w:t xml:space="preserve"> de comparación honestos. Para el </w:t>
      </w:r>
      <w:r w:rsidR="00A6629E">
        <w:rPr>
          <w:color w:val="000000"/>
        </w:rPr>
        <w:t>Grupo</w:t>
      </w:r>
      <w:r>
        <w:rPr>
          <w:color w:val="000000"/>
        </w:rPr>
        <w:t>, la lección directa es: cualquier diapositiva que reporte una métrica de desempeño debe acompañarse de su intervalo de confianza y de un enunciado explícito sobre las condiciones de valide</w:t>
      </w:r>
      <w:r>
        <w:rPr>
          <w:color w:val="000000"/>
        </w:rPr>
        <w:t>z.</w:t>
      </w:r>
    </w:p>
    <w:p w14:paraId="4F716104" w14:textId="14D520EF" w:rsidR="007D487F" w:rsidRDefault="005B1B64">
      <w:pPr>
        <w:spacing w:before="240" w:after="140" w:line="320" w:lineRule="auto"/>
      </w:pPr>
      <w:r>
        <w:rPr>
          <w:b/>
          <w:bCs/>
          <w:color w:val="7B1A2F"/>
          <w:sz w:val="24"/>
          <w:szCs w:val="24"/>
        </w:rPr>
        <w:t xml:space="preserve">3.3. Caso </w:t>
      </w:r>
      <w:proofErr w:type="gramStart"/>
      <w:r>
        <w:rPr>
          <w:b/>
          <w:bCs/>
          <w:color w:val="7B1A2F"/>
          <w:sz w:val="24"/>
          <w:szCs w:val="24"/>
        </w:rPr>
        <w:t xml:space="preserve">3 </w:t>
      </w:r>
      <w:r>
        <w:rPr>
          <w:b/>
          <w:bCs/>
          <w:color w:val="7B1A2F"/>
          <w:sz w:val="24"/>
          <w:szCs w:val="24"/>
        </w:rPr>
        <w:t xml:space="preserve"> COMPAS</w:t>
      </w:r>
      <w:proofErr w:type="gramEnd"/>
      <w:r>
        <w:rPr>
          <w:b/>
          <w:bCs/>
          <w:color w:val="7B1A2F"/>
          <w:sz w:val="24"/>
          <w:szCs w:val="24"/>
        </w:rPr>
        <w:t xml:space="preserve"> y la asimetría racial en evaluación de riesgo</w:t>
      </w:r>
    </w:p>
    <w:p w14:paraId="4BA3BA68" w14:textId="77777777" w:rsidR="007D487F" w:rsidRDefault="005B1B64">
      <w:pPr>
        <w:spacing w:before="180" w:after="100" w:line="320" w:lineRule="auto"/>
      </w:pPr>
      <w:r>
        <w:rPr>
          <w:b/>
          <w:bCs/>
          <w:i/>
          <w:iCs/>
        </w:rPr>
        <w:t>3.3.1. Contexto y promesa pública</w:t>
      </w:r>
    </w:p>
    <w:p w14:paraId="63330D75" w14:textId="77777777" w:rsidR="007D487F" w:rsidRDefault="005B1B64">
      <w:pPr>
        <w:spacing w:before="80" w:after="80" w:line="320" w:lineRule="auto"/>
        <w:jc w:val="both"/>
      </w:pPr>
      <w:r>
        <w:rPr>
          <w:color w:val="000000"/>
        </w:rPr>
        <w:t>COMPAS (</w:t>
      </w:r>
      <w:proofErr w:type="spellStart"/>
      <w:r>
        <w:rPr>
          <w:color w:val="000000"/>
        </w:rPr>
        <w:t>Correctional</w:t>
      </w:r>
      <w:proofErr w:type="spellEnd"/>
      <w:r>
        <w:rPr>
          <w:color w:val="000000"/>
        </w:rPr>
        <w:t xml:space="preserve"> </w:t>
      </w:r>
      <w:proofErr w:type="spellStart"/>
      <w:r>
        <w:rPr>
          <w:color w:val="000000"/>
        </w:rPr>
        <w:t>Offender</w:t>
      </w:r>
      <w:proofErr w:type="spellEnd"/>
      <w:r>
        <w:rPr>
          <w:color w:val="000000"/>
        </w:rPr>
        <w:t xml:space="preserve"> Management </w:t>
      </w:r>
      <w:proofErr w:type="spellStart"/>
      <w:r>
        <w:rPr>
          <w:color w:val="000000"/>
        </w:rPr>
        <w:t>Profiling</w:t>
      </w:r>
      <w:proofErr w:type="spellEnd"/>
      <w:r>
        <w:rPr>
          <w:color w:val="000000"/>
        </w:rPr>
        <w:t xml:space="preserve"> </w:t>
      </w:r>
      <w:proofErr w:type="spellStart"/>
      <w:r>
        <w:rPr>
          <w:color w:val="000000"/>
        </w:rPr>
        <w:t>for</w:t>
      </w:r>
      <w:proofErr w:type="spellEnd"/>
      <w:r>
        <w:rPr>
          <w:color w:val="000000"/>
        </w:rPr>
        <w:t xml:space="preserve"> Alternative </w:t>
      </w:r>
      <w:proofErr w:type="spellStart"/>
      <w:r>
        <w:rPr>
          <w:color w:val="000000"/>
        </w:rPr>
        <w:t>Sanctions</w:t>
      </w:r>
      <w:proofErr w:type="spellEnd"/>
      <w:r>
        <w:rPr>
          <w:color w:val="000000"/>
        </w:rPr>
        <w:t>) es un sistema de evaluación de riesgo de reincidencia criminal desarrollad</w:t>
      </w:r>
      <w:r>
        <w:rPr>
          <w:color w:val="000000"/>
        </w:rPr>
        <w:t xml:space="preserve">o por </w:t>
      </w:r>
      <w:proofErr w:type="spellStart"/>
      <w:r>
        <w:rPr>
          <w:color w:val="000000"/>
        </w:rPr>
        <w:t>Northpointe</w:t>
      </w:r>
      <w:proofErr w:type="spellEnd"/>
      <w:r>
        <w:rPr>
          <w:color w:val="000000"/>
        </w:rPr>
        <w:t xml:space="preserve"> (</w:t>
      </w:r>
      <w:proofErr w:type="spellStart"/>
      <w:r>
        <w:rPr>
          <w:color w:val="000000"/>
        </w:rPr>
        <w:t>rebrandado</w:t>
      </w:r>
      <w:proofErr w:type="spellEnd"/>
      <w:r>
        <w:rPr>
          <w:color w:val="000000"/>
        </w:rPr>
        <w:t xml:space="preserve"> a </w:t>
      </w:r>
      <w:proofErr w:type="spellStart"/>
      <w:r>
        <w:rPr>
          <w:color w:val="000000"/>
        </w:rPr>
        <w:t>Equivant</w:t>
      </w:r>
      <w:proofErr w:type="spellEnd"/>
      <w:r>
        <w:rPr>
          <w:color w:val="000000"/>
        </w:rPr>
        <w:t xml:space="preserve"> en 2017) y desplegado en cortes estadounidenses para informar decisiones sobre fianza y sentencia. La promesa pública del sistema se centraba en aportar objetividad estadística a un proceso históricamente sesgado po</w:t>
      </w:r>
      <w:r>
        <w:rPr>
          <w:color w:val="000000"/>
        </w:rPr>
        <w:t>r la subjetividad humana (</w:t>
      </w:r>
      <w:proofErr w:type="spellStart"/>
      <w:r>
        <w:rPr>
          <w:color w:val="000000"/>
        </w:rPr>
        <w:t>Angwin</w:t>
      </w:r>
      <w:proofErr w:type="spellEnd"/>
      <w:r>
        <w:rPr>
          <w:color w:val="000000"/>
        </w:rPr>
        <w:t xml:space="preserve"> et al., 2016).</w:t>
      </w:r>
    </w:p>
    <w:p w14:paraId="38982E00" w14:textId="77777777" w:rsidR="007D487F" w:rsidRDefault="005B1B64">
      <w:pPr>
        <w:spacing w:before="180" w:after="100" w:line="320" w:lineRule="auto"/>
      </w:pPr>
      <w:r>
        <w:rPr>
          <w:b/>
          <w:bCs/>
          <w:i/>
          <w:iCs/>
        </w:rPr>
        <w:t>3.3.2. Lo que ocurrió</w:t>
      </w:r>
    </w:p>
    <w:p w14:paraId="41299070" w14:textId="654C8B68" w:rsidR="007D487F" w:rsidRDefault="005B1B64">
      <w:pPr>
        <w:spacing w:before="80" w:after="80" w:line="320" w:lineRule="auto"/>
        <w:jc w:val="both"/>
      </w:pPr>
      <w:r>
        <w:rPr>
          <w:color w:val="000000"/>
        </w:rPr>
        <w:t xml:space="preserve">En mayo de 2016, </w:t>
      </w:r>
      <w:proofErr w:type="spellStart"/>
      <w:r>
        <w:rPr>
          <w:color w:val="000000"/>
        </w:rPr>
        <w:t>ProPublica</w:t>
      </w:r>
      <w:proofErr w:type="spellEnd"/>
      <w:r>
        <w:rPr>
          <w:color w:val="000000"/>
        </w:rPr>
        <w:t xml:space="preserve"> publicó la investigación "Machine </w:t>
      </w:r>
      <w:proofErr w:type="spellStart"/>
      <w:r>
        <w:rPr>
          <w:color w:val="000000"/>
        </w:rPr>
        <w:t>Bias</w:t>
      </w:r>
      <w:proofErr w:type="spellEnd"/>
      <w:r>
        <w:rPr>
          <w:color w:val="000000"/>
        </w:rPr>
        <w:t>", basada en el análisis de los puntajes COMPAS de más de 7.000 personas arrestadas en Broward County, Florida (</w:t>
      </w:r>
      <w:proofErr w:type="spellStart"/>
      <w:r>
        <w:rPr>
          <w:color w:val="000000"/>
        </w:rPr>
        <w:t>Angwin</w:t>
      </w:r>
      <w:proofErr w:type="spellEnd"/>
      <w:r>
        <w:rPr>
          <w:color w:val="000000"/>
        </w:rPr>
        <w:t xml:space="preserve"> e</w:t>
      </w:r>
      <w:r>
        <w:rPr>
          <w:color w:val="000000"/>
        </w:rPr>
        <w:t>t al., 2016). Los hallazgos, replicados después por múltiples investigadores académicos (</w:t>
      </w:r>
      <w:proofErr w:type="spellStart"/>
      <w:r>
        <w:rPr>
          <w:color w:val="000000"/>
        </w:rPr>
        <w:t>Chouldechova</w:t>
      </w:r>
      <w:proofErr w:type="spellEnd"/>
      <w:r>
        <w:rPr>
          <w:color w:val="000000"/>
        </w:rPr>
        <w:t xml:space="preserve">, 2017; Hamilton, 2019), mostraron que los acusados afroamericanos eran clasificados incorrectamente como de alto riesgo </w:t>
      </w:r>
      <w:r>
        <w:rPr>
          <w:color w:val="000000"/>
        </w:rPr>
        <w:lastRenderedPageBreak/>
        <w:t>aproximadamente al doble de la tas</w:t>
      </w:r>
      <w:r>
        <w:rPr>
          <w:color w:val="000000"/>
        </w:rPr>
        <w:t xml:space="preserve">a que los acusados blancos </w:t>
      </w:r>
      <w:r>
        <w:rPr>
          <w:color w:val="000000"/>
        </w:rPr>
        <w:t>cuando no reincidían efectivamente</w:t>
      </w:r>
      <w:r>
        <w:rPr>
          <w:color w:val="000000"/>
        </w:rPr>
        <w:t xml:space="preserve"> mientras los acusados blancos eran clasificados incorrectamente como de bajo riesgo a una tasa proporcionalmente mayor cuando sí reincidían. </w:t>
      </w:r>
      <w:proofErr w:type="spellStart"/>
      <w:r>
        <w:rPr>
          <w:color w:val="000000"/>
        </w:rPr>
        <w:t>Northpointe</w:t>
      </w:r>
      <w:proofErr w:type="spellEnd"/>
      <w:r>
        <w:rPr>
          <w:color w:val="000000"/>
        </w:rPr>
        <w:t xml:space="preserve"> respondió con un análisis técnico (Diet</w:t>
      </w:r>
      <w:r>
        <w:rPr>
          <w:color w:val="000000"/>
        </w:rPr>
        <w:t xml:space="preserve">erich et al., 2016) argumentando que el sistema cumplía un criterio distinto de equidad </w:t>
      </w:r>
      <w:r>
        <w:rPr>
          <w:color w:val="000000"/>
        </w:rPr>
        <w:t>calibración igual entre grupos</w:t>
      </w:r>
      <w:r>
        <w:rPr>
          <w:color w:val="000000"/>
        </w:rPr>
        <w:t xml:space="preserve"> y que la divergencia con </w:t>
      </w:r>
      <w:proofErr w:type="spellStart"/>
      <w:r>
        <w:rPr>
          <w:color w:val="000000"/>
        </w:rPr>
        <w:t>ProPublica</w:t>
      </w:r>
      <w:proofErr w:type="spellEnd"/>
      <w:r>
        <w:rPr>
          <w:color w:val="000000"/>
        </w:rPr>
        <w:t xml:space="preserve"> reflejaba diferentes definiciones matemáticas de </w:t>
      </w:r>
      <w:proofErr w:type="spellStart"/>
      <w:r>
        <w:rPr>
          <w:color w:val="000000"/>
        </w:rPr>
        <w:t>fairness</w:t>
      </w:r>
      <w:proofErr w:type="spellEnd"/>
      <w:r>
        <w:rPr>
          <w:color w:val="000000"/>
        </w:rPr>
        <w:t xml:space="preserve">. </w:t>
      </w:r>
      <w:proofErr w:type="spellStart"/>
      <w:r>
        <w:rPr>
          <w:color w:val="000000"/>
        </w:rPr>
        <w:t>Chouldechova</w:t>
      </w:r>
      <w:proofErr w:type="spellEnd"/>
      <w:r>
        <w:rPr>
          <w:color w:val="000000"/>
        </w:rPr>
        <w:t xml:space="preserve"> (2017) demostró formalmente</w:t>
      </w:r>
      <w:r>
        <w:rPr>
          <w:color w:val="000000"/>
        </w:rPr>
        <w:t xml:space="preserve"> que los criterios de </w:t>
      </w:r>
      <w:proofErr w:type="spellStart"/>
      <w:r>
        <w:rPr>
          <w:color w:val="000000"/>
        </w:rPr>
        <w:t>fairness</w:t>
      </w:r>
      <w:proofErr w:type="spellEnd"/>
      <w:r>
        <w:rPr>
          <w:color w:val="000000"/>
        </w:rPr>
        <w:t xml:space="preserve"> invocados por ambas partes son matemáticamente incompatibles cuando las tasas base de reincidencia difieren entre grupos, lo que abrió un campo entero de investigación sobre la imposibilidad de </w:t>
      </w:r>
      <w:proofErr w:type="spellStart"/>
      <w:r>
        <w:rPr>
          <w:color w:val="000000"/>
        </w:rPr>
        <w:t>fairness</w:t>
      </w:r>
      <w:proofErr w:type="spellEnd"/>
      <w:r>
        <w:rPr>
          <w:color w:val="000000"/>
        </w:rPr>
        <w:t xml:space="preserve"> universal en clasifica</w:t>
      </w:r>
      <w:r>
        <w:rPr>
          <w:color w:val="000000"/>
        </w:rPr>
        <w:t>ción.</w:t>
      </w:r>
    </w:p>
    <w:p w14:paraId="7296FBBD" w14:textId="77777777" w:rsidR="007D487F" w:rsidRDefault="005B1B64">
      <w:pPr>
        <w:spacing w:before="180" w:after="100" w:line="320" w:lineRule="auto"/>
      </w:pPr>
      <w:r>
        <w:rPr>
          <w:b/>
          <w:bCs/>
          <w:i/>
          <w:iCs/>
        </w:rPr>
        <w:t>3.3.3. Análisis por dimensiones</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7D487F" w14:paraId="4F8BD90C" w14:textId="77777777">
        <w:tblPrEx>
          <w:tblCellMar>
            <w:top w:w="0" w:type="dxa"/>
            <w:bottom w:w="0" w:type="dxa"/>
          </w:tblCellMar>
        </w:tblPrEx>
        <w:trPr>
          <w:tblHeader/>
        </w:trPr>
        <w:tc>
          <w:tcPr>
            <w:tcW w:w="1900" w:type="dxa"/>
            <w:tcBorders>
              <w:top w:val="single" w:sz="4" w:space="0" w:color="CCCCCC"/>
              <w:left w:val="single" w:sz="4" w:space="0" w:color="CCCCCC"/>
              <w:bottom w:val="single" w:sz="4" w:space="0" w:color="CCCCCC"/>
              <w:right w:val="single" w:sz="4" w:space="0" w:color="CCCCCC"/>
            </w:tcBorders>
            <w:shd w:val="clear" w:color="auto" w:fill="EFE3E6"/>
            <w:tcMar>
              <w:top w:w="100" w:type="dxa"/>
              <w:left w:w="140" w:type="dxa"/>
              <w:bottom w:w="100" w:type="dxa"/>
              <w:right w:w="140" w:type="dxa"/>
            </w:tcMar>
            <w:vAlign w:val="center"/>
          </w:tcPr>
          <w:p w14:paraId="254486CF" w14:textId="77777777" w:rsidR="007D487F" w:rsidRDefault="005B1B64">
            <w:pPr>
              <w:spacing w:line="280" w:lineRule="auto"/>
            </w:pPr>
            <w:r>
              <w:rPr>
                <w:b/>
                <w:bCs/>
                <w:color w:val="7B1A2F"/>
                <w:sz w:val="20"/>
                <w:szCs w:val="20"/>
              </w:rPr>
              <w:t>Dimensión</w:t>
            </w:r>
          </w:p>
        </w:tc>
        <w:tc>
          <w:tcPr>
            <w:tcW w:w="7460" w:type="dxa"/>
            <w:tcBorders>
              <w:top w:val="single" w:sz="4" w:space="0" w:color="CCCCCC"/>
              <w:left w:val="single" w:sz="4" w:space="0" w:color="CCCCCC"/>
              <w:bottom w:val="single" w:sz="4" w:space="0" w:color="CCCCCC"/>
              <w:right w:val="single" w:sz="4" w:space="0" w:color="CCCCCC"/>
            </w:tcBorders>
            <w:shd w:val="clear" w:color="auto" w:fill="EFE3E6"/>
            <w:tcMar>
              <w:top w:w="100" w:type="dxa"/>
              <w:left w:w="140" w:type="dxa"/>
              <w:bottom w:w="100" w:type="dxa"/>
              <w:right w:w="140" w:type="dxa"/>
            </w:tcMar>
            <w:vAlign w:val="center"/>
          </w:tcPr>
          <w:p w14:paraId="50F4847F" w14:textId="77777777" w:rsidR="007D487F" w:rsidRDefault="005B1B64">
            <w:pPr>
              <w:spacing w:line="280" w:lineRule="auto"/>
            </w:pPr>
            <w:r>
              <w:rPr>
                <w:b/>
                <w:bCs/>
                <w:color w:val="7B1A2F"/>
                <w:sz w:val="20"/>
                <w:szCs w:val="20"/>
              </w:rPr>
              <w:t>Diagnóstico</w:t>
            </w:r>
          </w:p>
        </w:tc>
      </w:tr>
      <w:tr w:rsidR="007D487F" w14:paraId="3F5A91CC"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3128431" w14:textId="77777777" w:rsidR="007D487F" w:rsidRDefault="005B1B64">
            <w:pPr>
              <w:spacing w:line="280" w:lineRule="auto"/>
            </w:pPr>
            <w:r>
              <w:rPr>
                <w:color w:val="000000"/>
                <w:sz w:val="20"/>
                <w:szCs w:val="20"/>
              </w:rPr>
              <w:t>Problema</w:t>
            </w:r>
          </w:p>
        </w:tc>
        <w:tc>
          <w:tcPr>
            <w:tcW w:w="74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86615AE" w14:textId="77777777" w:rsidR="007D487F" w:rsidRDefault="005B1B64">
            <w:pPr>
              <w:spacing w:line="280" w:lineRule="auto"/>
            </w:pPr>
            <w:r>
              <w:rPr>
                <w:color w:val="000000"/>
                <w:sz w:val="20"/>
                <w:szCs w:val="20"/>
              </w:rPr>
              <w:t>Acotado: predecir reincidencia. Pero ignoró las consecuencias diferenciales.</w:t>
            </w:r>
          </w:p>
        </w:tc>
      </w:tr>
      <w:tr w:rsidR="007D487F" w14:paraId="278AD3FF"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09813EE" w14:textId="77777777" w:rsidR="007D487F" w:rsidRDefault="005B1B64">
            <w:pPr>
              <w:spacing w:line="280" w:lineRule="auto"/>
            </w:pPr>
            <w:r>
              <w:rPr>
                <w:color w:val="000000"/>
                <w:sz w:val="20"/>
                <w:szCs w:val="20"/>
              </w:rPr>
              <w:t>Solución</w:t>
            </w:r>
          </w:p>
        </w:tc>
        <w:tc>
          <w:tcPr>
            <w:tcW w:w="74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5415C9D" w14:textId="77777777" w:rsidR="007D487F" w:rsidRDefault="005B1B64">
            <w:pPr>
              <w:spacing w:line="280" w:lineRule="auto"/>
            </w:pPr>
            <w:r>
              <w:rPr>
                <w:color w:val="000000"/>
                <w:sz w:val="20"/>
                <w:szCs w:val="20"/>
              </w:rPr>
              <w:t>Modelo propietario (caja negra). Sin posibilidad de auditoría externa.</w:t>
            </w:r>
          </w:p>
        </w:tc>
      </w:tr>
      <w:tr w:rsidR="007D487F" w14:paraId="21E3FF3D"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3F392C4" w14:textId="77777777" w:rsidR="007D487F" w:rsidRDefault="005B1B64">
            <w:pPr>
              <w:spacing w:line="280" w:lineRule="auto"/>
            </w:pPr>
            <w:r>
              <w:rPr>
                <w:color w:val="000000"/>
                <w:sz w:val="20"/>
                <w:szCs w:val="20"/>
              </w:rPr>
              <w:t>Narrativa</w:t>
            </w:r>
          </w:p>
        </w:tc>
        <w:tc>
          <w:tcPr>
            <w:tcW w:w="74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252145E" w14:textId="77777777" w:rsidR="007D487F" w:rsidRDefault="005B1B64">
            <w:pPr>
              <w:spacing w:line="280" w:lineRule="auto"/>
            </w:pPr>
            <w:r>
              <w:rPr>
                <w:color w:val="000000"/>
                <w:sz w:val="20"/>
                <w:szCs w:val="20"/>
              </w:rPr>
              <w:t xml:space="preserve">Apelación a la objetividad estadística. Sin definir qué </w:t>
            </w:r>
            <w:proofErr w:type="spellStart"/>
            <w:r>
              <w:rPr>
                <w:color w:val="000000"/>
                <w:sz w:val="20"/>
                <w:szCs w:val="20"/>
              </w:rPr>
              <w:t>fairness</w:t>
            </w:r>
            <w:proofErr w:type="spellEnd"/>
            <w:r>
              <w:rPr>
                <w:color w:val="000000"/>
                <w:sz w:val="20"/>
                <w:szCs w:val="20"/>
              </w:rPr>
              <w:t xml:space="preserve"> se mide.</w:t>
            </w:r>
          </w:p>
        </w:tc>
      </w:tr>
      <w:tr w:rsidR="007D487F" w14:paraId="6F5CD117"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2C39DA1" w14:textId="77777777" w:rsidR="007D487F" w:rsidRDefault="005B1B64">
            <w:pPr>
              <w:spacing w:line="280" w:lineRule="auto"/>
            </w:pPr>
            <w:r>
              <w:rPr>
                <w:color w:val="000000"/>
                <w:sz w:val="20"/>
                <w:szCs w:val="20"/>
              </w:rPr>
              <w:t>Evidencia</w:t>
            </w:r>
          </w:p>
        </w:tc>
        <w:tc>
          <w:tcPr>
            <w:tcW w:w="74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5830B7E" w14:textId="77777777" w:rsidR="007D487F" w:rsidRDefault="005B1B64">
            <w:pPr>
              <w:spacing w:line="280" w:lineRule="auto"/>
            </w:pPr>
            <w:r>
              <w:rPr>
                <w:color w:val="000000"/>
                <w:sz w:val="20"/>
                <w:szCs w:val="20"/>
              </w:rPr>
              <w:t>Métricas de calibración. Omisión de tasas de falsos positivos por grupo.</w:t>
            </w:r>
          </w:p>
        </w:tc>
      </w:tr>
      <w:tr w:rsidR="007D487F" w14:paraId="7DA2453C"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6CE43E8" w14:textId="77777777" w:rsidR="007D487F" w:rsidRDefault="005B1B64">
            <w:pPr>
              <w:spacing w:line="280" w:lineRule="auto"/>
            </w:pPr>
            <w:r>
              <w:rPr>
                <w:color w:val="000000"/>
                <w:sz w:val="20"/>
                <w:szCs w:val="20"/>
              </w:rPr>
              <w:t>Alcance</w:t>
            </w:r>
          </w:p>
        </w:tc>
        <w:tc>
          <w:tcPr>
            <w:tcW w:w="74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210127E" w14:textId="77777777" w:rsidR="007D487F" w:rsidRDefault="005B1B64">
            <w:pPr>
              <w:spacing w:line="280" w:lineRule="auto"/>
            </w:pPr>
            <w:r>
              <w:rPr>
                <w:color w:val="000000"/>
                <w:sz w:val="20"/>
                <w:szCs w:val="20"/>
              </w:rPr>
              <w:t>Desplie</w:t>
            </w:r>
            <w:r>
              <w:rPr>
                <w:color w:val="000000"/>
                <w:sz w:val="20"/>
                <w:szCs w:val="20"/>
              </w:rPr>
              <w:t>gue masivo en cortes sin marcos de auditoría algorítmica obligatoria.</w:t>
            </w:r>
          </w:p>
        </w:tc>
      </w:tr>
      <w:tr w:rsidR="007D487F" w14:paraId="3CA78E86"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5470A5A" w14:textId="77777777" w:rsidR="007D487F" w:rsidRDefault="005B1B64">
            <w:pPr>
              <w:spacing w:line="280" w:lineRule="auto"/>
            </w:pPr>
            <w:r>
              <w:rPr>
                <w:color w:val="000000"/>
                <w:sz w:val="20"/>
                <w:szCs w:val="20"/>
              </w:rPr>
              <w:t>Resultado</w:t>
            </w:r>
          </w:p>
        </w:tc>
        <w:tc>
          <w:tcPr>
            <w:tcW w:w="74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1650CC4" w14:textId="77777777" w:rsidR="007D487F" w:rsidRDefault="005B1B64">
            <w:pPr>
              <w:spacing w:line="280" w:lineRule="auto"/>
            </w:pPr>
            <w:r>
              <w:rPr>
                <w:color w:val="000000"/>
                <w:sz w:val="20"/>
                <w:szCs w:val="20"/>
              </w:rPr>
              <w:t>Litigios, debate académico permanente y reformas regulatorias en curso.</w:t>
            </w:r>
          </w:p>
        </w:tc>
      </w:tr>
    </w:tbl>
    <w:p w14:paraId="031383EC" w14:textId="77777777" w:rsidR="007D487F" w:rsidRDefault="005B1B64">
      <w:pPr>
        <w:spacing w:before="100" w:after="200" w:line="280" w:lineRule="auto"/>
        <w:jc w:val="center"/>
      </w:pPr>
      <w:r>
        <w:rPr>
          <w:i/>
          <w:iCs/>
          <w:color w:val="595959"/>
          <w:sz w:val="20"/>
          <w:szCs w:val="20"/>
        </w:rPr>
        <w:t xml:space="preserve">Tabla 4. Análisis dimensional del caso COMPAS. Elaboración propia con base en </w:t>
      </w:r>
      <w:proofErr w:type="spellStart"/>
      <w:r>
        <w:rPr>
          <w:i/>
          <w:iCs/>
          <w:color w:val="595959"/>
          <w:sz w:val="20"/>
          <w:szCs w:val="20"/>
        </w:rPr>
        <w:t>Angwin</w:t>
      </w:r>
      <w:proofErr w:type="spellEnd"/>
      <w:r>
        <w:rPr>
          <w:i/>
          <w:iCs/>
          <w:color w:val="595959"/>
          <w:sz w:val="20"/>
          <w:szCs w:val="20"/>
        </w:rPr>
        <w:t xml:space="preserve"> et al. (2016) y </w:t>
      </w:r>
      <w:proofErr w:type="spellStart"/>
      <w:r>
        <w:rPr>
          <w:i/>
          <w:iCs/>
          <w:color w:val="595959"/>
          <w:sz w:val="20"/>
          <w:szCs w:val="20"/>
        </w:rPr>
        <w:t>Chouldechova</w:t>
      </w:r>
      <w:proofErr w:type="spellEnd"/>
      <w:r>
        <w:rPr>
          <w:i/>
          <w:iCs/>
          <w:color w:val="595959"/>
          <w:sz w:val="20"/>
          <w:szCs w:val="20"/>
        </w:rPr>
        <w:t xml:space="preserve"> (2017).</w:t>
      </w:r>
    </w:p>
    <w:p w14:paraId="1EB8B506" w14:textId="77777777" w:rsidR="007D487F" w:rsidRDefault="005B1B64">
      <w:pPr>
        <w:spacing w:before="180" w:after="100" w:line="320" w:lineRule="auto"/>
      </w:pPr>
      <w:r>
        <w:rPr>
          <w:b/>
          <w:bCs/>
          <w:i/>
          <w:iCs/>
        </w:rPr>
        <w:t>3.3.4. Lecciones extraídas</w:t>
      </w:r>
    </w:p>
    <w:p w14:paraId="2F057B2E" w14:textId="64E95B87" w:rsidR="007D487F" w:rsidRDefault="005B1B64">
      <w:pPr>
        <w:spacing w:before="80" w:after="80" w:line="320" w:lineRule="auto"/>
        <w:jc w:val="both"/>
      </w:pPr>
      <w:r>
        <w:rPr>
          <w:color w:val="000000"/>
        </w:rPr>
        <w:t xml:space="preserve">COMPAS es el caso que más directamente conversa con el Proyecto Integrador del </w:t>
      </w:r>
      <w:r w:rsidR="00A6629E">
        <w:rPr>
          <w:color w:val="000000"/>
        </w:rPr>
        <w:t>Grupo</w:t>
      </w:r>
      <w:r>
        <w:rPr>
          <w:color w:val="000000"/>
        </w:rPr>
        <w:t>, que también es un c</w:t>
      </w:r>
      <w:r>
        <w:rPr>
          <w:color w:val="000000"/>
        </w:rPr>
        <w:t xml:space="preserve">lasificador con disparidades cuantificadas por subgrupo. La lección </w:t>
      </w:r>
      <w:proofErr w:type="spellStart"/>
      <w:r>
        <w:rPr>
          <w:color w:val="000000"/>
        </w:rPr>
        <w:t>presentacional</w:t>
      </w:r>
      <w:proofErr w:type="spellEnd"/>
      <w:r>
        <w:rPr>
          <w:color w:val="000000"/>
        </w:rPr>
        <w:t xml:space="preserve"> clave es que ninguna métrica agregada es éticamente suficiente cuando las consecuencias del error son diferenciales entre grupos. Una presentación honesta debe desagregar el</w:t>
      </w:r>
      <w:r>
        <w:rPr>
          <w:color w:val="000000"/>
        </w:rPr>
        <w:t xml:space="preserve"> desempeño por las variables sensibles relevantes y declarar abiertamente qué definición de </w:t>
      </w:r>
      <w:proofErr w:type="spellStart"/>
      <w:r>
        <w:rPr>
          <w:color w:val="000000"/>
        </w:rPr>
        <w:t>fairness</w:t>
      </w:r>
      <w:proofErr w:type="spellEnd"/>
      <w:r>
        <w:rPr>
          <w:color w:val="000000"/>
        </w:rPr>
        <w:t xml:space="preserve"> se está optimizando. </w:t>
      </w:r>
      <w:proofErr w:type="spellStart"/>
      <w:r>
        <w:rPr>
          <w:color w:val="000000"/>
        </w:rPr>
        <w:t>Northpointe</w:t>
      </w:r>
      <w:proofErr w:type="spellEnd"/>
      <w:r>
        <w:rPr>
          <w:color w:val="000000"/>
        </w:rPr>
        <w:t xml:space="preserve"> defendió su sistema invocando una definición técnicamente correcta pero parcial de </w:t>
      </w:r>
      <w:proofErr w:type="spellStart"/>
      <w:r>
        <w:rPr>
          <w:color w:val="000000"/>
        </w:rPr>
        <w:t>fairness</w:t>
      </w:r>
      <w:proofErr w:type="spellEnd"/>
      <w:r>
        <w:rPr>
          <w:color w:val="000000"/>
        </w:rPr>
        <w:t>; ese argumento, técnicamente v</w:t>
      </w:r>
      <w:r>
        <w:rPr>
          <w:color w:val="000000"/>
        </w:rPr>
        <w:t xml:space="preserve">álido, fue insuficiente como narrativa pública porque ignoró el costo asimétrico de los errores. Como ya documentamos en nuestro Informe de Reflexión Ética (semana 6), el </w:t>
      </w:r>
      <w:r w:rsidR="00A6629E">
        <w:rPr>
          <w:color w:val="000000"/>
        </w:rPr>
        <w:t>Grupo</w:t>
      </w:r>
      <w:r>
        <w:rPr>
          <w:color w:val="000000"/>
        </w:rPr>
        <w:t xml:space="preserve"> ha asumido el compromiso de desagregar todas las métricas por longitud de pre</w:t>
      </w:r>
      <w:r>
        <w:rPr>
          <w:color w:val="000000"/>
        </w:rPr>
        <w:t>gunta, presencia de JOIN y dominio en la presentación final.</w:t>
      </w:r>
    </w:p>
    <w:p w14:paraId="00534F95" w14:textId="77777777" w:rsidR="007D487F" w:rsidRDefault="005B1B64">
      <w:pPr>
        <w:spacing w:before="320" w:after="200" w:line="320" w:lineRule="auto"/>
      </w:pPr>
      <w:r>
        <w:rPr>
          <w:b/>
          <w:bCs/>
          <w:color w:val="7B1A2F"/>
          <w:sz w:val="28"/>
          <w:szCs w:val="28"/>
        </w:rPr>
        <w:lastRenderedPageBreak/>
        <w:t>4. Análisis de casos exitosos</w:t>
      </w:r>
    </w:p>
    <w:p w14:paraId="1720BFA1" w14:textId="6EC58ABE" w:rsidR="007D487F" w:rsidRDefault="005B1B64">
      <w:pPr>
        <w:spacing w:before="240" w:after="140" w:line="320" w:lineRule="auto"/>
      </w:pPr>
      <w:r>
        <w:rPr>
          <w:b/>
          <w:bCs/>
          <w:color w:val="7B1A2F"/>
          <w:sz w:val="24"/>
          <w:szCs w:val="24"/>
        </w:rPr>
        <w:t>4.1. Caso 4</w:t>
      </w:r>
      <w:r w:rsidR="00A6629E">
        <w:rPr>
          <w:b/>
          <w:bCs/>
          <w:color w:val="7B1A2F"/>
          <w:sz w:val="24"/>
          <w:szCs w:val="24"/>
        </w:rPr>
        <w:t>:</w:t>
      </w:r>
      <w:r>
        <w:rPr>
          <w:b/>
          <w:bCs/>
          <w:color w:val="7B1A2F"/>
          <w:sz w:val="24"/>
          <w:szCs w:val="24"/>
        </w:rPr>
        <w:t xml:space="preserve"> </w:t>
      </w:r>
      <w:proofErr w:type="spellStart"/>
      <w:r>
        <w:rPr>
          <w:b/>
          <w:bCs/>
          <w:color w:val="7B1A2F"/>
          <w:sz w:val="24"/>
          <w:szCs w:val="24"/>
        </w:rPr>
        <w:t>AlphaFold</w:t>
      </w:r>
      <w:proofErr w:type="spellEnd"/>
      <w:r>
        <w:rPr>
          <w:b/>
          <w:bCs/>
          <w:color w:val="7B1A2F"/>
          <w:sz w:val="24"/>
          <w:szCs w:val="24"/>
        </w:rPr>
        <w:t xml:space="preserve"> 2 de Google </w:t>
      </w:r>
      <w:proofErr w:type="spellStart"/>
      <w:r>
        <w:rPr>
          <w:b/>
          <w:bCs/>
          <w:color w:val="7B1A2F"/>
          <w:sz w:val="24"/>
          <w:szCs w:val="24"/>
        </w:rPr>
        <w:t>DeepMind</w:t>
      </w:r>
      <w:proofErr w:type="spellEnd"/>
    </w:p>
    <w:p w14:paraId="5E643551" w14:textId="77777777" w:rsidR="007D487F" w:rsidRDefault="005B1B64">
      <w:pPr>
        <w:spacing w:before="180" w:after="100" w:line="320" w:lineRule="auto"/>
      </w:pPr>
      <w:r>
        <w:rPr>
          <w:b/>
          <w:bCs/>
          <w:i/>
          <w:iCs/>
        </w:rPr>
        <w:t>4.1.1. Contexto y promesa pública</w:t>
      </w:r>
    </w:p>
    <w:p w14:paraId="455E449D" w14:textId="77777777" w:rsidR="007D487F" w:rsidRDefault="005B1B64">
      <w:pPr>
        <w:spacing w:before="80" w:after="80" w:line="320" w:lineRule="auto"/>
        <w:jc w:val="both"/>
      </w:pPr>
      <w:proofErr w:type="spellStart"/>
      <w:r>
        <w:rPr>
          <w:color w:val="000000"/>
        </w:rPr>
        <w:t>AlphaFold</w:t>
      </w:r>
      <w:proofErr w:type="spellEnd"/>
      <w:r>
        <w:rPr>
          <w:color w:val="000000"/>
        </w:rPr>
        <w:t xml:space="preserve"> 2 es un modelo de aprendizaje profundo desarrollado por Google </w:t>
      </w:r>
      <w:proofErr w:type="spellStart"/>
      <w:r>
        <w:rPr>
          <w:color w:val="000000"/>
        </w:rPr>
        <w:t>DeepMind</w:t>
      </w:r>
      <w:proofErr w:type="spellEnd"/>
      <w:r>
        <w:rPr>
          <w:color w:val="000000"/>
        </w:rPr>
        <w:t xml:space="preserve"> para</w:t>
      </w:r>
      <w:r>
        <w:rPr>
          <w:color w:val="000000"/>
        </w:rPr>
        <w:t xml:space="preserve"> predecir la estructura tridimensional de proteínas a partir de la secuencia de aminoácidos. Su lanzamiento al CASP14 en diciembre de 2020 abordó lo que la biología estructural llamaba durante cinco décadas el "problema del plegamiento de proteínas" (Jumpe</w:t>
      </w:r>
      <w:r>
        <w:rPr>
          <w:color w:val="000000"/>
        </w:rPr>
        <w:t>r et al., 2021). La promesa pública fue inusualmente acotada para un proyecto de IA de gran envergadura: predecir estructuras proteicas con exactitud comparable a métodos experimentales.</w:t>
      </w:r>
    </w:p>
    <w:p w14:paraId="4C7B256F" w14:textId="77777777" w:rsidR="007D487F" w:rsidRDefault="005B1B64">
      <w:pPr>
        <w:spacing w:before="180" w:after="100" w:line="320" w:lineRule="auto"/>
      </w:pPr>
      <w:r>
        <w:rPr>
          <w:b/>
          <w:bCs/>
          <w:i/>
          <w:iCs/>
        </w:rPr>
        <w:t>4.1.2. Lo que ocurrió</w:t>
      </w:r>
    </w:p>
    <w:p w14:paraId="2B57EA78" w14:textId="77777777" w:rsidR="007D487F" w:rsidRDefault="005B1B64">
      <w:pPr>
        <w:spacing w:before="80" w:after="80" w:line="320" w:lineRule="auto"/>
        <w:jc w:val="both"/>
      </w:pPr>
      <w:r>
        <w:rPr>
          <w:color w:val="000000"/>
        </w:rPr>
        <w:t xml:space="preserve">En CASP14 (diciembre 2020), </w:t>
      </w:r>
      <w:proofErr w:type="spellStart"/>
      <w:r>
        <w:rPr>
          <w:color w:val="000000"/>
        </w:rPr>
        <w:t>AlphaFold</w:t>
      </w:r>
      <w:proofErr w:type="spellEnd"/>
      <w:r>
        <w:rPr>
          <w:color w:val="000000"/>
        </w:rPr>
        <w:t xml:space="preserve"> 2 obtuvo </w:t>
      </w:r>
      <w:r>
        <w:rPr>
          <w:color w:val="000000"/>
        </w:rPr>
        <w:t xml:space="preserve">una mediana de exactitud (RMSD_95) inferior a 1 </w:t>
      </w:r>
      <w:proofErr w:type="spellStart"/>
      <w:r>
        <w:rPr>
          <w:color w:val="000000"/>
        </w:rPr>
        <w:t>Ångström</w:t>
      </w:r>
      <w:proofErr w:type="spellEnd"/>
      <w:r>
        <w:rPr>
          <w:color w:val="000000"/>
        </w:rPr>
        <w:t>, aproximadamente tres veces más precisa que el siguiente competidor y comparable a métodos experimentales (</w:t>
      </w:r>
      <w:proofErr w:type="spellStart"/>
      <w:r>
        <w:rPr>
          <w:color w:val="000000"/>
        </w:rPr>
        <w:t>DeepMind</w:t>
      </w:r>
      <w:proofErr w:type="spellEnd"/>
      <w:r>
        <w:rPr>
          <w:color w:val="000000"/>
        </w:rPr>
        <w:t xml:space="preserve">, 2024). En julio de 2021, los autores publicaron en </w:t>
      </w:r>
      <w:proofErr w:type="spellStart"/>
      <w:r>
        <w:rPr>
          <w:color w:val="000000"/>
        </w:rPr>
        <w:t>Nature</w:t>
      </w:r>
      <w:proofErr w:type="spellEnd"/>
      <w:r>
        <w:rPr>
          <w:color w:val="000000"/>
        </w:rPr>
        <w:t xml:space="preserve"> la metodología completa </w:t>
      </w:r>
      <w:r>
        <w:rPr>
          <w:color w:val="000000"/>
        </w:rPr>
        <w:t xml:space="preserve">(Jumper et al., 2021), abrieron el código fuente y, en colaboración con el </w:t>
      </w:r>
      <w:proofErr w:type="spellStart"/>
      <w:r>
        <w:rPr>
          <w:color w:val="000000"/>
        </w:rPr>
        <w:t>European</w:t>
      </w:r>
      <w:proofErr w:type="spellEnd"/>
      <w:r>
        <w:rPr>
          <w:color w:val="000000"/>
        </w:rPr>
        <w:t xml:space="preserve"> </w:t>
      </w:r>
      <w:proofErr w:type="spellStart"/>
      <w:r>
        <w:rPr>
          <w:color w:val="000000"/>
        </w:rPr>
        <w:t>Bioinformatics</w:t>
      </w:r>
      <w:proofErr w:type="spellEnd"/>
      <w:r>
        <w:rPr>
          <w:color w:val="000000"/>
        </w:rPr>
        <w:t xml:space="preserve"> </w:t>
      </w:r>
      <w:proofErr w:type="spellStart"/>
      <w:r>
        <w:rPr>
          <w:color w:val="000000"/>
        </w:rPr>
        <w:t>Institute</w:t>
      </w:r>
      <w:proofErr w:type="spellEnd"/>
      <w:r>
        <w:rPr>
          <w:color w:val="000000"/>
        </w:rPr>
        <w:t xml:space="preserve"> (EMBL-EBI), liberaron una base de datos pública con predicciones de más de 350.000 estructuras de 21 organismos modelo (</w:t>
      </w:r>
      <w:proofErr w:type="spellStart"/>
      <w:r>
        <w:rPr>
          <w:color w:val="000000"/>
        </w:rPr>
        <w:t>Method</w:t>
      </w:r>
      <w:proofErr w:type="spellEnd"/>
      <w:r>
        <w:rPr>
          <w:color w:val="000000"/>
        </w:rPr>
        <w:t xml:space="preserve"> of the </w:t>
      </w:r>
      <w:proofErr w:type="spellStart"/>
      <w:r>
        <w:rPr>
          <w:color w:val="000000"/>
        </w:rPr>
        <w:t>Year</w:t>
      </w:r>
      <w:proofErr w:type="spellEnd"/>
      <w:r>
        <w:rPr>
          <w:color w:val="000000"/>
        </w:rPr>
        <w:t xml:space="preserve">, </w:t>
      </w:r>
      <w:proofErr w:type="spellStart"/>
      <w:r>
        <w:rPr>
          <w:color w:val="000000"/>
        </w:rPr>
        <w:t>Nature</w:t>
      </w:r>
      <w:proofErr w:type="spellEnd"/>
      <w:r>
        <w:rPr>
          <w:color w:val="000000"/>
        </w:rPr>
        <w:t xml:space="preserve"> </w:t>
      </w:r>
      <w:proofErr w:type="spellStart"/>
      <w:r>
        <w:rPr>
          <w:color w:val="000000"/>
        </w:rPr>
        <w:t>Methods</w:t>
      </w:r>
      <w:proofErr w:type="spellEnd"/>
      <w:r>
        <w:rPr>
          <w:color w:val="000000"/>
        </w:rPr>
        <w:t xml:space="preserve">, 2022). Para 2022, la base de datos cubría más de 200 millones de estructuras predichas. En octubre de 2024, </w:t>
      </w:r>
      <w:proofErr w:type="spellStart"/>
      <w:r>
        <w:rPr>
          <w:color w:val="000000"/>
        </w:rPr>
        <w:t>Demis</w:t>
      </w:r>
      <w:proofErr w:type="spellEnd"/>
      <w:r>
        <w:rPr>
          <w:color w:val="000000"/>
        </w:rPr>
        <w:t xml:space="preserve"> </w:t>
      </w:r>
      <w:proofErr w:type="spellStart"/>
      <w:r>
        <w:rPr>
          <w:color w:val="000000"/>
        </w:rPr>
        <w:t>Hassabis</w:t>
      </w:r>
      <w:proofErr w:type="spellEnd"/>
      <w:r>
        <w:rPr>
          <w:color w:val="000000"/>
        </w:rPr>
        <w:t xml:space="preserve"> y John Jumper recibieron el Premio Nobel de Química por este trabajo (Nobel </w:t>
      </w:r>
      <w:proofErr w:type="spellStart"/>
      <w:r>
        <w:rPr>
          <w:color w:val="000000"/>
        </w:rPr>
        <w:t>Prize</w:t>
      </w:r>
      <w:proofErr w:type="spellEnd"/>
      <w:r>
        <w:rPr>
          <w:color w:val="000000"/>
        </w:rPr>
        <w:t xml:space="preserve"> Press Release, 2024). Para 2024, </w:t>
      </w:r>
      <w:proofErr w:type="spellStart"/>
      <w:r>
        <w:rPr>
          <w:color w:val="000000"/>
        </w:rPr>
        <w:t>AlphaFold</w:t>
      </w:r>
      <w:proofErr w:type="spellEnd"/>
      <w:r>
        <w:rPr>
          <w:color w:val="000000"/>
        </w:rPr>
        <w:t xml:space="preserve"> había sido utilizado por más de dos millones de investigadores en 190 países (Nobel </w:t>
      </w:r>
      <w:proofErr w:type="spellStart"/>
      <w:r>
        <w:rPr>
          <w:color w:val="000000"/>
        </w:rPr>
        <w:t>Prize</w:t>
      </w:r>
      <w:proofErr w:type="spellEnd"/>
      <w:r>
        <w:rPr>
          <w:color w:val="000000"/>
        </w:rPr>
        <w:t xml:space="preserve"> Popular Information, 2024).</w:t>
      </w:r>
    </w:p>
    <w:p w14:paraId="66CABA95" w14:textId="77777777" w:rsidR="007D487F" w:rsidRDefault="005B1B64">
      <w:pPr>
        <w:spacing w:before="180" w:after="100" w:line="320" w:lineRule="auto"/>
      </w:pPr>
      <w:r>
        <w:rPr>
          <w:b/>
          <w:bCs/>
          <w:i/>
          <w:iCs/>
        </w:rPr>
        <w:t>4.1.3. Análisis por dimensiones</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7D487F" w:rsidRPr="00A6629E" w14:paraId="1F2A8AB5" w14:textId="77777777">
        <w:tblPrEx>
          <w:tblCellMar>
            <w:top w:w="0" w:type="dxa"/>
            <w:bottom w:w="0" w:type="dxa"/>
          </w:tblCellMar>
        </w:tblPrEx>
        <w:trPr>
          <w:tblHeader/>
        </w:trPr>
        <w:tc>
          <w:tcPr>
            <w:tcW w:w="1900" w:type="dxa"/>
            <w:tcBorders>
              <w:top w:val="single" w:sz="4" w:space="0" w:color="CCCCCC"/>
              <w:left w:val="single" w:sz="4" w:space="0" w:color="CCCCCC"/>
              <w:bottom w:val="single" w:sz="4" w:space="0" w:color="CCCCCC"/>
              <w:right w:val="single" w:sz="4" w:space="0" w:color="CCCCCC"/>
            </w:tcBorders>
            <w:shd w:val="clear" w:color="auto" w:fill="EFE3E6"/>
            <w:tcMar>
              <w:top w:w="100" w:type="dxa"/>
              <w:left w:w="140" w:type="dxa"/>
              <w:bottom w:w="100" w:type="dxa"/>
              <w:right w:w="140" w:type="dxa"/>
            </w:tcMar>
            <w:vAlign w:val="center"/>
          </w:tcPr>
          <w:p w14:paraId="0A64E0CA" w14:textId="77777777" w:rsidR="007D487F" w:rsidRPr="00A6629E" w:rsidRDefault="005B1B64" w:rsidP="00A6629E">
            <w:pPr>
              <w:rPr>
                <w:sz w:val="18"/>
                <w:szCs w:val="18"/>
              </w:rPr>
            </w:pPr>
            <w:r w:rsidRPr="00A6629E">
              <w:rPr>
                <w:b/>
                <w:bCs/>
                <w:color w:val="7B1A2F"/>
                <w:sz w:val="18"/>
                <w:szCs w:val="18"/>
              </w:rPr>
              <w:t>Dimensión</w:t>
            </w:r>
          </w:p>
        </w:tc>
        <w:tc>
          <w:tcPr>
            <w:tcW w:w="7460" w:type="dxa"/>
            <w:tcBorders>
              <w:top w:val="single" w:sz="4" w:space="0" w:color="CCCCCC"/>
              <w:left w:val="single" w:sz="4" w:space="0" w:color="CCCCCC"/>
              <w:bottom w:val="single" w:sz="4" w:space="0" w:color="CCCCCC"/>
              <w:right w:val="single" w:sz="4" w:space="0" w:color="CCCCCC"/>
            </w:tcBorders>
            <w:shd w:val="clear" w:color="auto" w:fill="EFE3E6"/>
            <w:tcMar>
              <w:top w:w="100" w:type="dxa"/>
              <w:left w:w="140" w:type="dxa"/>
              <w:bottom w:w="100" w:type="dxa"/>
              <w:right w:w="140" w:type="dxa"/>
            </w:tcMar>
            <w:vAlign w:val="center"/>
          </w:tcPr>
          <w:p w14:paraId="5B10661F" w14:textId="77777777" w:rsidR="007D487F" w:rsidRPr="00A6629E" w:rsidRDefault="005B1B64" w:rsidP="00A6629E">
            <w:pPr>
              <w:rPr>
                <w:sz w:val="18"/>
                <w:szCs w:val="18"/>
              </w:rPr>
            </w:pPr>
            <w:r w:rsidRPr="00A6629E">
              <w:rPr>
                <w:b/>
                <w:bCs/>
                <w:color w:val="7B1A2F"/>
                <w:sz w:val="18"/>
                <w:szCs w:val="18"/>
              </w:rPr>
              <w:t>Diagnóstico</w:t>
            </w:r>
          </w:p>
        </w:tc>
      </w:tr>
      <w:tr w:rsidR="007D487F" w:rsidRPr="00A6629E" w14:paraId="4B22469E"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E17F442" w14:textId="77777777" w:rsidR="007D487F" w:rsidRPr="00A6629E" w:rsidRDefault="005B1B64" w:rsidP="00A6629E">
            <w:pPr>
              <w:rPr>
                <w:sz w:val="18"/>
                <w:szCs w:val="18"/>
              </w:rPr>
            </w:pPr>
            <w:r w:rsidRPr="00A6629E">
              <w:rPr>
                <w:color w:val="000000"/>
                <w:sz w:val="18"/>
                <w:szCs w:val="18"/>
              </w:rPr>
              <w:t>Problema</w:t>
            </w:r>
          </w:p>
        </w:tc>
        <w:tc>
          <w:tcPr>
            <w:tcW w:w="74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8024BCA" w14:textId="77777777" w:rsidR="007D487F" w:rsidRPr="00A6629E" w:rsidRDefault="005B1B64" w:rsidP="00A6629E">
            <w:pPr>
              <w:rPr>
                <w:sz w:val="18"/>
                <w:szCs w:val="18"/>
              </w:rPr>
            </w:pPr>
            <w:r w:rsidRPr="00A6629E">
              <w:rPr>
                <w:color w:val="000000"/>
                <w:sz w:val="18"/>
                <w:szCs w:val="18"/>
              </w:rPr>
              <w:t xml:space="preserve">Estrechamente acotado: una tarea bien definida con </w:t>
            </w:r>
            <w:proofErr w:type="spellStart"/>
            <w:r w:rsidRPr="00A6629E">
              <w:rPr>
                <w:color w:val="000000"/>
                <w:sz w:val="18"/>
                <w:szCs w:val="18"/>
              </w:rPr>
              <w:t>benchmark</w:t>
            </w:r>
            <w:proofErr w:type="spellEnd"/>
            <w:r w:rsidRPr="00A6629E">
              <w:rPr>
                <w:color w:val="000000"/>
                <w:sz w:val="18"/>
                <w:szCs w:val="18"/>
              </w:rPr>
              <w:t xml:space="preserve"> de 50 años.</w:t>
            </w:r>
          </w:p>
        </w:tc>
      </w:tr>
      <w:tr w:rsidR="007D487F" w:rsidRPr="00A6629E" w14:paraId="6D89EAFD"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CFC0B1D" w14:textId="77777777" w:rsidR="007D487F" w:rsidRPr="00A6629E" w:rsidRDefault="005B1B64" w:rsidP="00A6629E">
            <w:pPr>
              <w:rPr>
                <w:sz w:val="18"/>
                <w:szCs w:val="18"/>
              </w:rPr>
            </w:pPr>
            <w:r w:rsidRPr="00A6629E">
              <w:rPr>
                <w:color w:val="000000"/>
                <w:sz w:val="18"/>
                <w:szCs w:val="18"/>
              </w:rPr>
              <w:t>Solución</w:t>
            </w:r>
          </w:p>
        </w:tc>
        <w:tc>
          <w:tcPr>
            <w:tcW w:w="74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C435111" w14:textId="77777777" w:rsidR="007D487F" w:rsidRPr="00A6629E" w:rsidRDefault="005B1B64" w:rsidP="00A6629E">
            <w:pPr>
              <w:rPr>
                <w:sz w:val="18"/>
                <w:szCs w:val="18"/>
              </w:rPr>
            </w:pPr>
            <w:r w:rsidRPr="00A6629E">
              <w:rPr>
                <w:color w:val="000000"/>
                <w:sz w:val="18"/>
                <w:szCs w:val="18"/>
              </w:rPr>
              <w:t xml:space="preserve">Específica: arquitectura </w:t>
            </w:r>
            <w:proofErr w:type="spellStart"/>
            <w:r w:rsidRPr="00A6629E">
              <w:rPr>
                <w:color w:val="000000"/>
                <w:sz w:val="18"/>
                <w:szCs w:val="18"/>
              </w:rPr>
              <w:t>Evoformer</w:t>
            </w:r>
            <w:proofErr w:type="spellEnd"/>
            <w:r w:rsidRPr="00A6629E">
              <w:rPr>
                <w:color w:val="000000"/>
                <w:sz w:val="18"/>
                <w:szCs w:val="18"/>
              </w:rPr>
              <w:t xml:space="preserve"> + atención. No "IA general" ni omnipotente.</w:t>
            </w:r>
          </w:p>
        </w:tc>
      </w:tr>
      <w:tr w:rsidR="007D487F" w:rsidRPr="00A6629E" w14:paraId="50B30553"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F08E8D0" w14:textId="77777777" w:rsidR="007D487F" w:rsidRPr="00A6629E" w:rsidRDefault="005B1B64" w:rsidP="00A6629E">
            <w:pPr>
              <w:rPr>
                <w:sz w:val="18"/>
                <w:szCs w:val="18"/>
              </w:rPr>
            </w:pPr>
            <w:r w:rsidRPr="00A6629E">
              <w:rPr>
                <w:color w:val="000000"/>
                <w:sz w:val="18"/>
                <w:szCs w:val="18"/>
              </w:rPr>
              <w:t>Narrativa</w:t>
            </w:r>
          </w:p>
        </w:tc>
        <w:tc>
          <w:tcPr>
            <w:tcW w:w="74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3D86BF8" w14:textId="77777777" w:rsidR="007D487F" w:rsidRPr="00A6629E" w:rsidRDefault="005B1B64" w:rsidP="00A6629E">
            <w:pPr>
              <w:rPr>
                <w:sz w:val="18"/>
                <w:szCs w:val="18"/>
              </w:rPr>
            </w:pPr>
            <w:r w:rsidRPr="00A6629E">
              <w:rPr>
                <w:color w:val="000000"/>
                <w:sz w:val="18"/>
                <w:szCs w:val="18"/>
              </w:rPr>
              <w:t>Sobria. Se evita "revolucionar la biología"; se reporta resultado en CASP14.</w:t>
            </w:r>
          </w:p>
        </w:tc>
      </w:tr>
      <w:tr w:rsidR="007D487F" w:rsidRPr="00A6629E" w14:paraId="30540345"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EE02148" w14:textId="77777777" w:rsidR="007D487F" w:rsidRPr="00A6629E" w:rsidRDefault="005B1B64" w:rsidP="00A6629E">
            <w:pPr>
              <w:rPr>
                <w:sz w:val="18"/>
                <w:szCs w:val="18"/>
              </w:rPr>
            </w:pPr>
            <w:r w:rsidRPr="00A6629E">
              <w:rPr>
                <w:color w:val="000000"/>
                <w:sz w:val="18"/>
                <w:szCs w:val="18"/>
              </w:rPr>
              <w:t>Evidencia</w:t>
            </w:r>
          </w:p>
        </w:tc>
        <w:tc>
          <w:tcPr>
            <w:tcW w:w="74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769C914" w14:textId="77777777" w:rsidR="007D487F" w:rsidRPr="00A6629E" w:rsidRDefault="005B1B64" w:rsidP="00A6629E">
            <w:pPr>
              <w:rPr>
                <w:sz w:val="18"/>
                <w:szCs w:val="18"/>
              </w:rPr>
            </w:pPr>
            <w:r w:rsidRPr="00A6629E">
              <w:rPr>
                <w:color w:val="000000"/>
                <w:sz w:val="18"/>
                <w:szCs w:val="18"/>
              </w:rPr>
              <w:t xml:space="preserve">Validación externa pública (CASP14). </w:t>
            </w:r>
            <w:proofErr w:type="spellStart"/>
            <w:r w:rsidRPr="00A6629E">
              <w:rPr>
                <w:color w:val="000000"/>
                <w:sz w:val="18"/>
                <w:szCs w:val="18"/>
              </w:rPr>
              <w:t>Paper</w:t>
            </w:r>
            <w:proofErr w:type="spellEnd"/>
            <w:r w:rsidRPr="00A6629E">
              <w:rPr>
                <w:color w:val="000000"/>
                <w:sz w:val="18"/>
                <w:szCs w:val="18"/>
              </w:rPr>
              <w:t xml:space="preserve"> en </w:t>
            </w:r>
            <w:proofErr w:type="spellStart"/>
            <w:r w:rsidRPr="00A6629E">
              <w:rPr>
                <w:color w:val="000000"/>
                <w:sz w:val="18"/>
                <w:szCs w:val="18"/>
              </w:rPr>
              <w:t>Nature</w:t>
            </w:r>
            <w:proofErr w:type="spellEnd"/>
            <w:r w:rsidRPr="00A6629E">
              <w:rPr>
                <w:color w:val="000000"/>
                <w:sz w:val="18"/>
                <w:szCs w:val="18"/>
              </w:rPr>
              <w:t xml:space="preserve"> con 60 pp. de suplementario.</w:t>
            </w:r>
          </w:p>
        </w:tc>
      </w:tr>
      <w:tr w:rsidR="007D487F" w:rsidRPr="00A6629E" w14:paraId="73B87896"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20E4369" w14:textId="77777777" w:rsidR="007D487F" w:rsidRPr="00A6629E" w:rsidRDefault="005B1B64" w:rsidP="00A6629E">
            <w:pPr>
              <w:rPr>
                <w:sz w:val="18"/>
                <w:szCs w:val="18"/>
              </w:rPr>
            </w:pPr>
            <w:r w:rsidRPr="00A6629E">
              <w:rPr>
                <w:color w:val="000000"/>
                <w:sz w:val="18"/>
                <w:szCs w:val="18"/>
              </w:rPr>
              <w:t>Alcance</w:t>
            </w:r>
          </w:p>
        </w:tc>
        <w:tc>
          <w:tcPr>
            <w:tcW w:w="74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83CE8B7" w14:textId="77777777" w:rsidR="007D487F" w:rsidRPr="00A6629E" w:rsidRDefault="005B1B64" w:rsidP="00A6629E">
            <w:pPr>
              <w:rPr>
                <w:sz w:val="18"/>
                <w:szCs w:val="18"/>
              </w:rPr>
            </w:pPr>
            <w:r w:rsidRPr="00A6629E">
              <w:rPr>
                <w:color w:val="000000"/>
                <w:sz w:val="18"/>
                <w:szCs w:val="18"/>
              </w:rPr>
              <w:t>Limitado a estructura monomérica al inicio. Extensiones posteriores increment</w:t>
            </w:r>
            <w:r w:rsidRPr="00A6629E">
              <w:rPr>
                <w:color w:val="000000"/>
                <w:sz w:val="18"/>
                <w:szCs w:val="18"/>
              </w:rPr>
              <w:t>ales.</w:t>
            </w:r>
          </w:p>
        </w:tc>
      </w:tr>
      <w:tr w:rsidR="007D487F" w:rsidRPr="00A6629E" w14:paraId="311B3867" w14:textId="77777777">
        <w:tblPrEx>
          <w:tblCellMar>
            <w:top w:w="0" w:type="dxa"/>
            <w:bottom w:w="0" w:type="dxa"/>
          </w:tblCellMar>
        </w:tblPrEx>
        <w:tc>
          <w:tcPr>
            <w:tcW w:w="19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6F716F8" w14:textId="77777777" w:rsidR="007D487F" w:rsidRPr="00A6629E" w:rsidRDefault="005B1B64" w:rsidP="00A6629E">
            <w:pPr>
              <w:rPr>
                <w:sz w:val="18"/>
                <w:szCs w:val="18"/>
              </w:rPr>
            </w:pPr>
            <w:r w:rsidRPr="00A6629E">
              <w:rPr>
                <w:color w:val="000000"/>
                <w:sz w:val="18"/>
                <w:szCs w:val="18"/>
              </w:rPr>
              <w:t>Resultado</w:t>
            </w:r>
          </w:p>
        </w:tc>
        <w:tc>
          <w:tcPr>
            <w:tcW w:w="74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038E0F7" w14:textId="77777777" w:rsidR="007D487F" w:rsidRPr="00A6629E" w:rsidRDefault="005B1B64" w:rsidP="00A6629E">
            <w:pPr>
              <w:rPr>
                <w:sz w:val="18"/>
                <w:szCs w:val="18"/>
              </w:rPr>
            </w:pPr>
            <w:r w:rsidRPr="00A6629E">
              <w:rPr>
                <w:color w:val="000000"/>
                <w:sz w:val="18"/>
                <w:szCs w:val="18"/>
              </w:rPr>
              <w:t>Premio Nobel 2024. 200M+ estructuras públicas. 2M+ usuarios en 190 países.</w:t>
            </w:r>
          </w:p>
        </w:tc>
      </w:tr>
    </w:tbl>
    <w:p w14:paraId="7C4F84A2" w14:textId="77777777" w:rsidR="007D487F" w:rsidRDefault="005B1B64">
      <w:pPr>
        <w:spacing w:before="100" w:after="200" w:line="280" w:lineRule="auto"/>
        <w:jc w:val="center"/>
      </w:pPr>
      <w:r>
        <w:rPr>
          <w:i/>
          <w:iCs/>
          <w:color w:val="595959"/>
          <w:sz w:val="20"/>
          <w:szCs w:val="20"/>
        </w:rPr>
        <w:t xml:space="preserve">Tabla 5. Análisis dimensional del caso </w:t>
      </w:r>
      <w:proofErr w:type="spellStart"/>
      <w:r>
        <w:rPr>
          <w:i/>
          <w:iCs/>
          <w:color w:val="595959"/>
          <w:sz w:val="20"/>
          <w:szCs w:val="20"/>
        </w:rPr>
        <w:t>AlphaFold</w:t>
      </w:r>
      <w:proofErr w:type="spellEnd"/>
      <w:r>
        <w:rPr>
          <w:i/>
          <w:iCs/>
          <w:color w:val="595959"/>
          <w:sz w:val="20"/>
          <w:szCs w:val="20"/>
        </w:rPr>
        <w:t xml:space="preserve"> 2. Elaboración propia con base en Jumper et al. (2021) y Nobel </w:t>
      </w:r>
      <w:proofErr w:type="spellStart"/>
      <w:r>
        <w:rPr>
          <w:i/>
          <w:iCs/>
          <w:color w:val="595959"/>
          <w:sz w:val="20"/>
          <w:szCs w:val="20"/>
        </w:rPr>
        <w:t>Prize</w:t>
      </w:r>
      <w:proofErr w:type="spellEnd"/>
      <w:r>
        <w:rPr>
          <w:i/>
          <w:iCs/>
          <w:color w:val="595959"/>
          <w:sz w:val="20"/>
          <w:szCs w:val="20"/>
        </w:rPr>
        <w:t xml:space="preserve"> (2024).</w:t>
      </w:r>
    </w:p>
    <w:p w14:paraId="11A0240E" w14:textId="77777777" w:rsidR="007D487F" w:rsidRDefault="005B1B64">
      <w:pPr>
        <w:spacing w:before="180" w:after="100" w:line="320" w:lineRule="auto"/>
      </w:pPr>
      <w:r>
        <w:rPr>
          <w:b/>
          <w:bCs/>
          <w:i/>
          <w:iCs/>
        </w:rPr>
        <w:lastRenderedPageBreak/>
        <w:t>4.1.4. Lecciones extraídas</w:t>
      </w:r>
    </w:p>
    <w:p w14:paraId="4793E176" w14:textId="4B807982" w:rsidR="007D487F" w:rsidRDefault="005B1B64">
      <w:pPr>
        <w:spacing w:before="80" w:after="80" w:line="320" w:lineRule="auto"/>
        <w:jc w:val="both"/>
      </w:pPr>
      <w:r>
        <w:rPr>
          <w:color w:val="000000"/>
        </w:rPr>
        <w:t xml:space="preserve">La narrativa de </w:t>
      </w:r>
      <w:proofErr w:type="spellStart"/>
      <w:r>
        <w:rPr>
          <w:color w:val="000000"/>
        </w:rPr>
        <w:t>AlphaFold</w:t>
      </w:r>
      <w:proofErr w:type="spellEnd"/>
      <w:r>
        <w:rPr>
          <w:color w:val="000000"/>
        </w:rPr>
        <w:t xml:space="preserve"> 2 es ejemplar precisamente por lo que no hace. No declara "revolucionar la bi</w:t>
      </w:r>
      <w:r>
        <w:rPr>
          <w:color w:val="000000"/>
        </w:rPr>
        <w:t>ología": permite que CASP14 lo declare por ella. No promete aplicaciones médicas inmediatas: enumera limitaciones (estructuras monoméricas únicamente al inicio, sin cofactores ni ligandos). No oculta el código: lo abre con 60 páginas de suplementario repro</w:t>
      </w:r>
      <w:r>
        <w:rPr>
          <w:color w:val="000000"/>
        </w:rPr>
        <w:t xml:space="preserve">ducible. La combinación de problema acotado, validación externa rigurosa, publicación abierta y reporte honesto de limitaciones es el patrón que distingue las presentaciones técnicas exitosas en IA. Para el </w:t>
      </w:r>
      <w:r w:rsidR="00A6629E">
        <w:rPr>
          <w:color w:val="000000"/>
        </w:rPr>
        <w:t>Grupo</w:t>
      </w:r>
      <w:r>
        <w:rPr>
          <w:color w:val="000000"/>
        </w:rPr>
        <w:t>, la lección directa es que la presentació</w:t>
      </w:r>
      <w:r>
        <w:rPr>
          <w:color w:val="000000"/>
        </w:rPr>
        <w:t>n final debe seguir este modelo: declarar el problema con precisión, reportar métricas en validación independiente, abrir el código y los datos en la medida posible, y enumerar limitaciones explícitamente. La sobriedad narrativa no debilita la propuesta: l</w:t>
      </w:r>
      <w:r>
        <w:rPr>
          <w:color w:val="000000"/>
        </w:rPr>
        <w:t>a fortalece.</w:t>
      </w:r>
    </w:p>
    <w:p w14:paraId="0F3D4470" w14:textId="63A83964" w:rsidR="007D487F" w:rsidRDefault="005B1B64">
      <w:pPr>
        <w:spacing w:before="240" w:after="140" w:line="320" w:lineRule="auto"/>
      </w:pPr>
      <w:r>
        <w:rPr>
          <w:b/>
          <w:bCs/>
          <w:color w:val="7B1A2F"/>
          <w:sz w:val="24"/>
          <w:szCs w:val="24"/>
        </w:rPr>
        <w:t>4.2. Caso 5</w:t>
      </w:r>
      <w:r w:rsidR="00A6629E">
        <w:rPr>
          <w:b/>
          <w:bCs/>
          <w:color w:val="7B1A2F"/>
          <w:sz w:val="24"/>
          <w:szCs w:val="24"/>
        </w:rPr>
        <w:t>:</w:t>
      </w:r>
      <w:r>
        <w:rPr>
          <w:b/>
          <w:bCs/>
          <w:color w:val="7B1A2F"/>
          <w:sz w:val="24"/>
          <w:szCs w:val="24"/>
        </w:rPr>
        <w:t xml:space="preserve"> GitHub </w:t>
      </w:r>
      <w:proofErr w:type="spellStart"/>
      <w:r>
        <w:rPr>
          <w:b/>
          <w:bCs/>
          <w:color w:val="7B1A2F"/>
          <w:sz w:val="24"/>
          <w:szCs w:val="24"/>
        </w:rPr>
        <w:t>Copilot</w:t>
      </w:r>
      <w:proofErr w:type="spellEnd"/>
      <w:r>
        <w:rPr>
          <w:b/>
          <w:bCs/>
          <w:color w:val="7B1A2F"/>
          <w:sz w:val="24"/>
          <w:szCs w:val="24"/>
        </w:rPr>
        <w:t xml:space="preserve"> de Microsoft y </w:t>
      </w:r>
      <w:proofErr w:type="spellStart"/>
      <w:r>
        <w:rPr>
          <w:b/>
          <w:bCs/>
          <w:color w:val="7B1A2F"/>
          <w:sz w:val="24"/>
          <w:szCs w:val="24"/>
        </w:rPr>
        <w:t>OpenAI</w:t>
      </w:r>
      <w:proofErr w:type="spellEnd"/>
    </w:p>
    <w:p w14:paraId="3C7724A0" w14:textId="77777777" w:rsidR="007D487F" w:rsidRDefault="005B1B64">
      <w:pPr>
        <w:spacing w:before="180" w:after="100" w:line="320" w:lineRule="auto"/>
      </w:pPr>
      <w:r>
        <w:rPr>
          <w:b/>
          <w:bCs/>
          <w:i/>
          <w:iCs/>
        </w:rPr>
        <w:t>4.2.1. Contexto y promesa pública</w:t>
      </w:r>
    </w:p>
    <w:p w14:paraId="41C4E0D9" w14:textId="77777777" w:rsidR="007D487F" w:rsidRDefault="005B1B64">
      <w:pPr>
        <w:spacing w:before="80" w:after="80" w:line="320" w:lineRule="auto"/>
        <w:jc w:val="both"/>
      </w:pPr>
      <w:r>
        <w:rPr>
          <w:color w:val="000000"/>
        </w:rPr>
        <w:t xml:space="preserve">GitHub </w:t>
      </w:r>
      <w:proofErr w:type="spellStart"/>
      <w:r>
        <w:rPr>
          <w:color w:val="000000"/>
        </w:rPr>
        <w:t>Copilot</w:t>
      </w:r>
      <w:proofErr w:type="spellEnd"/>
      <w:r>
        <w:rPr>
          <w:color w:val="000000"/>
        </w:rPr>
        <w:t xml:space="preserve"> es un asistente de programación basado en modelos de lenguaje desarrollado por GitHub (Microsoft) en colaboración con </w:t>
      </w:r>
      <w:proofErr w:type="spellStart"/>
      <w:r>
        <w:rPr>
          <w:color w:val="000000"/>
        </w:rPr>
        <w:t>OpenAI</w:t>
      </w:r>
      <w:proofErr w:type="spellEnd"/>
      <w:r>
        <w:rPr>
          <w:color w:val="000000"/>
        </w:rPr>
        <w:t xml:space="preserve">, lanzado en </w:t>
      </w:r>
      <w:proofErr w:type="spellStart"/>
      <w:r>
        <w:rPr>
          <w:color w:val="000000"/>
        </w:rPr>
        <w:t>previe</w:t>
      </w:r>
      <w:r>
        <w:rPr>
          <w:color w:val="000000"/>
        </w:rPr>
        <w:t>w</w:t>
      </w:r>
      <w:proofErr w:type="spellEnd"/>
      <w:r>
        <w:rPr>
          <w:color w:val="000000"/>
        </w:rPr>
        <w:t xml:space="preserve"> técnica en 2021 y comercialmente en 2022. La narrativa pública evitó deliberadamente el lenguaje de "reemplazar programadores": se presentó desde el inicio como "AI </w:t>
      </w:r>
      <w:proofErr w:type="spellStart"/>
      <w:r>
        <w:rPr>
          <w:color w:val="000000"/>
        </w:rPr>
        <w:t>pair</w:t>
      </w:r>
      <w:proofErr w:type="spellEnd"/>
      <w:r>
        <w:rPr>
          <w:color w:val="000000"/>
        </w:rPr>
        <w:t xml:space="preserve"> </w:t>
      </w:r>
      <w:proofErr w:type="spellStart"/>
      <w:r>
        <w:rPr>
          <w:color w:val="000000"/>
        </w:rPr>
        <w:t>programmer</w:t>
      </w:r>
      <w:proofErr w:type="spellEnd"/>
      <w:r>
        <w:rPr>
          <w:color w:val="000000"/>
        </w:rPr>
        <w:t>", una herramienta de asistencia que sugiere código mientras el humano man</w:t>
      </w:r>
      <w:r>
        <w:rPr>
          <w:color w:val="000000"/>
        </w:rPr>
        <w:t>tiene autoría y revisión (</w:t>
      </w:r>
      <w:proofErr w:type="spellStart"/>
      <w:r>
        <w:rPr>
          <w:color w:val="000000"/>
        </w:rPr>
        <w:t>Peng</w:t>
      </w:r>
      <w:proofErr w:type="spellEnd"/>
      <w:r>
        <w:rPr>
          <w:color w:val="000000"/>
        </w:rPr>
        <w:t xml:space="preserve"> et al., 2023).</w:t>
      </w:r>
    </w:p>
    <w:p w14:paraId="38F2ACB0" w14:textId="77777777" w:rsidR="007D487F" w:rsidRDefault="005B1B64">
      <w:pPr>
        <w:spacing w:before="180" w:after="100" w:line="320" w:lineRule="auto"/>
      </w:pPr>
      <w:r>
        <w:rPr>
          <w:b/>
          <w:bCs/>
          <w:i/>
          <w:iCs/>
        </w:rPr>
        <w:t>4.2.2. Lo que ocurrió</w:t>
      </w:r>
    </w:p>
    <w:p w14:paraId="50D7BD32" w14:textId="327A4057" w:rsidR="007D487F" w:rsidRDefault="005B1B64">
      <w:pPr>
        <w:spacing w:before="80" w:after="80" w:line="320" w:lineRule="auto"/>
        <w:jc w:val="both"/>
        <w:rPr>
          <w:color w:val="000000"/>
        </w:rPr>
      </w:pPr>
      <w:r>
        <w:rPr>
          <w:color w:val="000000"/>
        </w:rPr>
        <w:t xml:space="preserve">Para julio de 2025, GitHub </w:t>
      </w:r>
      <w:proofErr w:type="spellStart"/>
      <w:r>
        <w:rPr>
          <w:color w:val="000000"/>
        </w:rPr>
        <w:t>Copilot</w:t>
      </w:r>
      <w:proofErr w:type="spellEnd"/>
      <w:r>
        <w:rPr>
          <w:color w:val="000000"/>
        </w:rPr>
        <w:t xml:space="preserve"> acumulaba aproximadamente 20 millones de usuarios y 1,3 millones de suscriptores pagados (</w:t>
      </w:r>
      <w:proofErr w:type="spellStart"/>
      <w:r>
        <w:rPr>
          <w:color w:val="000000"/>
        </w:rPr>
        <w:t>Quantumrun</w:t>
      </w:r>
      <w:proofErr w:type="spellEnd"/>
      <w:r>
        <w:rPr>
          <w:color w:val="000000"/>
        </w:rPr>
        <w:t xml:space="preserve">, 2026). La adopción en empresas </w:t>
      </w:r>
      <w:proofErr w:type="spellStart"/>
      <w:r>
        <w:rPr>
          <w:color w:val="000000"/>
        </w:rPr>
        <w:t>Fortune</w:t>
      </w:r>
      <w:proofErr w:type="spellEnd"/>
      <w:r>
        <w:rPr>
          <w:color w:val="000000"/>
        </w:rPr>
        <w:t xml:space="preserve"> 100 alcanzab</w:t>
      </w:r>
      <w:r>
        <w:rPr>
          <w:color w:val="000000"/>
        </w:rPr>
        <w:t xml:space="preserve">a el 90%. Un experimento controlado conducido por </w:t>
      </w:r>
      <w:proofErr w:type="spellStart"/>
      <w:r>
        <w:rPr>
          <w:color w:val="000000"/>
        </w:rPr>
        <w:t>Peng</w:t>
      </w:r>
      <w:proofErr w:type="spellEnd"/>
      <w:r>
        <w:rPr>
          <w:color w:val="000000"/>
        </w:rPr>
        <w:t xml:space="preserve"> et al. (2023) con 95 desarrolladores reclutados encontró que el grupo con acceso a </w:t>
      </w:r>
      <w:proofErr w:type="spellStart"/>
      <w:r>
        <w:rPr>
          <w:color w:val="000000"/>
        </w:rPr>
        <w:t>Copilot</w:t>
      </w:r>
      <w:proofErr w:type="spellEnd"/>
      <w:r>
        <w:rPr>
          <w:color w:val="000000"/>
        </w:rPr>
        <w:t xml:space="preserve"> completaba la tarea de implementar un servidor HTTP en JavaScript un 55,8% más rápido que el grupo de control.</w:t>
      </w:r>
      <w:r>
        <w:rPr>
          <w:color w:val="000000"/>
        </w:rPr>
        <w:t xml:space="preserve"> Estudios posteriores con muestras mayores (Cui et al., 2024; </w:t>
      </w:r>
      <w:proofErr w:type="spellStart"/>
      <w:r>
        <w:rPr>
          <w:color w:val="000000"/>
        </w:rPr>
        <w:t>arXiv</w:t>
      </w:r>
      <w:proofErr w:type="spellEnd"/>
      <w:r>
        <w:rPr>
          <w:color w:val="000000"/>
        </w:rPr>
        <w:t xml:space="preserve"> </w:t>
      </w:r>
      <w:proofErr w:type="spellStart"/>
      <w:r>
        <w:rPr>
          <w:color w:val="000000"/>
        </w:rPr>
        <w:t>preprint</w:t>
      </w:r>
      <w:proofErr w:type="spellEnd"/>
      <w:r>
        <w:rPr>
          <w:color w:val="000000"/>
        </w:rPr>
        <w:t>) reportaron incrementos del 26,08% en tareas completadas en condiciones de campo, con mayores ganancias para desarrolladores menos experimentados. Estudios independientes (</w:t>
      </w:r>
      <w:proofErr w:type="spellStart"/>
      <w:r>
        <w:rPr>
          <w:color w:val="000000"/>
        </w:rPr>
        <w:t>Brandtz</w:t>
      </w:r>
      <w:r>
        <w:rPr>
          <w:color w:val="000000"/>
        </w:rPr>
        <w:t>æg</w:t>
      </w:r>
      <w:proofErr w:type="spellEnd"/>
      <w:r>
        <w:rPr>
          <w:color w:val="000000"/>
        </w:rPr>
        <w:t xml:space="preserve"> et al., 2025) aportaron matices: la adopción no aumentó automáticamente las métricas de actividad agregadas en todos los equipos, lo que llevó a comunicación más matizada por parte de GitHub.</w:t>
      </w:r>
    </w:p>
    <w:p w14:paraId="17031FB3" w14:textId="6DE3E48D" w:rsidR="00A6629E" w:rsidRDefault="00A6629E">
      <w:pPr>
        <w:spacing w:before="80" w:after="80" w:line="320" w:lineRule="auto"/>
        <w:jc w:val="both"/>
        <w:rPr>
          <w:color w:val="000000"/>
        </w:rPr>
      </w:pPr>
    </w:p>
    <w:p w14:paraId="5AC3DCD9" w14:textId="26FC52C4" w:rsidR="00A6629E" w:rsidRDefault="00A6629E">
      <w:pPr>
        <w:spacing w:before="80" w:after="80" w:line="320" w:lineRule="auto"/>
        <w:jc w:val="both"/>
        <w:rPr>
          <w:color w:val="000000"/>
        </w:rPr>
      </w:pPr>
    </w:p>
    <w:p w14:paraId="38FFEC31" w14:textId="4D14D61D" w:rsidR="00A6629E" w:rsidRDefault="00A6629E">
      <w:pPr>
        <w:spacing w:before="80" w:after="80" w:line="320" w:lineRule="auto"/>
        <w:jc w:val="both"/>
        <w:rPr>
          <w:color w:val="000000"/>
        </w:rPr>
      </w:pPr>
    </w:p>
    <w:p w14:paraId="3366E6DC" w14:textId="77777777" w:rsidR="00A6629E" w:rsidRDefault="00A6629E">
      <w:pPr>
        <w:spacing w:before="80" w:after="80" w:line="320" w:lineRule="auto"/>
        <w:jc w:val="both"/>
      </w:pPr>
    </w:p>
    <w:p w14:paraId="7F81F828" w14:textId="77777777" w:rsidR="007D487F" w:rsidRDefault="005B1B64">
      <w:pPr>
        <w:spacing w:before="180" w:after="100" w:line="320" w:lineRule="auto"/>
      </w:pPr>
      <w:r>
        <w:rPr>
          <w:b/>
          <w:bCs/>
          <w:i/>
          <w:iCs/>
        </w:rPr>
        <w:lastRenderedPageBreak/>
        <w:t>4.2.3. Análisis por dimensiones</w:t>
      </w:r>
    </w:p>
    <w:tbl>
      <w:tblPr>
        <w:tblW w:w="9283"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4"/>
        <w:gridCol w:w="7399"/>
      </w:tblGrid>
      <w:tr w:rsidR="007D487F" w:rsidRPr="00A6629E" w14:paraId="3F2610B2" w14:textId="77777777" w:rsidTr="00A6629E">
        <w:tblPrEx>
          <w:tblCellMar>
            <w:top w:w="0" w:type="dxa"/>
            <w:bottom w:w="0" w:type="dxa"/>
          </w:tblCellMar>
        </w:tblPrEx>
        <w:trPr>
          <w:trHeight w:val="192"/>
          <w:tblHeader/>
        </w:trPr>
        <w:tc>
          <w:tcPr>
            <w:tcW w:w="1884" w:type="dxa"/>
            <w:tcBorders>
              <w:top w:val="single" w:sz="4" w:space="0" w:color="CCCCCC"/>
              <w:left w:val="single" w:sz="4" w:space="0" w:color="CCCCCC"/>
              <w:bottom w:val="single" w:sz="4" w:space="0" w:color="CCCCCC"/>
              <w:right w:val="single" w:sz="4" w:space="0" w:color="CCCCCC"/>
            </w:tcBorders>
            <w:shd w:val="clear" w:color="auto" w:fill="EFE3E6"/>
            <w:tcMar>
              <w:top w:w="100" w:type="dxa"/>
              <w:left w:w="140" w:type="dxa"/>
              <w:bottom w:w="100" w:type="dxa"/>
              <w:right w:w="140" w:type="dxa"/>
            </w:tcMar>
            <w:vAlign w:val="center"/>
          </w:tcPr>
          <w:p w14:paraId="381A244C" w14:textId="77777777" w:rsidR="007D487F" w:rsidRPr="00A6629E" w:rsidRDefault="005B1B64">
            <w:pPr>
              <w:spacing w:line="280" w:lineRule="auto"/>
              <w:rPr>
                <w:sz w:val="20"/>
                <w:szCs w:val="20"/>
              </w:rPr>
            </w:pPr>
            <w:r w:rsidRPr="00A6629E">
              <w:rPr>
                <w:b/>
                <w:bCs/>
                <w:color w:val="7B1A2F"/>
                <w:sz w:val="20"/>
                <w:szCs w:val="20"/>
              </w:rPr>
              <w:t>Dimensión</w:t>
            </w:r>
          </w:p>
        </w:tc>
        <w:tc>
          <w:tcPr>
            <w:tcW w:w="7399" w:type="dxa"/>
            <w:tcBorders>
              <w:top w:val="single" w:sz="4" w:space="0" w:color="CCCCCC"/>
              <w:left w:val="single" w:sz="4" w:space="0" w:color="CCCCCC"/>
              <w:bottom w:val="single" w:sz="4" w:space="0" w:color="CCCCCC"/>
              <w:right w:val="single" w:sz="4" w:space="0" w:color="CCCCCC"/>
            </w:tcBorders>
            <w:shd w:val="clear" w:color="auto" w:fill="EFE3E6"/>
            <w:tcMar>
              <w:top w:w="100" w:type="dxa"/>
              <w:left w:w="140" w:type="dxa"/>
              <w:bottom w:w="100" w:type="dxa"/>
              <w:right w:w="140" w:type="dxa"/>
            </w:tcMar>
            <w:vAlign w:val="center"/>
          </w:tcPr>
          <w:p w14:paraId="5DEF448F" w14:textId="77777777" w:rsidR="007D487F" w:rsidRPr="00A6629E" w:rsidRDefault="005B1B64">
            <w:pPr>
              <w:spacing w:line="280" w:lineRule="auto"/>
              <w:rPr>
                <w:sz w:val="20"/>
                <w:szCs w:val="20"/>
              </w:rPr>
            </w:pPr>
            <w:r w:rsidRPr="00A6629E">
              <w:rPr>
                <w:b/>
                <w:bCs/>
                <w:color w:val="7B1A2F"/>
                <w:sz w:val="20"/>
                <w:szCs w:val="20"/>
              </w:rPr>
              <w:t>Diagnóstico</w:t>
            </w:r>
          </w:p>
        </w:tc>
      </w:tr>
      <w:tr w:rsidR="007D487F" w:rsidRPr="00A6629E" w14:paraId="564A5F1E" w14:textId="77777777" w:rsidTr="00A6629E">
        <w:tblPrEx>
          <w:tblCellMar>
            <w:top w:w="0" w:type="dxa"/>
            <w:bottom w:w="0" w:type="dxa"/>
          </w:tblCellMar>
        </w:tblPrEx>
        <w:trPr>
          <w:trHeight w:val="192"/>
        </w:trPr>
        <w:tc>
          <w:tcPr>
            <w:tcW w:w="1884"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25B41F9" w14:textId="77777777" w:rsidR="007D487F" w:rsidRPr="00A6629E" w:rsidRDefault="005B1B64">
            <w:pPr>
              <w:spacing w:line="280" w:lineRule="auto"/>
              <w:rPr>
                <w:sz w:val="20"/>
                <w:szCs w:val="20"/>
              </w:rPr>
            </w:pPr>
            <w:r w:rsidRPr="00A6629E">
              <w:rPr>
                <w:color w:val="000000"/>
                <w:sz w:val="20"/>
                <w:szCs w:val="20"/>
              </w:rPr>
              <w:t>Problema</w:t>
            </w:r>
          </w:p>
        </w:tc>
        <w:tc>
          <w:tcPr>
            <w:tcW w:w="739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1FEC7F8" w14:textId="77777777" w:rsidR="007D487F" w:rsidRPr="00A6629E" w:rsidRDefault="005B1B64">
            <w:pPr>
              <w:spacing w:line="280" w:lineRule="auto"/>
              <w:rPr>
                <w:sz w:val="20"/>
                <w:szCs w:val="20"/>
              </w:rPr>
            </w:pPr>
            <w:r w:rsidRPr="00A6629E">
              <w:rPr>
                <w:color w:val="000000"/>
                <w:sz w:val="20"/>
                <w:szCs w:val="20"/>
              </w:rPr>
              <w:t>Acotado: acelerar tareas repetitivas de codificación. Sin reemplazo humano.</w:t>
            </w:r>
          </w:p>
        </w:tc>
      </w:tr>
      <w:tr w:rsidR="007D487F" w:rsidRPr="00A6629E" w14:paraId="0CF2941C" w14:textId="77777777" w:rsidTr="00A6629E">
        <w:tblPrEx>
          <w:tblCellMar>
            <w:top w:w="0" w:type="dxa"/>
            <w:bottom w:w="0" w:type="dxa"/>
          </w:tblCellMar>
        </w:tblPrEx>
        <w:trPr>
          <w:trHeight w:val="201"/>
        </w:trPr>
        <w:tc>
          <w:tcPr>
            <w:tcW w:w="1884"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E2FDCA2" w14:textId="77777777" w:rsidR="007D487F" w:rsidRPr="00A6629E" w:rsidRDefault="005B1B64">
            <w:pPr>
              <w:spacing w:line="280" w:lineRule="auto"/>
              <w:rPr>
                <w:sz w:val="20"/>
                <w:szCs w:val="20"/>
              </w:rPr>
            </w:pPr>
            <w:r w:rsidRPr="00A6629E">
              <w:rPr>
                <w:color w:val="000000"/>
                <w:sz w:val="20"/>
                <w:szCs w:val="20"/>
              </w:rPr>
              <w:t>Solución</w:t>
            </w:r>
          </w:p>
        </w:tc>
        <w:tc>
          <w:tcPr>
            <w:tcW w:w="739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D3031C9" w14:textId="77777777" w:rsidR="007D487F" w:rsidRPr="00A6629E" w:rsidRDefault="005B1B64">
            <w:pPr>
              <w:spacing w:line="280" w:lineRule="auto"/>
              <w:rPr>
                <w:sz w:val="20"/>
                <w:szCs w:val="20"/>
              </w:rPr>
            </w:pPr>
            <w:r w:rsidRPr="00A6629E">
              <w:rPr>
                <w:color w:val="000000"/>
                <w:sz w:val="20"/>
                <w:szCs w:val="20"/>
              </w:rPr>
              <w:t xml:space="preserve">Asistente integrado al flujo de trabajo (IDE). Aceptación </w:t>
            </w:r>
            <w:proofErr w:type="spellStart"/>
            <w:r w:rsidRPr="00A6629E">
              <w:rPr>
                <w:color w:val="000000"/>
                <w:sz w:val="20"/>
                <w:szCs w:val="20"/>
              </w:rPr>
              <w:t>opt</w:t>
            </w:r>
            <w:proofErr w:type="spellEnd"/>
            <w:r w:rsidRPr="00A6629E">
              <w:rPr>
                <w:color w:val="000000"/>
                <w:sz w:val="20"/>
                <w:szCs w:val="20"/>
              </w:rPr>
              <w:t>-in por sugerencia.</w:t>
            </w:r>
          </w:p>
        </w:tc>
      </w:tr>
      <w:tr w:rsidR="007D487F" w:rsidRPr="00A6629E" w14:paraId="17E2F243" w14:textId="77777777" w:rsidTr="00A6629E">
        <w:tblPrEx>
          <w:tblCellMar>
            <w:top w:w="0" w:type="dxa"/>
            <w:bottom w:w="0" w:type="dxa"/>
          </w:tblCellMar>
        </w:tblPrEx>
        <w:trPr>
          <w:trHeight w:val="192"/>
        </w:trPr>
        <w:tc>
          <w:tcPr>
            <w:tcW w:w="1884"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128B077" w14:textId="77777777" w:rsidR="007D487F" w:rsidRPr="00A6629E" w:rsidRDefault="005B1B64">
            <w:pPr>
              <w:spacing w:line="280" w:lineRule="auto"/>
              <w:rPr>
                <w:sz w:val="20"/>
                <w:szCs w:val="20"/>
              </w:rPr>
            </w:pPr>
            <w:r w:rsidRPr="00A6629E">
              <w:rPr>
                <w:color w:val="000000"/>
                <w:sz w:val="20"/>
                <w:szCs w:val="20"/>
              </w:rPr>
              <w:t>Narrativa</w:t>
            </w:r>
          </w:p>
        </w:tc>
        <w:tc>
          <w:tcPr>
            <w:tcW w:w="739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106AB36" w14:textId="77777777" w:rsidR="007D487F" w:rsidRPr="00A6629E" w:rsidRDefault="005B1B64">
            <w:pPr>
              <w:spacing w:line="280" w:lineRule="auto"/>
              <w:rPr>
                <w:sz w:val="20"/>
                <w:szCs w:val="20"/>
              </w:rPr>
            </w:pPr>
            <w:r w:rsidRPr="00A6629E">
              <w:rPr>
                <w:color w:val="000000"/>
                <w:sz w:val="20"/>
                <w:szCs w:val="20"/>
              </w:rPr>
              <w:t xml:space="preserve">"AI </w:t>
            </w:r>
            <w:proofErr w:type="spellStart"/>
            <w:r w:rsidRPr="00A6629E">
              <w:rPr>
                <w:color w:val="000000"/>
                <w:sz w:val="20"/>
                <w:szCs w:val="20"/>
              </w:rPr>
              <w:t>pair</w:t>
            </w:r>
            <w:proofErr w:type="spellEnd"/>
            <w:r w:rsidRPr="00A6629E">
              <w:rPr>
                <w:color w:val="000000"/>
                <w:sz w:val="20"/>
                <w:szCs w:val="20"/>
              </w:rPr>
              <w:t xml:space="preserve"> </w:t>
            </w:r>
            <w:proofErr w:type="spellStart"/>
            <w:r w:rsidRPr="00A6629E">
              <w:rPr>
                <w:color w:val="000000"/>
                <w:sz w:val="20"/>
                <w:szCs w:val="20"/>
              </w:rPr>
              <w:t>programmer</w:t>
            </w:r>
            <w:proofErr w:type="spellEnd"/>
            <w:r w:rsidRPr="00A6629E">
              <w:rPr>
                <w:color w:val="000000"/>
                <w:sz w:val="20"/>
                <w:szCs w:val="20"/>
              </w:rPr>
              <w:t>". Acompañamiento, no sustitución. Honestidad operativa.</w:t>
            </w:r>
          </w:p>
        </w:tc>
      </w:tr>
      <w:tr w:rsidR="007D487F" w:rsidRPr="00A6629E" w14:paraId="0DC4B453" w14:textId="77777777" w:rsidTr="00A6629E">
        <w:tblPrEx>
          <w:tblCellMar>
            <w:top w:w="0" w:type="dxa"/>
            <w:bottom w:w="0" w:type="dxa"/>
          </w:tblCellMar>
        </w:tblPrEx>
        <w:trPr>
          <w:trHeight w:val="192"/>
        </w:trPr>
        <w:tc>
          <w:tcPr>
            <w:tcW w:w="1884"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874BE4A" w14:textId="77777777" w:rsidR="007D487F" w:rsidRPr="00A6629E" w:rsidRDefault="005B1B64">
            <w:pPr>
              <w:spacing w:line="280" w:lineRule="auto"/>
              <w:rPr>
                <w:sz w:val="20"/>
                <w:szCs w:val="20"/>
              </w:rPr>
            </w:pPr>
            <w:r w:rsidRPr="00A6629E">
              <w:rPr>
                <w:color w:val="000000"/>
                <w:sz w:val="20"/>
                <w:szCs w:val="20"/>
              </w:rPr>
              <w:t>Evidencia</w:t>
            </w:r>
          </w:p>
        </w:tc>
        <w:tc>
          <w:tcPr>
            <w:tcW w:w="739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1B527CD" w14:textId="77777777" w:rsidR="007D487F" w:rsidRPr="00A6629E" w:rsidRDefault="005B1B64">
            <w:pPr>
              <w:spacing w:line="280" w:lineRule="auto"/>
              <w:rPr>
                <w:sz w:val="20"/>
                <w:szCs w:val="20"/>
              </w:rPr>
            </w:pPr>
            <w:r w:rsidRPr="00A6629E">
              <w:rPr>
                <w:color w:val="000000"/>
                <w:sz w:val="20"/>
                <w:szCs w:val="20"/>
              </w:rPr>
              <w:t>Experimento controlado (</w:t>
            </w:r>
            <w:proofErr w:type="spellStart"/>
            <w:r w:rsidRPr="00A6629E">
              <w:rPr>
                <w:color w:val="000000"/>
                <w:sz w:val="20"/>
                <w:szCs w:val="20"/>
              </w:rPr>
              <w:t>Peng</w:t>
            </w:r>
            <w:proofErr w:type="spellEnd"/>
            <w:r w:rsidRPr="00A6629E">
              <w:rPr>
                <w:color w:val="000000"/>
                <w:sz w:val="20"/>
                <w:szCs w:val="20"/>
              </w:rPr>
              <w:t xml:space="preserve"> et al., 2023). +55,8% velocidad. Replicaciones.</w:t>
            </w:r>
          </w:p>
        </w:tc>
      </w:tr>
      <w:tr w:rsidR="007D487F" w:rsidRPr="00A6629E" w14:paraId="0C15D5D6" w14:textId="77777777" w:rsidTr="00A6629E">
        <w:tblPrEx>
          <w:tblCellMar>
            <w:top w:w="0" w:type="dxa"/>
            <w:bottom w:w="0" w:type="dxa"/>
          </w:tblCellMar>
        </w:tblPrEx>
        <w:trPr>
          <w:trHeight w:val="192"/>
        </w:trPr>
        <w:tc>
          <w:tcPr>
            <w:tcW w:w="1884"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E468741" w14:textId="77777777" w:rsidR="007D487F" w:rsidRPr="00A6629E" w:rsidRDefault="005B1B64">
            <w:pPr>
              <w:spacing w:line="280" w:lineRule="auto"/>
              <w:rPr>
                <w:sz w:val="20"/>
                <w:szCs w:val="20"/>
              </w:rPr>
            </w:pPr>
            <w:r w:rsidRPr="00A6629E">
              <w:rPr>
                <w:color w:val="000000"/>
                <w:sz w:val="20"/>
                <w:szCs w:val="20"/>
              </w:rPr>
              <w:t>Alcance</w:t>
            </w:r>
          </w:p>
        </w:tc>
        <w:tc>
          <w:tcPr>
            <w:tcW w:w="739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2BF9DD0" w14:textId="77777777" w:rsidR="007D487F" w:rsidRPr="00A6629E" w:rsidRDefault="005B1B64">
            <w:pPr>
              <w:spacing w:line="280" w:lineRule="auto"/>
              <w:rPr>
                <w:sz w:val="20"/>
                <w:szCs w:val="20"/>
              </w:rPr>
            </w:pPr>
            <w:r w:rsidRPr="00A6629E">
              <w:rPr>
                <w:color w:val="000000"/>
                <w:sz w:val="20"/>
                <w:szCs w:val="20"/>
              </w:rPr>
              <w:t>Una tarea concreta: completar código. Extensiones posteriores incrementales.</w:t>
            </w:r>
          </w:p>
        </w:tc>
      </w:tr>
      <w:tr w:rsidR="007D487F" w:rsidRPr="00A6629E" w14:paraId="4A228ECF" w14:textId="77777777" w:rsidTr="00A6629E">
        <w:tblPrEx>
          <w:tblCellMar>
            <w:top w:w="0" w:type="dxa"/>
            <w:bottom w:w="0" w:type="dxa"/>
          </w:tblCellMar>
        </w:tblPrEx>
        <w:trPr>
          <w:trHeight w:val="192"/>
        </w:trPr>
        <w:tc>
          <w:tcPr>
            <w:tcW w:w="1884"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CB918BC" w14:textId="77777777" w:rsidR="007D487F" w:rsidRPr="00A6629E" w:rsidRDefault="005B1B64">
            <w:pPr>
              <w:spacing w:line="280" w:lineRule="auto"/>
              <w:rPr>
                <w:sz w:val="20"/>
                <w:szCs w:val="20"/>
              </w:rPr>
            </w:pPr>
            <w:r w:rsidRPr="00A6629E">
              <w:rPr>
                <w:color w:val="000000"/>
                <w:sz w:val="20"/>
                <w:szCs w:val="20"/>
              </w:rPr>
              <w:t>Resul</w:t>
            </w:r>
            <w:r w:rsidRPr="00A6629E">
              <w:rPr>
                <w:color w:val="000000"/>
                <w:sz w:val="20"/>
                <w:szCs w:val="20"/>
              </w:rPr>
              <w:t>tado</w:t>
            </w:r>
          </w:p>
        </w:tc>
        <w:tc>
          <w:tcPr>
            <w:tcW w:w="7399"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3F6B24A" w14:textId="77777777" w:rsidR="007D487F" w:rsidRPr="00A6629E" w:rsidRDefault="005B1B64">
            <w:pPr>
              <w:spacing w:line="280" w:lineRule="auto"/>
              <w:rPr>
                <w:sz w:val="20"/>
                <w:szCs w:val="20"/>
              </w:rPr>
            </w:pPr>
            <w:r w:rsidRPr="00A6629E">
              <w:rPr>
                <w:color w:val="000000"/>
                <w:sz w:val="20"/>
                <w:szCs w:val="20"/>
              </w:rPr>
              <w:t xml:space="preserve">20M+ usuarios. 90% </w:t>
            </w:r>
            <w:proofErr w:type="spellStart"/>
            <w:r w:rsidRPr="00A6629E">
              <w:rPr>
                <w:color w:val="000000"/>
                <w:sz w:val="20"/>
                <w:szCs w:val="20"/>
              </w:rPr>
              <w:t>Fortune</w:t>
            </w:r>
            <w:proofErr w:type="spellEnd"/>
            <w:r w:rsidRPr="00A6629E">
              <w:rPr>
                <w:color w:val="000000"/>
                <w:sz w:val="20"/>
                <w:szCs w:val="20"/>
              </w:rPr>
              <w:t xml:space="preserve"> 100. Categoría de mercado consolidada.</w:t>
            </w:r>
          </w:p>
        </w:tc>
      </w:tr>
    </w:tbl>
    <w:p w14:paraId="2ACD7171" w14:textId="77777777" w:rsidR="007D487F" w:rsidRDefault="005B1B64">
      <w:pPr>
        <w:spacing w:before="100" w:after="200" w:line="280" w:lineRule="auto"/>
        <w:jc w:val="center"/>
      </w:pPr>
      <w:r>
        <w:rPr>
          <w:i/>
          <w:iCs/>
          <w:color w:val="595959"/>
          <w:sz w:val="20"/>
          <w:szCs w:val="20"/>
        </w:rPr>
        <w:t xml:space="preserve">Tabla 6. Análisis dimensional del caso GitHub </w:t>
      </w:r>
      <w:proofErr w:type="spellStart"/>
      <w:r>
        <w:rPr>
          <w:i/>
          <w:iCs/>
          <w:color w:val="595959"/>
          <w:sz w:val="20"/>
          <w:szCs w:val="20"/>
        </w:rPr>
        <w:t>Copilot</w:t>
      </w:r>
      <w:proofErr w:type="spellEnd"/>
      <w:r>
        <w:rPr>
          <w:i/>
          <w:iCs/>
          <w:color w:val="595959"/>
          <w:sz w:val="20"/>
          <w:szCs w:val="20"/>
        </w:rPr>
        <w:t xml:space="preserve">. Elaboración propia con base en </w:t>
      </w:r>
      <w:proofErr w:type="spellStart"/>
      <w:r>
        <w:rPr>
          <w:i/>
          <w:iCs/>
          <w:color w:val="595959"/>
          <w:sz w:val="20"/>
          <w:szCs w:val="20"/>
        </w:rPr>
        <w:t>Peng</w:t>
      </w:r>
      <w:proofErr w:type="spellEnd"/>
      <w:r>
        <w:rPr>
          <w:i/>
          <w:iCs/>
          <w:color w:val="595959"/>
          <w:sz w:val="20"/>
          <w:szCs w:val="20"/>
        </w:rPr>
        <w:t xml:space="preserve"> et al. (2023) y </w:t>
      </w:r>
      <w:proofErr w:type="spellStart"/>
      <w:r>
        <w:rPr>
          <w:i/>
          <w:iCs/>
          <w:color w:val="595959"/>
          <w:sz w:val="20"/>
          <w:szCs w:val="20"/>
        </w:rPr>
        <w:t>Quantumrun</w:t>
      </w:r>
      <w:proofErr w:type="spellEnd"/>
      <w:r>
        <w:rPr>
          <w:i/>
          <w:iCs/>
          <w:color w:val="595959"/>
          <w:sz w:val="20"/>
          <w:szCs w:val="20"/>
        </w:rPr>
        <w:t xml:space="preserve"> (2026).</w:t>
      </w:r>
    </w:p>
    <w:p w14:paraId="2685D884" w14:textId="77777777" w:rsidR="007D487F" w:rsidRDefault="005B1B64">
      <w:pPr>
        <w:spacing w:before="180" w:after="100" w:line="320" w:lineRule="auto"/>
      </w:pPr>
      <w:r>
        <w:rPr>
          <w:b/>
          <w:bCs/>
          <w:i/>
          <w:iCs/>
        </w:rPr>
        <w:t>4.2.4. Lecciones extraídas</w:t>
      </w:r>
    </w:p>
    <w:p w14:paraId="77CFF8F8" w14:textId="2CDF25FC" w:rsidR="007D487F" w:rsidRDefault="005B1B64">
      <w:pPr>
        <w:spacing w:before="80" w:after="80" w:line="320" w:lineRule="auto"/>
        <w:jc w:val="both"/>
        <w:rPr>
          <w:color w:val="000000"/>
        </w:rPr>
      </w:pPr>
      <w:r>
        <w:rPr>
          <w:color w:val="000000"/>
        </w:rPr>
        <w:t xml:space="preserve">GitHub </w:t>
      </w:r>
      <w:proofErr w:type="spellStart"/>
      <w:r>
        <w:rPr>
          <w:color w:val="000000"/>
        </w:rPr>
        <w:t>Copilot</w:t>
      </w:r>
      <w:proofErr w:type="spellEnd"/>
      <w:r>
        <w:rPr>
          <w:color w:val="000000"/>
        </w:rPr>
        <w:t xml:space="preserve"> ejemplifica una narrativa madura para herramientas de IA generativa: el sistema se prese</w:t>
      </w:r>
      <w:r>
        <w:rPr>
          <w:color w:val="000000"/>
        </w:rPr>
        <w:t>nta como "augmentation" (aumento de capacidad humana) en lugar de "</w:t>
      </w:r>
      <w:proofErr w:type="spellStart"/>
      <w:r>
        <w:rPr>
          <w:color w:val="000000"/>
        </w:rPr>
        <w:t>automation</w:t>
      </w:r>
      <w:proofErr w:type="spellEnd"/>
      <w:r>
        <w:rPr>
          <w:color w:val="000000"/>
        </w:rPr>
        <w:t>" (sustitución del humano). La metáfora del "</w:t>
      </w:r>
      <w:proofErr w:type="spellStart"/>
      <w:r>
        <w:rPr>
          <w:color w:val="000000"/>
        </w:rPr>
        <w:t>pair</w:t>
      </w:r>
      <w:proofErr w:type="spellEnd"/>
      <w:r>
        <w:rPr>
          <w:color w:val="000000"/>
        </w:rPr>
        <w:t xml:space="preserve"> </w:t>
      </w:r>
      <w:proofErr w:type="spellStart"/>
      <w:r>
        <w:rPr>
          <w:color w:val="000000"/>
        </w:rPr>
        <w:t>programmer</w:t>
      </w:r>
      <w:proofErr w:type="spellEnd"/>
      <w:r>
        <w:rPr>
          <w:color w:val="000000"/>
        </w:rPr>
        <w:t>" es cognitivamente acertada porque mantiene al desarrollador en el rol de autor responsable. Esta narrativa no es acci</w:t>
      </w:r>
      <w:r>
        <w:rPr>
          <w:color w:val="000000"/>
        </w:rPr>
        <w:t>dental: refleja una decisión estratégica de comunicación informada por experimentos controlados con métricas verificables (</w:t>
      </w:r>
      <w:proofErr w:type="spellStart"/>
      <w:r>
        <w:rPr>
          <w:color w:val="000000"/>
        </w:rPr>
        <w:t>Peng</w:t>
      </w:r>
      <w:proofErr w:type="spellEnd"/>
      <w:r>
        <w:rPr>
          <w:color w:val="000000"/>
        </w:rPr>
        <w:t xml:space="preserve"> et al., 2023). Para el </w:t>
      </w:r>
      <w:r w:rsidR="00A6629E">
        <w:rPr>
          <w:color w:val="000000"/>
        </w:rPr>
        <w:t>Grupo</w:t>
      </w:r>
      <w:r>
        <w:rPr>
          <w:color w:val="000000"/>
        </w:rPr>
        <w:t>, esta lección refuerza la posición ya adoptada en la Reflexión Ética (semana 6): el sistema Text-</w:t>
      </w:r>
      <w:proofErr w:type="spellStart"/>
      <w:r>
        <w:rPr>
          <w:color w:val="000000"/>
        </w:rPr>
        <w:t>to</w:t>
      </w:r>
      <w:proofErr w:type="spellEnd"/>
      <w:r>
        <w:rPr>
          <w:color w:val="000000"/>
        </w:rPr>
        <w:t>-SQL se presenta como herramienta de asistencia, no como decisor autónomo. La presentación final debe articular esta posición narrativamente y respaldarla con evidencia de comportamiento del sistema.</w:t>
      </w:r>
    </w:p>
    <w:p w14:paraId="008F4B11" w14:textId="77777777" w:rsidR="007D487F" w:rsidRDefault="005B1B64">
      <w:pPr>
        <w:spacing w:before="320" w:after="200" w:line="320" w:lineRule="auto"/>
      </w:pPr>
      <w:r>
        <w:rPr>
          <w:b/>
          <w:bCs/>
          <w:color w:val="7B1A2F"/>
          <w:sz w:val="28"/>
          <w:szCs w:val="28"/>
        </w:rPr>
        <w:t>5. Análisis comparativo y patrones</w:t>
      </w:r>
    </w:p>
    <w:p w14:paraId="143F8027" w14:textId="77777777" w:rsidR="007D487F" w:rsidRDefault="005B1B64">
      <w:pPr>
        <w:spacing w:before="240" w:after="140" w:line="320" w:lineRule="auto"/>
      </w:pPr>
      <w:r>
        <w:rPr>
          <w:b/>
          <w:bCs/>
          <w:color w:val="7B1A2F"/>
          <w:sz w:val="24"/>
          <w:szCs w:val="24"/>
        </w:rPr>
        <w:t>5.1. Matriz compara</w:t>
      </w:r>
      <w:r>
        <w:rPr>
          <w:b/>
          <w:bCs/>
          <w:color w:val="7B1A2F"/>
          <w:sz w:val="24"/>
          <w:szCs w:val="24"/>
        </w:rPr>
        <w:t>tiva consolidada</w:t>
      </w:r>
    </w:p>
    <w:p w14:paraId="63241BC1" w14:textId="77777777" w:rsidR="007D487F" w:rsidRDefault="005B1B64">
      <w:pPr>
        <w:spacing w:before="80" w:after="80" w:line="320" w:lineRule="auto"/>
        <w:jc w:val="both"/>
      </w:pPr>
      <w:r>
        <w:rPr>
          <w:color w:val="000000"/>
        </w:rPr>
        <w:t>La Tabla 7 presenta la comparación de los cinco casos sobre las seis dimensiones del marco metodológico. La codificación cromática facilita la lectura: las celdas en gris claro indican fortalezas, las celdas en gris oscuro indican debilida</w:t>
      </w:r>
      <w:r>
        <w:rPr>
          <w:color w:val="000000"/>
        </w:rPr>
        <w:t>des. La concentración de debilidades en los tres primeros casos versus la concentración de fortalezas en los dos últimos no es un artificio narrativo sino un hallazgo empírico replicable.</w:t>
      </w:r>
    </w:p>
    <w:tbl>
      <w:tblPr>
        <w:tblW w:w="935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530"/>
        <w:gridCol w:w="1530"/>
        <w:gridCol w:w="1530"/>
        <w:gridCol w:w="1360"/>
        <w:gridCol w:w="1700"/>
      </w:tblGrid>
      <w:tr w:rsidR="007D487F" w14:paraId="564BA092" w14:textId="77777777" w:rsidTr="00A6629E">
        <w:tblPrEx>
          <w:tblCellMar>
            <w:top w:w="0" w:type="dxa"/>
            <w:bottom w:w="0" w:type="dxa"/>
          </w:tblCellMar>
        </w:tblPrEx>
        <w:trPr>
          <w:tblHeader/>
        </w:trPr>
        <w:tc>
          <w:tcPr>
            <w:tcW w:w="1700" w:type="dxa"/>
            <w:tcBorders>
              <w:top w:val="single" w:sz="4" w:space="0" w:color="CCCCCC"/>
              <w:left w:val="single" w:sz="4" w:space="0" w:color="CCCCCC"/>
              <w:bottom w:val="single" w:sz="4" w:space="0" w:color="CCCCCC"/>
              <w:right w:val="single" w:sz="4" w:space="0" w:color="CCCCCC"/>
            </w:tcBorders>
            <w:shd w:val="clear" w:color="auto" w:fill="EFE3E6"/>
            <w:tcMar>
              <w:top w:w="100" w:type="dxa"/>
              <w:left w:w="140" w:type="dxa"/>
              <w:bottom w:w="100" w:type="dxa"/>
              <w:right w:w="140" w:type="dxa"/>
            </w:tcMar>
            <w:vAlign w:val="center"/>
          </w:tcPr>
          <w:p w14:paraId="7B499A4E" w14:textId="77777777" w:rsidR="007D487F" w:rsidRDefault="005B1B64">
            <w:pPr>
              <w:spacing w:line="280" w:lineRule="auto"/>
            </w:pPr>
            <w:r>
              <w:rPr>
                <w:b/>
                <w:bCs/>
                <w:color w:val="7B1A2F"/>
                <w:sz w:val="20"/>
                <w:szCs w:val="20"/>
              </w:rPr>
              <w:lastRenderedPageBreak/>
              <w:t>Dimensión</w:t>
            </w:r>
          </w:p>
        </w:tc>
        <w:tc>
          <w:tcPr>
            <w:tcW w:w="1530" w:type="dxa"/>
            <w:tcBorders>
              <w:top w:val="single" w:sz="4" w:space="0" w:color="CCCCCC"/>
              <w:left w:val="single" w:sz="4" w:space="0" w:color="CCCCCC"/>
              <w:bottom w:val="single" w:sz="4" w:space="0" w:color="CCCCCC"/>
              <w:right w:val="single" w:sz="4" w:space="0" w:color="CCCCCC"/>
            </w:tcBorders>
            <w:shd w:val="clear" w:color="auto" w:fill="EFE3E6"/>
            <w:tcMar>
              <w:top w:w="100" w:type="dxa"/>
              <w:left w:w="140" w:type="dxa"/>
              <w:bottom w:w="100" w:type="dxa"/>
              <w:right w:w="140" w:type="dxa"/>
            </w:tcMar>
            <w:vAlign w:val="center"/>
          </w:tcPr>
          <w:p w14:paraId="51B1AD1A" w14:textId="77777777" w:rsidR="007D487F" w:rsidRDefault="005B1B64">
            <w:pPr>
              <w:spacing w:line="280" w:lineRule="auto"/>
            </w:pPr>
            <w:r>
              <w:rPr>
                <w:b/>
                <w:bCs/>
                <w:color w:val="7B1A2F"/>
                <w:sz w:val="20"/>
                <w:szCs w:val="20"/>
              </w:rPr>
              <w:t>Watson</w:t>
            </w:r>
          </w:p>
        </w:tc>
        <w:tc>
          <w:tcPr>
            <w:tcW w:w="1530" w:type="dxa"/>
            <w:tcBorders>
              <w:top w:val="single" w:sz="4" w:space="0" w:color="CCCCCC"/>
              <w:left w:val="single" w:sz="4" w:space="0" w:color="CCCCCC"/>
              <w:bottom w:val="single" w:sz="4" w:space="0" w:color="CCCCCC"/>
              <w:right w:val="single" w:sz="4" w:space="0" w:color="CCCCCC"/>
            </w:tcBorders>
            <w:shd w:val="clear" w:color="auto" w:fill="EFE3E6"/>
            <w:tcMar>
              <w:top w:w="100" w:type="dxa"/>
              <w:left w:w="140" w:type="dxa"/>
              <w:bottom w:w="100" w:type="dxa"/>
              <w:right w:w="140" w:type="dxa"/>
            </w:tcMar>
            <w:vAlign w:val="center"/>
          </w:tcPr>
          <w:p w14:paraId="284AA792" w14:textId="77777777" w:rsidR="007D487F" w:rsidRDefault="005B1B64">
            <w:pPr>
              <w:spacing w:line="280" w:lineRule="auto"/>
            </w:pPr>
            <w:proofErr w:type="spellStart"/>
            <w:r>
              <w:rPr>
                <w:b/>
                <w:bCs/>
                <w:color w:val="7B1A2F"/>
                <w:sz w:val="20"/>
                <w:szCs w:val="20"/>
              </w:rPr>
              <w:t>Zillow</w:t>
            </w:r>
            <w:proofErr w:type="spellEnd"/>
          </w:p>
        </w:tc>
        <w:tc>
          <w:tcPr>
            <w:tcW w:w="1530" w:type="dxa"/>
            <w:tcBorders>
              <w:top w:val="single" w:sz="4" w:space="0" w:color="CCCCCC"/>
              <w:left w:val="single" w:sz="4" w:space="0" w:color="CCCCCC"/>
              <w:bottom w:val="single" w:sz="4" w:space="0" w:color="CCCCCC"/>
              <w:right w:val="single" w:sz="4" w:space="0" w:color="CCCCCC"/>
            </w:tcBorders>
            <w:shd w:val="clear" w:color="auto" w:fill="EFE3E6"/>
            <w:tcMar>
              <w:top w:w="100" w:type="dxa"/>
              <w:left w:w="140" w:type="dxa"/>
              <w:bottom w:w="100" w:type="dxa"/>
              <w:right w:w="140" w:type="dxa"/>
            </w:tcMar>
            <w:vAlign w:val="center"/>
          </w:tcPr>
          <w:p w14:paraId="530B5FCF" w14:textId="77777777" w:rsidR="007D487F" w:rsidRDefault="005B1B64">
            <w:pPr>
              <w:spacing w:line="280" w:lineRule="auto"/>
            </w:pPr>
            <w:r>
              <w:rPr>
                <w:b/>
                <w:bCs/>
                <w:color w:val="7B1A2F"/>
                <w:sz w:val="20"/>
                <w:szCs w:val="20"/>
              </w:rPr>
              <w:t>COMPAS</w:t>
            </w:r>
          </w:p>
        </w:tc>
        <w:tc>
          <w:tcPr>
            <w:tcW w:w="1360" w:type="dxa"/>
            <w:tcBorders>
              <w:top w:val="single" w:sz="4" w:space="0" w:color="CCCCCC"/>
              <w:left w:val="single" w:sz="4" w:space="0" w:color="CCCCCC"/>
              <w:bottom w:val="single" w:sz="4" w:space="0" w:color="CCCCCC"/>
              <w:right w:val="single" w:sz="4" w:space="0" w:color="CCCCCC"/>
            </w:tcBorders>
            <w:shd w:val="clear" w:color="auto" w:fill="EFE3E6"/>
            <w:tcMar>
              <w:top w:w="100" w:type="dxa"/>
              <w:left w:w="140" w:type="dxa"/>
              <w:bottom w:w="100" w:type="dxa"/>
              <w:right w:w="140" w:type="dxa"/>
            </w:tcMar>
            <w:vAlign w:val="center"/>
          </w:tcPr>
          <w:p w14:paraId="766764E2" w14:textId="77777777" w:rsidR="007D487F" w:rsidRDefault="005B1B64">
            <w:pPr>
              <w:spacing w:line="280" w:lineRule="auto"/>
            </w:pPr>
            <w:proofErr w:type="spellStart"/>
            <w:r>
              <w:rPr>
                <w:b/>
                <w:bCs/>
                <w:color w:val="7B1A2F"/>
                <w:sz w:val="20"/>
                <w:szCs w:val="20"/>
              </w:rPr>
              <w:t>AlphaFold</w:t>
            </w:r>
            <w:proofErr w:type="spellEnd"/>
          </w:p>
        </w:tc>
        <w:tc>
          <w:tcPr>
            <w:tcW w:w="1700" w:type="dxa"/>
            <w:tcBorders>
              <w:top w:val="single" w:sz="4" w:space="0" w:color="CCCCCC"/>
              <w:left w:val="single" w:sz="4" w:space="0" w:color="CCCCCC"/>
              <w:bottom w:val="single" w:sz="4" w:space="0" w:color="CCCCCC"/>
              <w:right w:val="single" w:sz="4" w:space="0" w:color="CCCCCC"/>
            </w:tcBorders>
            <w:shd w:val="clear" w:color="auto" w:fill="EFE3E6"/>
            <w:tcMar>
              <w:top w:w="100" w:type="dxa"/>
              <w:left w:w="140" w:type="dxa"/>
              <w:bottom w:w="100" w:type="dxa"/>
              <w:right w:w="140" w:type="dxa"/>
            </w:tcMar>
            <w:vAlign w:val="center"/>
          </w:tcPr>
          <w:p w14:paraId="77962663" w14:textId="77777777" w:rsidR="007D487F" w:rsidRDefault="005B1B64">
            <w:pPr>
              <w:spacing w:line="280" w:lineRule="auto"/>
            </w:pPr>
            <w:proofErr w:type="spellStart"/>
            <w:r>
              <w:rPr>
                <w:b/>
                <w:bCs/>
                <w:color w:val="7B1A2F"/>
                <w:sz w:val="20"/>
                <w:szCs w:val="20"/>
              </w:rPr>
              <w:t>Copilot</w:t>
            </w:r>
            <w:proofErr w:type="spellEnd"/>
          </w:p>
        </w:tc>
      </w:tr>
      <w:tr w:rsidR="007D487F" w14:paraId="26751DA7" w14:textId="77777777" w:rsidTr="00A6629E">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E5BDD94" w14:textId="77777777" w:rsidR="007D487F" w:rsidRDefault="005B1B64">
            <w:pPr>
              <w:spacing w:line="280" w:lineRule="auto"/>
            </w:pPr>
            <w:r>
              <w:rPr>
                <w:b/>
                <w:bCs/>
                <w:color w:val="000000"/>
                <w:sz w:val="20"/>
                <w:szCs w:val="20"/>
              </w:rPr>
              <w:t>Problema</w:t>
            </w:r>
          </w:p>
        </w:tc>
        <w:tc>
          <w:tcPr>
            <w:tcW w:w="1530" w:type="dxa"/>
            <w:tcBorders>
              <w:top w:val="single" w:sz="4" w:space="0" w:color="CCCCCC"/>
              <w:left w:val="single" w:sz="4" w:space="0" w:color="CCCCCC"/>
              <w:bottom w:val="single" w:sz="4" w:space="0" w:color="CCCCCC"/>
              <w:right w:val="single" w:sz="4" w:space="0" w:color="CCCCCC"/>
            </w:tcBorders>
            <w:shd w:val="clear" w:color="auto" w:fill="F2D3D8"/>
            <w:tcMar>
              <w:top w:w="100" w:type="dxa"/>
              <w:left w:w="140" w:type="dxa"/>
              <w:bottom w:w="100" w:type="dxa"/>
              <w:right w:w="140" w:type="dxa"/>
            </w:tcMar>
            <w:vAlign w:val="center"/>
          </w:tcPr>
          <w:p w14:paraId="155036C2" w14:textId="77777777" w:rsidR="007D487F" w:rsidRDefault="005B1B64">
            <w:pPr>
              <w:spacing w:line="280" w:lineRule="auto"/>
            </w:pPr>
            <w:r>
              <w:rPr>
                <w:color w:val="000000"/>
                <w:sz w:val="20"/>
                <w:szCs w:val="20"/>
              </w:rPr>
              <w:t>✗ Difuso</w:t>
            </w:r>
          </w:p>
        </w:tc>
        <w:tc>
          <w:tcPr>
            <w:tcW w:w="1530" w:type="dxa"/>
            <w:tcBorders>
              <w:top w:val="single" w:sz="4" w:space="0" w:color="CCCCCC"/>
              <w:left w:val="single" w:sz="4" w:space="0" w:color="CCCCCC"/>
              <w:bottom w:val="single" w:sz="4" w:space="0" w:color="CCCCCC"/>
              <w:right w:val="single" w:sz="4" w:space="0" w:color="CCCCCC"/>
            </w:tcBorders>
            <w:shd w:val="clear" w:color="auto" w:fill="EAF1E8"/>
            <w:tcMar>
              <w:top w:w="100" w:type="dxa"/>
              <w:left w:w="140" w:type="dxa"/>
              <w:bottom w:w="100" w:type="dxa"/>
              <w:right w:w="140" w:type="dxa"/>
            </w:tcMar>
            <w:vAlign w:val="center"/>
          </w:tcPr>
          <w:p w14:paraId="41516899" w14:textId="77777777" w:rsidR="007D487F" w:rsidRDefault="005B1B64">
            <w:pPr>
              <w:spacing w:line="280" w:lineRule="auto"/>
            </w:pPr>
            <w:r>
              <w:rPr>
                <w:color w:val="000000"/>
                <w:sz w:val="20"/>
                <w:szCs w:val="20"/>
              </w:rPr>
              <w:t>✓ Acotado</w:t>
            </w:r>
          </w:p>
        </w:tc>
        <w:tc>
          <w:tcPr>
            <w:tcW w:w="1530" w:type="dxa"/>
            <w:tcBorders>
              <w:top w:val="single" w:sz="4" w:space="0" w:color="CCCCCC"/>
              <w:left w:val="single" w:sz="4" w:space="0" w:color="CCCCCC"/>
              <w:bottom w:val="single" w:sz="4" w:space="0" w:color="CCCCCC"/>
              <w:right w:val="single" w:sz="4" w:space="0" w:color="CCCCCC"/>
            </w:tcBorders>
            <w:shd w:val="clear" w:color="auto" w:fill="EAF1E8"/>
            <w:tcMar>
              <w:top w:w="100" w:type="dxa"/>
              <w:left w:w="140" w:type="dxa"/>
              <w:bottom w:w="100" w:type="dxa"/>
              <w:right w:w="140" w:type="dxa"/>
            </w:tcMar>
            <w:vAlign w:val="center"/>
          </w:tcPr>
          <w:p w14:paraId="6B26914B" w14:textId="77777777" w:rsidR="007D487F" w:rsidRDefault="005B1B64">
            <w:pPr>
              <w:spacing w:line="280" w:lineRule="auto"/>
            </w:pPr>
            <w:r>
              <w:rPr>
                <w:color w:val="000000"/>
                <w:sz w:val="20"/>
                <w:szCs w:val="20"/>
              </w:rPr>
              <w:t>✓ Acotado</w:t>
            </w:r>
          </w:p>
        </w:tc>
        <w:tc>
          <w:tcPr>
            <w:tcW w:w="1360" w:type="dxa"/>
            <w:tcBorders>
              <w:top w:val="single" w:sz="4" w:space="0" w:color="CCCCCC"/>
              <w:left w:val="single" w:sz="4" w:space="0" w:color="CCCCCC"/>
              <w:bottom w:val="single" w:sz="4" w:space="0" w:color="CCCCCC"/>
              <w:right w:val="single" w:sz="4" w:space="0" w:color="CCCCCC"/>
            </w:tcBorders>
            <w:shd w:val="clear" w:color="auto" w:fill="EAF1E8"/>
            <w:tcMar>
              <w:top w:w="100" w:type="dxa"/>
              <w:left w:w="140" w:type="dxa"/>
              <w:bottom w:w="100" w:type="dxa"/>
              <w:right w:w="140" w:type="dxa"/>
            </w:tcMar>
            <w:vAlign w:val="center"/>
          </w:tcPr>
          <w:p w14:paraId="41A0D0AC" w14:textId="77777777" w:rsidR="007D487F" w:rsidRDefault="005B1B64">
            <w:pPr>
              <w:spacing w:line="280" w:lineRule="auto"/>
            </w:pPr>
            <w:r>
              <w:rPr>
                <w:color w:val="000000"/>
                <w:sz w:val="20"/>
                <w:szCs w:val="20"/>
              </w:rPr>
              <w:t>✓ Acotado</w:t>
            </w:r>
          </w:p>
        </w:tc>
        <w:tc>
          <w:tcPr>
            <w:tcW w:w="1700" w:type="dxa"/>
            <w:tcBorders>
              <w:top w:val="single" w:sz="4" w:space="0" w:color="CCCCCC"/>
              <w:left w:val="single" w:sz="4" w:space="0" w:color="CCCCCC"/>
              <w:bottom w:val="single" w:sz="4" w:space="0" w:color="CCCCCC"/>
              <w:right w:val="single" w:sz="4" w:space="0" w:color="CCCCCC"/>
            </w:tcBorders>
            <w:shd w:val="clear" w:color="auto" w:fill="EAF1E8"/>
            <w:tcMar>
              <w:top w:w="100" w:type="dxa"/>
              <w:left w:w="140" w:type="dxa"/>
              <w:bottom w:w="100" w:type="dxa"/>
              <w:right w:w="140" w:type="dxa"/>
            </w:tcMar>
            <w:vAlign w:val="center"/>
          </w:tcPr>
          <w:p w14:paraId="51723C03" w14:textId="77777777" w:rsidR="007D487F" w:rsidRDefault="005B1B64">
            <w:pPr>
              <w:spacing w:line="280" w:lineRule="auto"/>
            </w:pPr>
            <w:r>
              <w:rPr>
                <w:color w:val="000000"/>
                <w:sz w:val="20"/>
                <w:szCs w:val="20"/>
              </w:rPr>
              <w:t>✓ Acotado</w:t>
            </w:r>
          </w:p>
        </w:tc>
      </w:tr>
      <w:tr w:rsidR="007D487F" w14:paraId="32183916" w14:textId="77777777" w:rsidTr="00A6629E">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5FF4BFB" w14:textId="77777777" w:rsidR="007D487F" w:rsidRDefault="005B1B64">
            <w:pPr>
              <w:spacing w:line="280" w:lineRule="auto"/>
            </w:pPr>
            <w:r>
              <w:rPr>
                <w:b/>
                <w:bCs/>
                <w:color w:val="000000"/>
                <w:sz w:val="20"/>
                <w:szCs w:val="20"/>
              </w:rPr>
              <w:t>Solución</w:t>
            </w:r>
          </w:p>
        </w:tc>
        <w:tc>
          <w:tcPr>
            <w:tcW w:w="1530" w:type="dxa"/>
            <w:tcBorders>
              <w:top w:val="single" w:sz="4" w:space="0" w:color="CCCCCC"/>
              <w:left w:val="single" w:sz="4" w:space="0" w:color="CCCCCC"/>
              <w:bottom w:val="single" w:sz="4" w:space="0" w:color="CCCCCC"/>
              <w:right w:val="single" w:sz="4" w:space="0" w:color="CCCCCC"/>
            </w:tcBorders>
            <w:shd w:val="clear" w:color="auto" w:fill="F2D3D8"/>
            <w:tcMar>
              <w:top w:w="100" w:type="dxa"/>
              <w:left w:w="140" w:type="dxa"/>
              <w:bottom w:w="100" w:type="dxa"/>
              <w:right w:w="140" w:type="dxa"/>
            </w:tcMar>
            <w:vAlign w:val="center"/>
          </w:tcPr>
          <w:p w14:paraId="5E12E4DA" w14:textId="77777777" w:rsidR="007D487F" w:rsidRDefault="005B1B64">
            <w:pPr>
              <w:spacing w:line="280" w:lineRule="auto"/>
            </w:pPr>
            <w:r>
              <w:rPr>
                <w:color w:val="000000"/>
                <w:sz w:val="20"/>
                <w:szCs w:val="20"/>
              </w:rPr>
              <w:t>✗ Genérica</w:t>
            </w:r>
          </w:p>
        </w:tc>
        <w:tc>
          <w:tcPr>
            <w:tcW w:w="1530" w:type="dxa"/>
            <w:tcBorders>
              <w:top w:val="single" w:sz="4" w:space="0" w:color="CCCCCC"/>
              <w:left w:val="single" w:sz="4" w:space="0" w:color="CCCCCC"/>
              <w:bottom w:val="single" w:sz="4" w:space="0" w:color="CCCCCC"/>
              <w:right w:val="single" w:sz="4" w:space="0" w:color="CCCCCC"/>
            </w:tcBorders>
            <w:shd w:val="clear" w:color="auto" w:fill="F8E9D5"/>
            <w:tcMar>
              <w:top w:w="100" w:type="dxa"/>
              <w:left w:w="140" w:type="dxa"/>
              <w:bottom w:w="100" w:type="dxa"/>
              <w:right w:w="140" w:type="dxa"/>
            </w:tcMar>
            <w:vAlign w:val="center"/>
          </w:tcPr>
          <w:p w14:paraId="15E26507" w14:textId="77777777" w:rsidR="007D487F" w:rsidRDefault="005B1B64">
            <w:pPr>
              <w:spacing w:line="280" w:lineRule="auto"/>
            </w:pPr>
            <w:r>
              <w:rPr>
                <w:color w:val="000000"/>
                <w:sz w:val="20"/>
                <w:szCs w:val="20"/>
              </w:rPr>
              <w:t>◐ Frágil</w:t>
            </w:r>
          </w:p>
        </w:tc>
        <w:tc>
          <w:tcPr>
            <w:tcW w:w="1530" w:type="dxa"/>
            <w:tcBorders>
              <w:top w:val="single" w:sz="4" w:space="0" w:color="CCCCCC"/>
              <w:left w:val="single" w:sz="4" w:space="0" w:color="CCCCCC"/>
              <w:bottom w:val="single" w:sz="4" w:space="0" w:color="CCCCCC"/>
              <w:right w:val="single" w:sz="4" w:space="0" w:color="CCCCCC"/>
            </w:tcBorders>
            <w:shd w:val="clear" w:color="auto" w:fill="F2D3D8"/>
            <w:tcMar>
              <w:top w:w="100" w:type="dxa"/>
              <w:left w:w="140" w:type="dxa"/>
              <w:bottom w:w="100" w:type="dxa"/>
              <w:right w:w="140" w:type="dxa"/>
            </w:tcMar>
            <w:vAlign w:val="center"/>
          </w:tcPr>
          <w:p w14:paraId="294A6B40" w14:textId="77777777" w:rsidR="007D487F" w:rsidRDefault="005B1B64">
            <w:pPr>
              <w:spacing w:line="280" w:lineRule="auto"/>
            </w:pPr>
            <w:r>
              <w:rPr>
                <w:color w:val="000000"/>
                <w:sz w:val="20"/>
                <w:szCs w:val="20"/>
              </w:rPr>
              <w:t>✗ Caja negra</w:t>
            </w:r>
          </w:p>
        </w:tc>
        <w:tc>
          <w:tcPr>
            <w:tcW w:w="1360" w:type="dxa"/>
            <w:tcBorders>
              <w:top w:val="single" w:sz="4" w:space="0" w:color="CCCCCC"/>
              <w:left w:val="single" w:sz="4" w:space="0" w:color="CCCCCC"/>
              <w:bottom w:val="single" w:sz="4" w:space="0" w:color="CCCCCC"/>
              <w:right w:val="single" w:sz="4" w:space="0" w:color="CCCCCC"/>
            </w:tcBorders>
            <w:shd w:val="clear" w:color="auto" w:fill="EAF1E8"/>
            <w:tcMar>
              <w:top w:w="100" w:type="dxa"/>
              <w:left w:w="140" w:type="dxa"/>
              <w:bottom w:w="100" w:type="dxa"/>
              <w:right w:w="140" w:type="dxa"/>
            </w:tcMar>
            <w:vAlign w:val="center"/>
          </w:tcPr>
          <w:p w14:paraId="27014873" w14:textId="77777777" w:rsidR="007D487F" w:rsidRDefault="005B1B64">
            <w:pPr>
              <w:spacing w:line="280" w:lineRule="auto"/>
            </w:pPr>
            <w:r>
              <w:rPr>
                <w:color w:val="000000"/>
                <w:sz w:val="20"/>
                <w:szCs w:val="20"/>
              </w:rPr>
              <w:t>✓ Específica</w:t>
            </w:r>
          </w:p>
        </w:tc>
        <w:tc>
          <w:tcPr>
            <w:tcW w:w="1700" w:type="dxa"/>
            <w:tcBorders>
              <w:top w:val="single" w:sz="4" w:space="0" w:color="CCCCCC"/>
              <w:left w:val="single" w:sz="4" w:space="0" w:color="CCCCCC"/>
              <w:bottom w:val="single" w:sz="4" w:space="0" w:color="CCCCCC"/>
              <w:right w:val="single" w:sz="4" w:space="0" w:color="CCCCCC"/>
            </w:tcBorders>
            <w:shd w:val="clear" w:color="auto" w:fill="EAF1E8"/>
            <w:tcMar>
              <w:top w:w="100" w:type="dxa"/>
              <w:left w:w="140" w:type="dxa"/>
              <w:bottom w:w="100" w:type="dxa"/>
              <w:right w:w="140" w:type="dxa"/>
            </w:tcMar>
            <w:vAlign w:val="center"/>
          </w:tcPr>
          <w:p w14:paraId="77452137" w14:textId="77777777" w:rsidR="007D487F" w:rsidRDefault="005B1B64">
            <w:pPr>
              <w:spacing w:line="280" w:lineRule="auto"/>
            </w:pPr>
            <w:r>
              <w:rPr>
                <w:color w:val="000000"/>
                <w:sz w:val="20"/>
                <w:szCs w:val="20"/>
              </w:rPr>
              <w:t>✓ Integrada</w:t>
            </w:r>
          </w:p>
        </w:tc>
      </w:tr>
      <w:tr w:rsidR="007D487F" w14:paraId="54113F70" w14:textId="77777777" w:rsidTr="00A6629E">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652CF71" w14:textId="77777777" w:rsidR="007D487F" w:rsidRDefault="005B1B64">
            <w:pPr>
              <w:spacing w:line="280" w:lineRule="auto"/>
            </w:pPr>
            <w:r>
              <w:rPr>
                <w:b/>
                <w:bCs/>
                <w:color w:val="000000"/>
                <w:sz w:val="20"/>
                <w:szCs w:val="20"/>
              </w:rPr>
              <w:t>Narrativa</w:t>
            </w:r>
          </w:p>
        </w:tc>
        <w:tc>
          <w:tcPr>
            <w:tcW w:w="1530" w:type="dxa"/>
            <w:tcBorders>
              <w:top w:val="single" w:sz="4" w:space="0" w:color="CCCCCC"/>
              <w:left w:val="single" w:sz="4" w:space="0" w:color="CCCCCC"/>
              <w:bottom w:val="single" w:sz="4" w:space="0" w:color="CCCCCC"/>
              <w:right w:val="single" w:sz="4" w:space="0" w:color="CCCCCC"/>
            </w:tcBorders>
            <w:shd w:val="clear" w:color="auto" w:fill="F2D3D8"/>
            <w:tcMar>
              <w:top w:w="100" w:type="dxa"/>
              <w:left w:w="140" w:type="dxa"/>
              <w:bottom w:w="100" w:type="dxa"/>
              <w:right w:w="140" w:type="dxa"/>
            </w:tcMar>
            <w:vAlign w:val="center"/>
          </w:tcPr>
          <w:p w14:paraId="11ED02B6" w14:textId="77777777" w:rsidR="007D487F" w:rsidRDefault="005B1B64">
            <w:pPr>
              <w:spacing w:line="280" w:lineRule="auto"/>
            </w:pPr>
            <w:r>
              <w:rPr>
                <w:color w:val="000000"/>
                <w:sz w:val="20"/>
                <w:szCs w:val="20"/>
              </w:rPr>
              <w:t xml:space="preserve">✗ </w:t>
            </w:r>
            <w:proofErr w:type="spellStart"/>
            <w:r>
              <w:rPr>
                <w:color w:val="000000"/>
                <w:sz w:val="20"/>
                <w:szCs w:val="20"/>
              </w:rPr>
              <w:t>Hype</w:t>
            </w:r>
            <w:proofErr w:type="spellEnd"/>
          </w:p>
        </w:tc>
        <w:tc>
          <w:tcPr>
            <w:tcW w:w="1530" w:type="dxa"/>
            <w:tcBorders>
              <w:top w:val="single" w:sz="4" w:space="0" w:color="CCCCCC"/>
              <w:left w:val="single" w:sz="4" w:space="0" w:color="CCCCCC"/>
              <w:bottom w:val="single" w:sz="4" w:space="0" w:color="CCCCCC"/>
              <w:right w:val="single" w:sz="4" w:space="0" w:color="CCCCCC"/>
            </w:tcBorders>
            <w:shd w:val="clear" w:color="auto" w:fill="F2D3D8"/>
            <w:tcMar>
              <w:top w:w="100" w:type="dxa"/>
              <w:left w:w="140" w:type="dxa"/>
              <w:bottom w:w="100" w:type="dxa"/>
              <w:right w:w="140" w:type="dxa"/>
            </w:tcMar>
            <w:vAlign w:val="center"/>
          </w:tcPr>
          <w:p w14:paraId="4C8DBFBB" w14:textId="77777777" w:rsidR="007D487F" w:rsidRDefault="005B1B64">
            <w:pPr>
              <w:spacing w:line="280" w:lineRule="auto"/>
            </w:pPr>
            <w:r>
              <w:rPr>
                <w:color w:val="000000"/>
                <w:sz w:val="20"/>
                <w:szCs w:val="20"/>
              </w:rPr>
              <w:t>✗ Confianza alta</w:t>
            </w:r>
          </w:p>
        </w:tc>
        <w:tc>
          <w:tcPr>
            <w:tcW w:w="1530" w:type="dxa"/>
            <w:tcBorders>
              <w:top w:val="single" w:sz="4" w:space="0" w:color="CCCCCC"/>
              <w:left w:val="single" w:sz="4" w:space="0" w:color="CCCCCC"/>
              <w:bottom w:val="single" w:sz="4" w:space="0" w:color="CCCCCC"/>
              <w:right w:val="single" w:sz="4" w:space="0" w:color="CCCCCC"/>
            </w:tcBorders>
            <w:shd w:val="clear" w:color="auto" w:fill="F8E9D5"/>
            <w:tcMar>
              <w:top w:w="100" w:type="dxa"/>
              <w:left w:w="140" w:type="dxa"/>
              <w:bottom w:w="100" w:type="dxa"/>
              <w:right w:w="140" w:type="dxa"/>
            </w:tcMar>
            <w:vAlign w:val="center"/>
          </w:tcPr>
          <w:p w14:paraId="75014AF0" w14:textId="77777777" w:rsidR="007D487F" w:rsidRDefault="005B1B64">
            <w:pPr>
              <w:spacing w:line="280" w:lineRule="auto"/>
            </w:pPr>
            <w:r>
              <w:rPr>
                <w:color w:val="000000"/>
                <w:sz w:val="20"/>
                <w:szCs w:val="20"/>
              </w:rPr>
              <w:t>◐ Objetividad</w:t>
            </w:r>
          </w:p>
        </w:tc>
        <w:tc>
          <w:tcPr>
            <w:tcW w:w="1360" w:type="dxa"/>
            <w:tcBorders>
              <w:top w:val="single" w:sz="4" w:space="0" w:color="CCCCCC"/>
              <w:left w:val="single" w:sz="4" w:space="0" w:color="CCCCCC"/>
              <w:bottom w:val="single" w:sz="4" w:space="0" w:color="CCCCCC"/>
              <w:right w:val="single" w:sz="4" w:space="0" w:color="CCCCCC"/>
            </w:tcBorders>
            <w:shd w:val="clear" w:color="auto" w:fill="EAF1E8"/>
            <w:tcMar>
              <w:top w:w="100" w:type="dxa"/>
              <w:left w:w="140" w:type="dxa"/>
              <w:bottom w:w="100" w:type="dxa"/>
              <w:right w:w="140" w:type="dxa"/>
            </w:tcMar>
            <w:vAlign w:val="center"/>
          </w:tcPr>
          <w:p w14:paraId="4DA4C981" w14:textId="77777777" w:rsidR="007D487F" w:rsidRDefault="005B1B64">
            <w:pPr>
              <w:spacing w:line="280" w:lineRule="auto"/>
            </w:pPr>
            <w:r>
              <w:rPr>
                <w:color w:val="000000"/>
                <w:sz w:val="20"/>
                <w:szCs w:val="20"/>
              </w:rPr>
              <w:t>✓ Sobria</w:t>
            </w:r>
          </w:p>
        </w:tc>
        <w:tc>
          <w:tcPr>
            <w:tcW w:w="1700" w:type="dxa"/>
            <w:tcBorders>
              <w:top w:val="single" w:sz="4" w:space="0" w:color="CCCCCC"/>
              <w:left w:val="single" w:sz="4" w:space="0" w:color="CCCCCC"/>
              <w:bottom w:val="single" w:sz="4" w:space="0" w:color="CCCCCC"/>
              <w:right w:val="single" w:sz="4" w:space="0" w:color="CCCCCC"/>
            </w:tcBorders>
            <w:shd w:val="clear" w:color="auto" w:fill="EAF1E8"/>
            <w:tcMar>
              <w:top w:w="100" w:type="dxa"/>
              <w:left w:w="140" w:type="dxa"/>
              <w:bottom w:w="100" w:type="dxa"/>
              <w:right w:w="140" w:type="dxa"/>
            </w:tcMar>
            <w:vAlign w:val="center"/>
          </w:tcPr>
          <w:p w14:paraId="45D33E7E" w14:textId="77777777" w:rsidR="007D487F" w:rsidRDefault="005B1B64">
            <w:pPr>
              <w:spacing w:line="280" w:lineRule="auto"/>
            </w:pPr>
            <w:r>
              <w:rPr>
                <w:color w:val="000000"/>
                <w:sz w:val="20"/>
                <w:szCs w:val="20"/>
              </w:rPr>
              <w:t>✓ Augmentation</w:t>
            </w:r>
          </w:p>
        </w:tc>
      </w:tr>
      <w:tr w:rsidR="007D487F" w14:paraId="05536B85" w14:textId="77777777" w:rsidTr="00A6629E">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4BB9975" w14:textId="77777777" w:rsidR="007D487F" w:rsidRDefault="005B1B64">
            <w:pPr>
              <w:spacing w:line="280" w:lineRule="auto"/>
            </w:pPr>
            <w:r>
              <w:rPr>
                <w:b/>
                <w:bCs/>
                <w:color w:val="000000"/>
                <w:sz w:val="20"/>
                <w:szCs w:val="20"/>
              </w:rPr>
              <w:t>Evidencia</w:t>
            </w:r>
          </w:p>
        </w:tc>
        <w:tc>
          <w:tcPr>
            <w:tcW w:w="1530" w:type="dxa"/>
            <w:tcBorders>
              <w:top w:val="single" w:sz="4" w:space="0" w:color="CCCCCC"/>
              <w:left w:val="single" w:sz="4" w:space="0" w:color="CCCCCC"/>
              <w:bottom w:val="single" w:sz="4" w:space="0" w:color="CCCCCC"/>
              <w:right w:val="single" w:sz="4" w:space="0" w:color="CCCCCC"/>
            </w:tcBorders>
            <w:shd w:val="clear" w:color="auto" w:fill="F2D3D8"/>
            <w:tcMar>
              <w:top w:w="100" w:type="dxa"/>
              <w:left w:w="140" w:type="dxa"/>
              <w:bottom w:w="100" w:type="dxa"/>
              <w:right w:w="140" w:type="dxa"/>
            </w:tcMar>
            <w:vAlign w:val="center"/>
          </w:tcPr>
          <w:p w14:paraId="1BFAFB51" w14:textId="77777777" w:rsidR="007D487F" w:rsidRDefault="005B1B64">
            <w:pPr>
              <w:spacing w:line="280" w:lineRule="auto"/>
            </w:pPr>
            <w:r>
              <w:rPr>
                <w:color w:val="000000"/>
                <w:sz w:val="20"/>
                <w:szCs w:val="20"/>
              </w:rPr>
              <w:t>✗ Casos sintéticos</w:t>
            </w:r>
          </w:p>
        </w:tc>
        <w:tc>
          <w:tcPr>
            <w:tcW w:w="1530" w:type="dxa"/>
            <w:tcBorders>
              <w:top w:val="single" w:sz="4" w:space="0" w:color="CCCCCC"/>
              <w:left w:val="single" w:sz="4" w:space="0" w:color="CCCCCC"/>
              <w:bottom w:val="single" w:sz="4" w:space="0" w:color="CCCCCC"/>
              <w:right w:val="single" w:sz="4" w:space="0" w:color="CCCCCC"/>
            </w:tcBorders>
            <w:shd w:val="clear" w:color="auto" w:fill="F8E9D5"/>
            <w:tcMar>
              <w:top w:w="100" w:type="dxa"/>
              <w:left w:w="140" w:type="dxa"/>
              <w:bottom w:w="100" w:type="dxa"/>
              <w:right w:w="140" w:type="dxa"/>
            </w:tcMar>
            <w:vAlign w:val="center"/>
          </w:tcPr>
          <w:p w14:paraId="068815CA" w14:textId="77777777" w:rsidR="007D487F" w:rsidRDefault="005B1B64">
            <w:pPr>
              <w:spacing w:line="280" w:lineRule="auto"/>
            </w:pPr>
            <w:r>
              <w:rPr>
                <w:color w:val="000000"/>
                <w:sz w:val="20"/>
                <w:szCs w:val="20"/>
              </w:rPr>
              <w:t xml:space="preserve">◐ </w:t>
            </w:r>
            <w:proofErr w:type="spellStart"/>
            <w:r>
              <w:rPr>
                <w:color w:val="000000"/>
                <w:sz w:val="20"/>
                <w:szCs w:val="20"/>
              </w:rPr>
              <w:t>In-sample</w:t>
            </w:r>
            <w:proofErr w:type="spellEnd"/>
          </w:p>
        </w:tc>
        <w:tc>
          <w:tcPr>
            <w:tcW w:w="1530" w:type="dxa"/>
            <w:tcBorders>
              <w:top w:val="single" w:sz="4" w:space="0" w:color="CCCCCC"/>
              <w:left w:val="single" w:sz="4" w:space="0" w:color="CCCCCC"/>
              <w:bottom w:val="single" w:sz="4" w:space="0" w:color="CCCCCC"/>
              <w:right w:val="single" w:sz="4" w:space="0" w:color="CCCCCC"/>
            </w:tcBorders>
            <w:shd w:val="clear" w:color="auto" w:fill="F8E9D5"/>
            <w:tcMar>
              <w:top w:w="100" w:type="dxa"/>
              <w:left w:w="140" w:type="dxa"/>
              <w:bottom w:w="100" w:type="dxa"/>
              <w:right w:w="140" w:type="dxa"/>
            </w:tcMar>
            <w:vAlign w:val="center"/>
          </w:tcPr>
          <w:p w14:paraId="2DB8A52D" w14:textId="77777777" w:rsidR="007D487F" w:rsidRDefault="005B1B64">
            <w:pPr>
              <w:spacing w:line="280" w:lineRule="auto"/>
            </w:pPr>
            <w:r>
              <w:rPr>
                <w:color w:val="000000"/>
                <w:sz w:val="20"/>
                <w:szCs w:val="20"/>
              </w:rPr>
              <w:t>◐ Parcial</w:t>
            </w:r>
          </w:p>
        </w:tc>
        <w:tc>
          <w:tcPr>
            <w:tcW w:w="1360" w:type="dxa"/>
            <w:tcBorders>
              <w:top w:val="single" w:sz="4" w:space="0" w:color="CCCCCC"/>
              <w:left w:val="single" w:sz="4" w:space="0" w:color="CCCCCC"/>
              <w:bottom w:val="single" w:sz="4" w:space="0" w:color="CCCCCC"/>
              <w:right w:val="single" w:sz="4" w:space="0" w:color="CCCCCC"/>
            </w:tcBorders>
            <w:shd w:val="clear" w:color="auto" w:fill="EAF1E8"/>
            <w:tcMar>
              <w:top w:w="100" w:type="dxa"/>
              <w:left w:w="140" w:type="dxa"/>
              <w:bottom w:w="100" w:type="dxa"/>
              <w:right w:w="140" w:type="dxa"/>
            </w:tcMar>
            <w:vAlign w:val="center"/>
          </w:tcPr>
          <w:p w14:paraId="1FA56B11" w14:textId="77777777" w:rsidR="007D487F" w:rsidRDefault="005B1B64">
            <w:pPr>
              <w:spacing w:line="280" w:lineRule="auto"/>
            </w:pPr>
            <w:r>
              <w:rPr>
                <w:color w:val="000000"/>
                <w:sz w:val="20"/>
                <w:szCs w:val="20"/>
              </w:rPr>
              <w:t xml:space="preserve">✓ CASP14 + </w:t>
            </w:r>
            <w:proofErr w:type="spellStart"/>
            <w:r>
              <w:rPr>
                <w:color w:val="000000"/>
                <w:sz w:val="20"/>
                <w:szCs w:val="20"/>
              </w:rPr>
              <w:t>paper</w:t>
            </w:r>
            <w:proofErr w:type="spellEnd"/>
          </w:p>
        </w:tc>
        <w:tc>
          <w:tcPr>
            <w:tcW w:w="1700" w:type="dxa"/>
            <w:tcBorders>
              <w:top w:val="single" w:sz="4" w:space="0" w:color="CCCCCC"/>
              <w:left w:val="single" w:sz="4" w:space="0" w:color="CCCCCC"/>
              <w:bottom w:val="single" w:sz="4" w:space="0" w:color="CCCCCC"/>
              <w:right w:val="single" w:sz="4" w:space="0" w:color="CCCCCC"/>
            </w:tcBorders>
            <w:shd w:val="clear" w:color="auto" w:fill="EAF1E8"/>
            <w:tcMar>
              <w:top w:w="100" w:type="dxa"/>
              <w:left w:w="140" w:type="dxa"/>
              <w:bottom w:w="100" w:type="dxa"/>
              <w:right w:w="140" w:type="dxa"/>
            </w:tcMar>
            <w:vAlign w:val="center"/>
          </w:tcPr>
          <w:p w14:paraId="28093C1A" w14:textId="77777777" w:rsidR="007D487F" w:rsidRDefault="005B1B64">
            <w:pPr>
              <w:spacing w:line="280" w:lineRule="auto"/>
            </w:pPr>
            <w:r>
              <w:rPr>
                <w:color w:val="000000"/>
                <w:sz w:val="20"/>
                <w:szCs w:val="20"/>
              </w:rPr>
              <w:t>✓ Experimentos</w:t>
            </w:r>
          </w:p>
        </w:tc>
      </w:tr>
      <w:tr w:rsidR="007D487F" w14:paraId="1BF0A85F" w14:textId="77777777" w:rsidTr="00A6629E">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C507806" w14:textId="77777777" w:rsidR="007D487F" w:rsidRDefault="005B1B64">
            <w:pPr>
              <w:spacing w:line="280" w:lineRule="auto"/>
            </w:pPr>
            <w:r>
              <w:rPr>
                <w:b/>
                <w:bCs/>
                <w:color w:val="000000"/>
                <w:sz w:val="20"/>
                <w:szCs w:val="20"/>
              </w:rPr>
              <w:t>Alcance</w:t>
            </w:r>
          </w:p>
        </w:tc>
        <w:tc>
          <w:tcPr>
            <w:tcW w:w="1530" w:type="dxa"/>
            <w:tcBorders>
              <w:top w:val="single" w:sz="4" w:space="0" w:color="CCCCCC"/>
              <w:left w:val="single" w:sz="4" w:space="0" w:color="CCCCCC"/>
              <w:bottom w:val="single" w:sz="4" w:space="0" w:color="CCCCCC"/>
              <w:right w:val="single" w:sz="4" w:space="0" w:color="CCCCCC"/>
            </w:tcBorders>
            <w:shd w:val="clear" w:color="auto" w:fill="F2D3D8"/>
            <w:tcMar>
              <w:top w:w="100" w:type="dxa"/>
              <w:left w:w="140" w:type="dxa"/>
              <w:bottom w:w="100" w:type="dxa"/>
              <w:right w:w="140" w:type="dxa"/>
            </w:tcMar>
            <w:vAlign w:val="center"/>
          </w:tcPr>
          <w:p w14:paraId="66196C8C" w14:textId="77777777" w:rsidR="007D487F" w:rsidRDefault="005B1B64">
            <w:pPr>
              <w:spacing w:line="280" w:lineRule="auto"/>
            </w:pPr>
            <w:r>
              <w:rPr>
                <w:color w:val="000000"/>
                <w:sz w:val="20"/>
                <w:szCs w:val="20"/>
              </w:rPr>
              <w:t>✗ Cambiante</w:t>
            </w:r>
          </w:p>
        </w:tc>
        <w:tc>
          <w:tcPr>
            <w:tcW w:w="1530" w:type="dxa"/>
            <w:tcBorders>
              <w:top w:val="single" w:sz="4" w:space="0" w:color="CCCCCC"/>
              <w:left w:val="single" w:sz="4" w:space="0" w:color="CCCCCC"/>
              <w:bottom w:val="single" w:sz="4" w:space="0" w:color="CCCCCC"/>
              <w:right w:val="single" w:sz="4" w:space="0" w:color="CCCCCC"/>
            </w:tcBorders>
            <w:shd w:val="clear" w:color="auto" w:fill="F2D3D8"/>
            <w:tcMar>
              <w:top w:w="100" w:type="dxa"/>
              <w:left w:w="140" w:type="dxa"/>
              <w:bottom w:w="100" w:type="dxa"/>
              <w:right w:w="140" w:type="dxa"/>
            </w:tcMar>
            <w:vAlign w:val="center"/>
          </w:tcPr>
          <w:p w14:paraId="78662620" w14:textId="77777777" w:rsidR="007D487F" w:rsidRDefault="005B1B64">
            <w:pPr>
              <w:spacing w:line="280" w:lineRule="auto"/>
            </w:pPr>
            <w:r>
              <w:rPr>
                <w:color w:val="000000"/>
                <w:sz w:val="20"/>
                <w:szCs w:val="20"/>
              </w:rPr>
              <w:t>✗ Acelerado</w:t>
            </w:r>
          </w:p>
        </w:tc>
        <w:tc>
          <w:tcPr>
            <w:tcW w:w="1530" w:type="dxa"/>
            <w:tcBorders>
              <w:top w:val="single" w:sz="4" w:space="0" w:color="CCCCCC"/>
              <w:left w:val="single" w:sz="4" w:space="0" w:color="CCCCCC"/>
              <w:bottom w:val="single" w:sz="4" w:space="0" w:color="CCCCCC"/>
              <w:right w:val="single" w:sz="4" w:space="0" w:color="CCCCCC"/>
            </w:tcBorders>
            <w:shd w:val="clear" w:color="auto" w:fill="F8E9D5"/>
            <w:tcMar>
              <w:top w:w="100" w:type="dxa"/>
              <w:left w:w="140" w:type="dxa"/>
              <w:bottom w:w="100" w:type="dxa"/>
              <w:right w:w="140" w:type="dxa"/>
            </w:tcMar>
            <w:vAlign w:val="center"/>
          </w:tcPr>
          <w:p w14:paraId="01D18FB7" w14:textId="77777777" w:rsidR="007D487F" w:rsidRDefault="005B1B64">
            <w:pPr>
              <w:spacing w:line="280" w:lineRule="auto"/>
            </w:pPr>
            <w:r>
              <w:rPr>
                <w:color w:val="000000"/>
                <w:sz w:val="20"/>
                <w:szCs w:val="20"/>
              </w:rPr>
              <w:t>◐ Despliegue</w:t>
            </w:r>
          </w:p>
        </w:tc>
        <w:tc>
          <w:tcPr>
            <w:tcW w:w="1360" w:type="dxa"/>
            <w:tcBorders>
              <w:top w:val="single" w:sz="4" w:space="0" w:color="CCCCCC"/>
              <w:left w:val="single" w:sz="4" w:space="0" w:color="CCCCCC"/>
              <w:bottom w:val="single" w:sz="4" w:space="0" w:color="CCCCCC"/>
              <w:right w:val="single" w:sz="4" w:space="0" w:color="CCCCCC"/>
            </w:tcBorders>
            <w:shd w:val="clear" w:color="auto" w:fill="EAF1E8"/>
            <w:tcMar>
              <w:top w:w="100" w:type="dxa"/>
              <w:left w:w="140" w:type="dxa"/>
              <w:bottom w:w="100" w:type="dxa"/>
              <w:right w:w="140" w:type="dxa"/>
            </w:tcMar>
            <w:vAlign w:val="center"/>
          </w:tcPr>
          <w:p w14:paraId="5F831D25" w14:textId="77777777" w:rsidR="007D487F" w:rsidRDefault="005B1B64">
            <w:pPr>
              <w:spacing w:line="280" w:lineRule="auto"/>
            </w:pPr>
            <w:r>
              <w:rPr>
                <w:color w:val="000000"/>
                <w:sz w:val="20"/>
                <w:szCs w:val="20"/>
              </w:rPr>
              <w:t>✓ Limitado</w:t>
            </w:r>
          </w:p>
        </w:tc>
        <w:tc>
          <w:tcPr>
            <w:tcW w:w="1700" w:type="dxa"/>
            <w:tcBorders>
              <w:top w:val="single" w:sz="4" w:space="0" w:color="CCCCCC"/>
              <w:left w:val="single" w:sz="4" w:space="0" w:color="CCCCCC"/>
              <w:bottom w:val="single" w:sz="4" w:space="0" w:color="CCCCCC"/>
              <w:right w:val="single" w:sz="4" w:space="0" w:color="CCCCCC"/>
            </w:tcBorders>
            <w:shd w:val="clear" w:color="auto" w:fill="EAF1E8"/>
            <w:tcMar>
              <w:top w:w="100" w:type="dxa"/>
              <w:left w:w="140" w:type="dxa"/>
              <w:bottom w:w="100" w:type="dxa"/>
              <w:right w:w="140" w:type="dxa"/>
            </w:tcMar>
            <w:vAlign w:val="center"/>
          </w:tcPr>
          <w:p w14:paraId="44020117" w14:textId="77777777" w:rsidR="007D487F" w:rsidRDefault="005B1B64">
            <w:pPr>
              <w:spacing w:line="280" w:lineRule="auto"/>
            </w:pPr>
            <w:r>
              <w:rPr>
                <w:color w:val="000000"/>
                <w:sz w:val="20"/>
                <w:szCs w:val="20"/>
              </w:rPr>
              <w:t>✓ Una tarea</w:t>
            </w:r>
          </w:p>
        </w:tc>
      </w:tr>
      <w:tr w:rsidR="007D487F" w14:paraId="5AC60D4B" w14:textId="77777777" w:rsidTr="00A6629E">
        <w:tblPrEx>
          <w:tblCellMar>
            <w:top w:w="0" w:type="dxa"/>
            <w:bottom w:w="0" w:type="dxa"/>
          </w:tblCellMar>
        </w:tblPrEx>
        <w:tc>
          <w:tcPr>
            <w:tcW w:w="1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A781641" w14:textId="77777777" w:rsidR="007D487F" w:rsidRDefault="005B1B64">
            <w:pPr>
              <w:spacing w:line="280" w:lineRule="auto"/>
            </w:pPr>
            <w:r>
              <w:rPr>
                <w:b/>
                <w:bCs/>
                <w:color w:val="000000"/>
                <w:sz w:val="20"/>
                <w:szCs w:val="20"/>
              </w:rPr>
              <w:t>Resultado</w:t>
            </w:r>
          </w:p>
        </w:tc>
        <w:tc>
          <w:tcPr>
            <w:tcW w:w="1530" w:type="dxa"/>
            <w:tcBorders>
              <w:top w:val="single" w:sz="4" w:space="0" w:color="CCCCCC"/>
              <w:left w:val="single" w:sz="4" w:space="0" w:color="CCCCCC"/>
              <w:bottom w:val="single" w:sz="4" w:space="0" w:color="CCCCCC"/>
              <w:right w:val="single" w:sz="4" w:space="0" w:color="CCCCCC"/>
            </w:tcBorders>
            <w:shd w:val="clear" w:color="auto" w:fill="F2D3D8"/>
            <w:tcMar>
              <w:top w:w="100" w:type="dxa"/>
              <w:left w:w="140" w:type="dxa"/>
              <w:bottom w:w="100" w:type="dxa"/>
              <w:right w:w="140" w:type="dxa"/>
            </w:tcMar>
            <w:vAlign w:val="center"/>
          </w:tcPr>
          <w:p w14:paraId="6BFAC255" w14:textId="77777777" w:rsidR="007D487F" w:rsidRDefault="005B1B64">
            <w:pPr>
              <w:spacing w:line="280" w:lineRule="auto"/>
            </w:pPr>
            <w:r>
              <w:rPr>
                <w:color w:val="000000"/>
                <w:sz w:val="20"/>
                <w:szCs w:val="20"/>
              </w:rPr>
              <w:t>✗ Cancelado</w:t>
            </w:r>
          </w:p>
        </w:tc>
        <w:tc>
          <w:tcPr>
            <w:tcW w:w="1530" w:type="dxa"/>
            <w:tcBorders>
              <w:top w:val="single" w:sz="4" w:space="0" w:color="CCCCCC"/>
              <w:left w:val="single" w:sz="4" w:space="0" w:color="CCCCCC"/>
              <w:bottom w:val="single" w:sz="4" w:space="0" w:color="CCCCCC"/>
              <w:right w:val="single" w:sz="4" w:space="0" w:color="CCCCCC"/>
            </w:tcBorders>
            <w:shd w:val="clear" w:color="auto" w:fill="F2D3D8"/>
            <w:tcMar>
              <w:top w:w="100" w:type="dxa"/>
              <w:left w:w="140" w:type="dxa"/>
              <w:bottom w:w="100" w:type="dxa"/>
              <w:right w:w="140" w:type="dxa"/>
            </w:tcMar>
            <w:vAlign w:val="center"/>
          </w:tcPr>
          <w:p w14:paraId="0DFE2780" w14:textId="77777777" w:rsidR="007D487F" w:rsidRDefault="005B1B64">
            <w:pPr>
              <w:spacing w:line="280" w:lineRule="auto"/>
            </w:pPr>
            <w:r>
              <w:rPr>
                <w:color w:val="000000"/>
                <w:sz w:val="20"/>
                <w:szCs w:val="20"/>
              </w:rPr>
              <w:t>✗ Cierre + 500M</w:t>
            </w:r>
          </w:p>
        </w:tc>
        <w:tc>
          <w:tcPr>
            <w:tcW w:w="1530" w:type="dxa"/>
            <w:tcBorders>
              <w:top w:val="single" w:sz="4" w:space="0" w:color="CCCCCC"/>
              <w:left w:val="single" w:sz="4" w:space="0" w:color="CCCCCC"/>
              <w:bottom w:val="single" w:sz="4" w:space="0" w:color="CCCCCC"/>
              <w:right w:val="single" w:sz="4" w:space="0" w:color="CCCCCC"/>
            </w:tcBorders>
            <w:shd w:val="clear" w:color="auto" w:fill="F2D3D8"/>
            <w:tcMar>
              <w:top w:w="100" w:type="dxa"/>
              <w:left w:w="140" w:type="dxa"/>
              <w:bottom w:w="100" w:type="dxa"/>
              <w:right w:w="140" w:type="dxa"/>
            </w:tcMar>
            <w:vAlign w:val="center"/>
          </w:tcPr>
          <w:p w14:paraId="6A3E0D46" w14:textId="77777777" w:rsidR="007D487F" w:rsidRDefault="005B1B64">
            <w:pPr>
              <w:spacing w:line="280" w:lineRule="auto"/>
            </w:pPr>
            <w:r>
              <w:rPr>
                <w:color w:val="000000"/>
                <w:sz w:val="20"/>
                <w:szCs w:val="20"/>
              </w:rPr>
              <w:t>✗ Litigios</w:t>
            </w:r>
          </w:p>
        </w:tc>
        <w:tc>
          <w:tcPr>
            <w:tcW w:w="1360" w:type="dxa"/>
            <w:tcBorders>
              <w:top w:val="single" w:sz="4" w:space="0" w:color="CCCCCC"/>
              <w:left w:val="single" w:sz="4" w:space="0" w:color="CCCCCC"/>
              <w:bottom w:val="single" w:sz="4" w:space="0" w:color="CCCCCC"/>
              <w:right w:val="single" w:sz="4" w:space="0" w:color="CCCCCC"/>
            </w:tcBorders>
            <w:shd w:val="clear" w:color="auto" w:fill="EAF1E8"/>
            <w:tcMar>
              <w:top w:w="100" w:type="dxa"/>
              <w:left w:w="140" w:type="dxa"/>
              <w:bottom w:w="100" w:type="dxa"/>
              <w:right w:w="140" w:type="dxa"/>
            </w:tcMar>
            <w:vAlign w:val="center"/>
          </w:tcPr>
          <w:p w14:paraId="699023F9" w14:textId="77777777" w:rsidR="007D487F" w:rsidRDefault="005B1B64">
            <w:pPr>
              <w:spacing w:line="280" w:lineRule="auto"/>
            </w:pPr>
            <w:r>
              <w:rPr>
                <w:color w:val="000000"/>
                <w:sz w:val="20"/>
                <w:szCs w:val="20"/>
              </w:rPr>
              <w:t>✓ Premio Nobel</w:t>
            </w:r>
          </w:p>
        </w:tc>
        <w:tc>
          <w:tcPr>
            <w:tcW w:w="1700" w:type="dxa"/>
            <w:tcBorders>
              <w:top w:val="single" w:sz="4" w:space="0" w:color="CCCCCC"/>
              <w:left w:val="single" w:sz="4" w:space="0" w:color="CCCCCC"/>
              <w:bottom w:val="single" w:sz="4" w:space="0" w:color="CCCCCC"/>
              <w:right w:val="single" w:sz="4" w:space="0" w:color="CCCCCC"/>
            </w:tcBorders>
            <w:shd w:val="clear" w:color="auto" w:fill="EAF1E8"/>
            <w:tcMar>
              <w:top w:w="100" w:type="dxa"/>
              <w:left w:w="140" w:type="dxa"/>
              <w:bottom w:w="100" w:type="dxa"/>
              <w:right w:w="140" w:type="dxa"/>
            </w:tcMar>
            <w:vAlign w:val="center"/>
          </w:tcPr>
          <w:p w14:paraId="59C0F6B9" w14:textId="77777777" w:rsidR="007D487F" w:rsidRDefault="005B1B64">
            <w:pPr>
              <w:spacing w:line="280" w:lineRule="auto"/>
            </w:pPr>
            <w:r>
              <w:rPr>
                <w:color w:val="000000"/>
                <w:sz w:val="20"/>
                <w:szCs w:val="20"/>
              </w:rPr>
              <w:t>✓ 20M usuarios</w:t>
            </w:r>
          </w:p>
        </w:tc>
      </w:tr>
    </w:tbl>
    <w:p w14:paraId="7AF8DA46" w14:textId="77777777" w:rsidR="007D487F" w:rsidRDefault="005B1B64">
      <w:pPr>
        <w:spacing w:before="100" w:after="200" w:line="280" w:lineRule="auto"/>
        <w:jc w:val="center"/>
      </w:pPr>
      <w:r>
        <w:rPr>
          <w:i/>
          <w:iCs/>
          <w:color w:val="595959"/>
          <w:sz w:val="20"/>
          <w:szCs w:val="20"/>
        </w:rPr>
        <w:t>Tabla 7. Matriz comparativa de los cinco casos sobre las seis dimensiones del marco metodológico. Verde claro = fortaleza · Naranja = ambiguo · Rojo claro = debilidad. Elaboración propia.</w:t>
      </w:r>
    </w:p>
    <w:p w14:paraId="37DA9C14" w14:textId="77777777" w:rsidR="007D487F" w:rsidRDefault="005B1B64">
      <w:pPr>
        <w:spacing w:before="240" w:after="140" w:line="320" w:lineRule="auto"/>
      </w:pPr>
      <w:r>
        <w:rPr>
          <w:b/>
          <w:bCs/>
          <w:color w:val="7B1A2F"/>
          <w:sz w:val="24"/>
          <w:szCs w:val="24"/>
        </w:rPr>
        <w:t>5.2. Patrones identificados</w:t>
      </w:r>
    </w:p>
    <w:p w14:paraId="58A26D6D" w14:textId="77777777" w:rsidR="007D487F" w:rsidRDefault="005B1B64">
      <w:pPr>
        <w:spacing w:before="180" w:after="100" w:line="320" w:lineRule="auto"/>
      </w:pPr>
      <w:r>
        <w:rPr>
          <w:b/>
          <w:bCs/>
          <w:i/>
          <w:iCs/>
        </w:rPr>
        <w:t>5.2.1. Patrón de fracaso: alcance amplio</w:t>
      </w:r>
      <w:r>
        <w:rPr>
          <w:b/>
          <w:bCs/>
          <w:i/>
          <w:iCs/>
        </w:rPr>
        <w:t xml:space="preserve"> + narrativa de </w:t>
      </w:r>
      <w:proofErr w:type="spellStart"/>
      <w:r>
        <w:rPr>
          <w:b/>
          <w:bCs/>
          <w:i/>
          <w:iCs/>
        </w:rPr>
        <w:t>hype</w:t>
      </w:r>
      <w:proofErr w:type="spellEnd"/>
    </w:p>
    <w:p w14:paraId="6A4CD758" w14:textId="77777777" w:rsidR="007D487F" w:rsidRDefault="005B1B64">
      <w:pPr>
        <w:spacing w:before="80" w:after="80" w:line="320" w:lineRule="auto"/>
        <w:jc w:val="both"/>
      </w:pPr>
      <w:r>
        <w:rPr>
          <w:color w:val="000000"/>
        </w:rPr>
        <w:t>Los tres casos fallidos comparten dos características que se refuerzan mutuamente: alcance que crece o cambia durante el desarrollo, y narrativa pública que promete más de lo que la evidencia permite sostener. Watson buscó "erradicar e</w:t>
      </w:r>
      <w:r>
        <w:rPr>
          <w:color w:val="000000"/>
        </w:rPr>
        <w:t xml:space="preserve">l cáncer" mientras cambiaba de leucemia a pulmón; </w:t>
      </w:r>
      <w:proofErr w:type="spellStart"/>
      <w:r>
        <w:rPr>
          <w:color w:val="000000"/>
        </w:rPr>
        <w:t>Zillow</w:t>
      </w:r>
      <w:proofErr w:type="spellEnd"/>
      <w:r>
        <w:rPr>
          <w:color w:val="000000"/>
        </w:rPr>
        <w:t xml:space="preserve"> buscó volverse "</w:t>
      </w:r>
      <w:proofErr w:type="spellStart"/>
      <w:r>
        <w:rPr>
          <w:color w:val="000000"/>
        </w:rPr>
        <w:t>market</w:t>
      </w:r>
      <w:proofErr w:type="spellEnd"/>
      <w:r>
        <w:rPr>
          <w:color w:val="000000"/>
        </w:rPr>
        <w:t xml:space="preserve"> </w:t>
      </w:r>
      <w:proofErr w:type="spellStart"/>
      <w:r>
        <w:rPr>
          <w:color w:val="000000"/>
        </w:rPr>
        <w:t>maker</w:t>
      </w:r>
      <w:proofErr w:type="spellEnd"/>
      <w:r>
        <w:rPr>
          <w:color w:val="000000"/>
        </w:rPr>
        <w:t>" mientras escalaba de cientos a miles de compras trimestrales sin recalibrar; COMPAS buscó objetividad estadística mientras desplegaba un modelo propietario sin auditoría</w:t>
      </w:r>
      <w:r>
        <w:rPr>
          <w:color w:val="000000"/>
        </w:rPr>
        <w:t xml:space="preserve">. La narrativa amplia y el alcance creciente son síntomas de la misma enfermedad: la incapacidad institucional de decir "este sistema hace esto y no hace aquello". Davenport y </w:t>
      </w:r>
      <w:proofErr w:type="spellStart"/>
      <w:r>
        <w:rPr>
          <w:color w:val="000000"/>
        </w:rPr>
        <w:t>Ronanki</w:t>
      </w:r>
      <w:proofErr w:type="spellEnd"/>
      <w:r>
        <w:rPr>
          <w:color w:val="000000"/>
        </w:rPr>
        <w:t xml:space="preserve"> (2018) lo documentan como "</w:t>
      </w:r>
      <w:proofErr w:type="spellStart"/>
      <w:r>
        <w:rPr>
          <w:color w:val="000000"/>
        </w:rPr>
        <w:t>moonshot</w:t>
      </w:r>
      <w:proofErr w:type="spellEnd"/>
      <w:r>
        <w:rPr>
          <w:color w:val="000000"/>
        </w:rPr>
        <w:t xml:space="preserve"> </w:t>
      </w:r>
      <w:proofErr w:type="spellStart"/>
      <w:r>
        <w:rPr>
          <w:color w:val="000000"/>
        </w:rPr>
        <w:t>fallacy</w:t>
      </w:r>
      <w:proofErr w:type="spellEnd"/>
      <w:r>
        <w:rPr>
          <w:color w:val="000000"/>
        </w:rPr>
        <w:t>": el error de tratar problem</w:t>
      </w:r>
      <w:r>
        <w:rPr>
          <w:color w:val="000000"/>
        </w:rPr>
        <w:t>as complejos con anuncios ambiciosos en lugar de hitos verificables.</w:t>
      </w:r>
    </w:p>
    <w:p w14:paraId="20EE48A0" w14:textId="77777777" w:rsidR="007D487F" w:rsidRDefault="005B1B64">
      <w:pPr>
        <w:spacing w:before="180" w:after="100" w:line="320" w:lineRule="auto"/>
      </w:pPr>
      <w:r>
        <w:rPr>
          <w:b/>
          <w:bCs/>
          <w:i/>
          <w:iCs/>
        </w:rPr>
        <w:t>5.2.2. Patrón de éxito: alcance estrecho + narrativa sobria + evidencia abierta</w:t>
      </w:r>
    </w:p>
    <w:p w14:paraId="7064ED0D" w14:textId="11779E7D" w:rsidR="007D487F" w:rsidRDefault="005B1B64">
      <w:pPr>
        <w:spacing w:before="80" w:after="80" w:line="320" w:lineRule="auto"/>
        <w:jc w:val="both"/>
      </w:pPr>
      <w:r>
        <w:rPr>
          <w:color w:val="000000"/>
        </w:rPr>
        <w:t>Los dos casos exitosos comparten lo opuesto: problema estrechamente acotado, narrativa sobria que evita len</w:t>
      </w:r>
      <w:r>
        <w:rPr>
          <w:color w:val="000000"/>
        </w:rPr>
        <w:t xml:space="preserve">guaje hiperbólico, evidencia validada externamente y publicación abierta de metodología y limitaciones. </w:t>
      </w:r>
      <w:proofErr w:type="spellStart"/>
      <w:r>
        <w:rPr>
          <w:color w:val="000000"/>
        </w:rPr>
        <w:t>AlphaFold</w:t>
      </w:r>
      <w:proofErr w:type="spellEnd"/>
      <w:r>
        <w:rPr>
          <w:color w:val="000000"/>
        </w:rPr>
        <w:t xml:space="preserve"> 2 ganó CASP14 antes de cualquier comunicado de prensa significativo, publicó código y suplementario completo, y dejó que el campo declarara la</w:t>
      </w:r>
      <w:r>
        <w:rPr>
          <w:color w:val="000000"/>
        </w:rPr>
        <w:t xml:space="preserve"> magnitud del avance. GitHub </w:t>
      </w:r>
      <w:proofErr w:type="spellStart"/>
      <w:r>
        <w:rPr>
          <w:color w:val="000000"/>
        </w:rPr>
        <w:t>Copilot</w:t>
      </w:r>
      <w:proofErr w:type="spellEnd"/>
      <w:r>
        <w:rPr>
          <w:color w:val="000000"/>
        </w:rPr>
        <w:t xml:space="preserve"> se presentó como "</w:t>
      </w:r>
      <w:proofErr w:type="spellStart"/>
      <w:r>
        <w:rPr>
          <w:color w:val="000000"/>
        </w:rPr>
        <w:t>pair</w:t>
      </w:r>
      <w:proofErr w:type="spellEnd"/>
      <w:r>
        <w:rPr>
          <w:color w:val="000000"/>
        </w:rPr>
        <w:t xml:space="preserve"> </w:t>
      </w:r>
      <w:proofErr w:type="spellStart"/>
      <w:r>
        <w:rPr>
          <w:color w:val="000000"/>
        </w:rPr>
        <w:t>programmer</w:t>
      </w:r>
      <w:proofErr w:type="spellEnd"/>
      <w:r>
        <w:rPr>
          <w:color w:val="000000"/>
        </w:rPr>
        <w:t xml:space="preserve">" desde el inicio, respaldado por experimento controlado y matizado por estudios </w:t>
      </w:r>
      <w:r>
        <w:rPr>
          <w:color w:val="000000"/>
        </w:rPr>
        <w:lastRenderedPageBreak/>
        <w:t>posteriores que reconocieron limitaciones. La fórmula es replicable y, lo que es relevante para nosotros,</w:t>
      </w:r>
      <w:r>
        <w:rPr>
          <w:color w:val="000000"/>
        </w:rPr>
        <w:t xml:space="preserve"> es exactamente la fórmula que el </w:t>
      </w:r>
      <w:r w:rsidR="00A6629E">
        <w:rPr>
          <w:color w:val="000000"/>
        </w:rPr>
        <w:t>Grupo</w:t>
      </w:r>
      <w:r>
        <w:rPr>
          <w:color w:val="000000"/>
        </w:rPr>
        <w:t xml:space="preserve"> puede adoptar para la presentación final del 9-15 de mayo de 2026.</w:t>
      </w:r>
    </w:p>
    <w:p w14:paraId="6AE6FE23" w14:textId="77777777" w:rsidR="007D487F" w:rsidRDefault="005B1B64">
      <w:pPr>
        <w:spacing w:before="180" w:after="100" w:line="320" w:lineRule="auto"/>
      </w:pPr>
      <w:r>
        <w:rPr>
          <w:b/>
          <w:bCs/>
          <w:i/>
          <w:iCs/>
        </w:rPr>
        <w:t>5.2.3. Patrón transversal: la calidad de la presentación predice el resultado</w:t>
      </w:r>
    </w:p>
    <w:p w14:paraId="3AB06CA4" w14:textId="7CEF245C" w:rsidR="007D487F" w:rsidRDefault="005B1B64">
      <w:pPr>
        <w:spacing w:before="80" w:after="80" w:line="320" w:lineRule="auto"/>
        <w:jc w:val="both"/>
      </w:pPr>
      <w:r>
        <w:rPr>
          <w:color w:val="000000"/>
        </w:rPr>
        <w:t xml:space="preserve">El </w:t>
      </w:r>
      <w:r w:rsidR="00A6629E">
        <w:rPr>
          <w:color w:val="000000"/>
        </w:rPr>
        <w:t>tema</w:t>
      </w:r>
      <w:r>
        <w:rPr>
          <w:color w:val="000000"/>
        </w:rPr>
        <w:t xml:space="preserve"> importante del análisis comparativo es que la calidad</w:t>
      </w:r>
      <w:r>
        <w:rPr>
          <w:color w:val="000000"/>
        </w:rPr>
        <w:t xml:space="preserve"> de la presentación inicial es un predictor sustantivo del resultado final del proyecto. Los proyectos que se presentaron con narrativa hiperbólica, evidencia débil y alcance ambiguo fracasaron; los proyectos que se presentaron con narrativa sobria, eviden</w:t>
      </w:r>
      <w:r>
        <w:rPr>
          <w:color w:val="000000"/>
        </w:rPr>
        <w:t>cia rigurosa y alcance limitado tuvieron éxito. La presentación no es un envoltorio del trabajo técnico: es un componente del trabajo técnico. Reynolds (2020) lo formula como principio: "una presentación honesta es una continuación natural de un proceso ho</w:t>
      </w:r>
      <w:r>
        <w:rPr>
          <w:color w:val="000000"/>
        </w:rPr>
        <w:t>nesto; una presentación deshonesta señala un proceso comprometido"</w:t>
      </w:r>
      <w:r>
        <w:rPr>
          <w:color w:val="000000"/>
        </w:rPr>
        <w:t>.</w:t>
      </w:r>
    </w:p>
    <w:p w14:paraId="1D44A706" w14:textId="77777777" w:rsidR="007D487F" w:rsidRDefault="005B1B64">
      <w:pPr>
        <w:spacing w:before="320" w:after="200" w:line="320" w:lineRule="auto"/>
      </w:pPr>
      <w:r>
        <w:rPr>
          <w:b/>
          <w:bCs/>
          <w:color w:val="7B1A2F"/>
          <w:sz w:val="28"/>
          <w:szCs w:val="28"/>
        </w:rPr>
        <w:t>6. Decálogo de buenas prácticas y aplicación al Proyecto Integrador</w:t>
      </w:r>
    </w:p>
    <w:p w14:paraId="6DC843AE" w14:textId="77777777" w:rsidR="007D487F" w:rsidRDefault="005B1B64">
      <w:pPr>
        <w:spacing w:before="240" w:after="140" w:line="320" w:lineRule="auto"/>
      </w:pPr>
      <w:r>
        <w:rPr>
          <w:b/>
          <w:bCs/>
          <w:color w:val="7B1A2F"/>
          <w:sz w:val="24"/>
          <w:szCs w:val="24"/>
        </w:rPr>
        <w:t>6.1. Decálogo extraído del análisis comparativo</w:t>
      </w:r>
    </w:p>
    <w:p w14:paraId="36D95463" w14:textId="77777777" w:rsidR="007D487F" w:rsidRDefault="005B1B64">
      <w:pPr>
        <w:spacing w:before="80" w:after="80" w:line="320" w:lineRule="auto"/>
        <w:jc w:val="both"/>
      </w:pPr>
      <w:r>
        <w:rPr>
          <w:color w:val="000000"/>
        </w:rPr>
        <w:t>Los siguientes diez principios sintetizan las buenas prácticas extraídas del análisis comparativo. Cada principio se formula en imperativo o</w:t>
      </w:r>
      <w:r>
        <w:rPr>
          <w:color w:val="000000"/>
        </w:rPr>
        <w:t>perativo y se acompaña del caso o casos que lo respaldan empíricamente.</w:t>
      </w:r>
    </w:p>
    <w:p w14:paraId="4A871C47" w14:textId="77777777" w:rsidR="007D487F" w:rsidRDefault="005B1B64">
      <w:pPr>
        <w:pStyle w:val="Prrafodelista"/>
        <w:numPr>
          <w:ilvl w:val="0"/>
          <w:numId w:val="2"/>
        </w:numPr>
        <w:spacing w:before="60" w:after="60" w:line="320" w:lineRule="auto"/>
        <w:jc w:val="both"/>
      </w:pPr>
      <w:r>
        <w:rPr>
          <w:b/>
          <w:bCs/>
        </w:rPr>
        <w:t xml:space="preserve">1. Acota el problema antes de presentar la solución. </w:t>
      </w:r>
      <w:r>
        <w:t>Una presentación que dedique tres minutos a explicar exactamente qué problema resuelve es más fuerte que una que dedique veinte seg</w:t>
      </w:r>
      <w:r>
        <w:t>undos a un objetivo amplio (</w:t>
      </w:r>
      <w:proofErr w:type="spellStart"/>
      <w:r>
        <w:t>AlphaFold</w:t>
      </w:r>
      <w:proofErr w:type="spellEnd"/>
      <w:r>
        <w:t xml:space="preserve">, </w:t>
      </w:r>
      <w:proofErr w:type="spellStart"/>
      <w:r>
        <w:t>Copilot</w:t>
      </w:r>
      <w:proofErr w:type="spellEnd"/>
      <w:r>
        <w:t xml:space="preserve"> vs Watson).</w:t>
      </w:r>
    </w:p>
    <w:p w14:paraId="3C54A01E" w14:textId="77777777" w:rsidR="007D487F" w:rsidRDefault="005B1B64">
      <w:pPr>
        <w:pStyle w:val="Prrafodelista"/>
        <w:numPr>
          <w:ilvl w:val="0"/>
          <w:numId w:val="2"/>
        </w:numPr>
        <w:spacing w:before="60" w:after="60" w:line="320" w:lineRule="auto"/>
        <w:jc w:val="both"/>
      </w:pPr>
      <w:r>
        <w:rPr>
          <w:b/>
          <w:bCs/>
        </w:rPr>
        <w:t xml:space="preserve">2. Reporta evidencia, no anuncios. </w:t>
      </w:r>
      <w:r>
        <w:t>Cualquier afirmación de desempeño debe acompañarse de la métrica, el conjunto de validación y el intervalo de confianza (</w:t>
      </w:r>
      <w:proofErr w:type="spellStart"/>
      <w:r>
        <w:t>Peng</w:t>
      </w:r>
      <w:proofErr w:type="spellEnd"/>
      <w:r>
        <w:t xml:space="preserve"> et al., 2023; Jumper et al., 2021).</w:t>
      </w:r>
    </w:p>
    <w:p w14:paraId="158F6DF3" w14:textId="77777777" w:rsidR="007D487F" w:rsidRDefault="005B1B64">
      <w:pPr>
        <w:pStyle w:val="Prrafodelista"/>
        <w:numPr>
          <w:ilvl w:val="0"/>
          <w:numId w:val="2"/>
        </w:numPr>
        <w:spacing w:before="60" w:after="60" w:line="320" w:lineRule="auto"/>
        <w:jc w:val="both"/>
      </w:pPr>
      <w:r>
        <w:rPr>
          <w:b/>
          <w:bCs/>
        </w:rPr>
        <w:t xml:space="preserve">3. Desagrega el desempeño por subgrupo. </w:t>
      </w:r>
      <w:r>
        <w:t>Una métrica agregada oculta disparidades que cambian la valoración ética del sistema (lección crítica de COMPAS).</w:t>
      </w:r>
    </w:p>
    <w:p w14:paraId="3A79CEF5" w14:textId="77777777" w:rsidR="007D487F" w:rsidRDefault="005B1B64">
      <w:pPr>
        <w:pStyle w:val="Prrafodelista"/>
        <w:numPr>
          <w:ilvl w:val="0"/>
          <w:numId w:val="2"/>
        </w:numPr>
        <w:spacing w:before="60" w:after="60" w:line="320" w:lineRule="auto"/>
        <w:jc w:val="both"/>
      </w:pPr>
      <w:r>
        <w:rPr>
          <w:b/>
          <w:bCs/>
        </w:rPr>
        <w:t xml:space="preserve">4. Declara limitaciones explícitamente. </w:t>
      </w:r>
      <w:r>
        <w:t xml:space="preserve">No es debilidad </w:t>
      </w:r>
      <w:proofErr w:type="spellStart"/>
      <w:r>
        <w:t>presentacional</w:t>
      </w:r>
      <w:proofErr w:type="spellEnd"/>
      <w:r>
        <w:t>: es señal de madurez metodológi</w:t>
      </w:r>
      <w:r>
        <w:t xml:space="preserve">ca. </w:t>
      </w:r>
      <w:proofErr w:type="spellStart"/>
      <w:r>
        <w:t>AlphaFold</w:t>
      </w:r>
      <w:proofErr w:type="spellEnd"/>
      <w:r>
        <w:t xml:space="preserve"> publicó 60 páginas de limitaciones junto con el modelo.</w:t>
      </w:r>
    </w:p>
    <w:p w14:paraId="6E055203" w14:textId="77777777" w:rsidR="007D487F" w:rsidRDefault="005B1B64">
      <w:pPr>
        <w:pStyle w:val="Prrafodelista"/>
        <w:numPr>
          <w:ilvl w:val="0"/>
          <w:numId w:val="2"/>
        </w:numPr>
        <w:spacing w:before="60" w:after="60" w:line="320" w:lineRule="auto"/>
        <w:jc w:val="both"/>
      </w:pPr>
      <w:r>
        <w:rPr>
          <w:b/>
          <w:bCs/>
        </w:rPr>
        <w:t xml:space="preserve">5. Evita lenguaje hiperbólico. </w:t>
      </w:r>
      <w:r>
        <w:t xml:space="preserve">"Revoluciona", "soluciona", "cambia todo" son red </w:t>
      </w:r>
      <w:proofErr w:type="spellStart"/>
      <w:r>
        <w:t>flags</w:t>
      </w:r>
      <w:proofErr w:type="spellEnd"/>
      <w:r>
        <w:t>. El lenguaje sobrio comunica más confianza que el lenguaje hiperbólico (</w:t>
      </w:r>
      <w:proofErr w:type="spellStart"/>
      <w:r>
        <w:t>anti-patrón</w:t>
      </w:r>
      <w:proofErr w:type="spellEnd"/>
      <w:r>
        <w:t xml:space="preserve"> Watson).</w:t>
      </w:r>
    </w:p>
    <w:p w14:paraId="5D282217" w14:textId="77777777" w:rsidR="007D487F" w:rsidRDefault="005B1B64">
      <w:pPr>
        <w:pStyle w:val="Prrafodelista"/>
        <w:numPr>
          <w:ilvl w:val="0"/>
          <w:numId w:val="2"/>
        </w:numPr>
        <w:spacing w:before="60" w:after="60" w:line="320" w:lineRule="auto"/>
        <w:jc w:val="both"/>
      </w:pPr>
      <w:r>
        <w:rPr>
          <w:b/>
          <w:bCs/>
        </w:rPr>
        <w:t>6. Man</w:t>
      </w:r>
      <w:r>
        <w:rPr>
          <w:b/>
          <w:bCs/>
        </w:rPr>
        <w:t xml:space="preserve">tén consistencia entre objetivos y métricas. </w:t>
      </w:r>
      <w:r>
        <w:t>Si el objetivo es minimizar daño en grupos vulnerables, la métrica primaria debe ser desempeño en el peor subgrupo, no F1 macro promedio.</w:t>
      </w:r>
    </w:p>
    <w:p w14:paraId="67B0C6DC" w14:textId="77777777" w:rsidR="007D487F" w:rsidRDefault="005B1B64">
      <w:pPr>
        <w:pStyle w:val="Prrafodelista"/>
        <w:numPr>
          <w:ilvl w:val="0"/>
          <w:numId w:val="2"/>
        </w:numPr>
        <w:spacing w:before="60" w:after="60" w:line="320" w:lineRule="auto"/>
        <w:jc w:val="both"/>
      </w:pPr>
      <w:r>
        <w:rPr>
          <w:b/>
          <w:bCs/>
        </w:rPr>
        <w:lastRenderedPageBreak/>
        <w:t xml:space="preserve">7. Posiciona el sistema como augmentation, no </w:t>
      </w:r>
      <w:proofErr w:type="spellStart"/>
      <w:r>
        <w:rPr>
          <w:b/>
          <w:bCs/>
        </w:rPr>
        <w:t>automation</w:t>
      </w:r>
      <w:proofErr w:type="spellEnd"/>
      <w:r>
        <w:rPr>
          <w:b/>
          <w:bCs/>
        </w:rPr>
        <w:t xml:space="preserve">. </w:t>
      </w:r>
      <w:r>
        <w:t>Cuando hay auto</w:t>
      </w:r>
      <w:r>
        <w:t>ridad humana en el flujo, comunícalo explícitamente. La metáfora del "</w:t>
      </w:r>
      <w:proofErr w:type="spellStart"/>
      <w:r>
        <w:t>pair</w:t>
      </w:r>
      <w:proofErr w:type="spellEnd"/>
      <w:r>
        <w:t xml:space="preserve"> </w:t>
      </w:r>
      <w:proofErr w:type="spellStart"/>
      <w:r>
        <w:t>programmer</w:t>
      </w:r>
      <w:proofErr w:type="spellEnd"/>
      <w:r>
        <w:t xml:space="preserve">" funciona (lección de </w:t>
      </w:r>
      <w:proofErr w:type="spellStart"/>
      <w:r>
        <w:t>Copilot</w:t>
      </w:r>
      <w:proofErr w:type="spellEnd"/>
      <w:r>
        <w:t>).</w:t>
      </w:r>
    </w:p>
    <w:p w14:paraId="03C9E574" w14:textId="77777777" w:rsidR="007D487F" w:rsidRDefault="005B1B64">
      <w:pPr>
        <w:pStyle w:val="Prrafodelista"/>
        <w:numPr>
          <w:ilvl w:val="0"/>
          <w:numId w:val="2"/>
        </w:numPr>
        <w:spacing w:before="60" w:after="60" w:line="320" w:lineRule="auto"/>
        <w:jc w:val="both"/>
      </w:pPr>
      <w:r>
        <w:rPr>
          <w:b/>
          <w:bCs/>
        </w:rPr>
        <w:t xml:space="preserve">8. Abre código, datos y metodología en la medida posible. </w:t>
      </w:r>
      <w:r>
        <w:t xml:space="preserve">La reproducibilidad pública es un multiplicador de credibilidad y un escudo contra acusaciones de </w:t>
      </w:r>
      <w:proofErr w:type="spellStart"/>
      <w:r>
        <w:t>cherry-picking</w:t>
      </w:r>
      <w:proofErr w:type="spellEnd"/>
      <w:r>
        <w:t xml:space="preserve"> (lección de </w:t>
      </w:r>
      <w:proofErr w:type="spellStart"/>
      <w:r>
        <w:t>AlphaFold</w:t>
      </w:r>
      <w:proofErr w:type="spellEnd"/>
      <w:r>
        <w:t>).</w:t>
      </w:r>
    </w:p>
    <w:p w14:paraId="73744C75" w14:textId="77777777" w:rsidR="007D487F" w:rsidRDefault="005B1B64">
      <w:pPr>
        <w:pStyle w:val="Prrafodelista"/>
        <w:numPr>
          <w:ilvl w:val="0"/>
          <w:numId w:val="2"/>
        </w:numPr>
        <w:spacing w:before="60" w:after="60" w:line="320" w:lineRule="auto"/>
        <w:jc w:val="both"/>
      </w:pPr>
      <w:r>
        <w:rPr>
          <w:b/>
          <w:bCs/>
        </w:rPr>
        <w:t xml:space="preserve">9. Reconoce y dimensiona los riesgos detectados. </w:t>
      </w:r>
      <w:r>
        <w:t xml:space="preserve">En nuestro caso particular, comunicar abiertamente el data </w:t>
      </w:r>
      <w:proofErr w:type="spellStart"/>
      <w:r>
        <w:t>leakage</w:t>
      </w:r>
      <w:proofErr w:type="spellEnd"/>
      <w:r>
        <w:t xml:space="preserve"> det</w:t>
      </w:r>
      <w:r>
        <w:t>ectado y dimensionar su impacto es la única opción coherente con la integridad investigativa UEES.</w:t>
      </w:r>
    </w:p>
    <w:p w14:paraId="4FA622FB" w14:textId="77777777" w:rsidR="007D487F" w:rsidRDefault="005B1B64">
      <w:pPr>
        <w:pStyle w:val="Prrafodelista"/>
        <w:numPr>
          <w:ilvl w:val="0"/>
          <w:numId w:val="2"/>
        </w:numPr>
        <w:spacing w:before="60" w:after="60" w:line="320" w:lineRule="auto"/>
        <w:jc w:val="both"/>
      </w:pPr>
      <w:r>
        <w:rPr>
          <w:b/>
          <w:bCs/>
        </w:rPr>
        <w:t xml:space="preserve">10. Termina con próximos pasos verificables, no aspiraciones. </w:t>
      </w:r>
      <w:r>
        <w:t>Los próximos pasos deben ser concretos, fechados y observables. "Mejorar el modelo" es aspiraci</w:t>
      </w:r>
      <w:r>
        <w:t xml:space="preserve">ón; "reentrenar con </w:t>
      </w:r>
      <w:proofErr w:type="spellStart"/>
      <w:r>
        <w:t>embeddings</w:t>
      </w:r>
      <w:proofErr w:type="spellEnd"/>
      <w:r>
        <w:t xml:space="preserve"> </w:t>
      </w:r>
      <w:proofErr w:type="spellStart"/>
      <w:r>
        <w:t>CodeBERT</w:t>
      </w:r>
      <w:proofErr w:type="spellEnd"/>
      <w:r>
        <w:t xml:space="preserve"> y reportar </w:t>
      </w:r>
      <w:proofErr w:type="spellStart"/>
      <w:r>
        <w:t>fairness</w:t>
      </w:r>
      <w:proofErr w:type="spellEnd"/>
      <w:r>
        <w:t xml:space="preserve"> desagregada antes del 15 de mayo" es próximo paso verificable.</w:t>
      </w:r>
    </w:p>
    <w:p w14:paraId="3398E867" w14:textId="72CF4332" w:rsidR="007D487F" w:rsidRDefault="005B1B64">
      <w:pPr>
        <w:spacing w:before="240" w:after="140" w:line="320" w:lineRule="auto"/>
      </w:pPr>
      <w:r>
        <w:rPr>
          <w:b/>
          <w:bCs/>
          <w:color w:val="7B1A2F"/>
          <w:sz w:val="24"/>
          <w:szCs w:val="24"/>
        </w:rPr>
        <w:t xml:space="preserve">6.2. Aplicación al Proyecto Integrador del </w:t>
      </w:r>
      <w:r w:rsidR="00A6629E">
        <w:rPr>
          <w:b/>
          <w:bCs/>
          <w:color w:val="7B1A2F"/>
          <w:sz w:val="24"/>
          <w:szCs w:val="24"/>
        </w:rPr>
        <w:t>Grupo</w:t>
      </w:r>
    </w:p>
    <w:p w14:paraId="0C187C81" w14:textId="2195F2EE" w:rsidR="007D487F" w:rsidRDefault="005B1B64">
      <w:pPr>
        <w:spacing w:before="80" w:after="80" w:line="320" w:lineRule="auto"/>
        <w:jc w:val="both"/>
      </w:pPr>
      <w:r>
        <w:rPr>
          <w:color w:val="000000"/>
        </w:rPr>
        <w:t xml:space="preserve">La aplicación del decálogo al Proyecto Integrador del </w:t>
      </w:r>
      <w:r w:rsidR="00A6629E">
        <w:rPr>
          <w:color w:val="000000"/>
        </w:rPr>
        <w:t>Grupo</w:t>
      </w:r>
      <w:r>
        <w:rPr>
          <w:color w:val="000000"/>
        </w:rPr>
        <w:t xml:space="preserve"> se traduce en decisi</w:t>
      </w:r>
      <w:r>
        <w:rPr>
          <w:color w:val="000000"/>
        </w:rPr>
        <w:t>ones concretas para la presentación final ante el Comité Académico UEES, prevista para la semana 8 del cronograma (9-15 de mayo de 2026). La Tabla 8 articula cada principio del decálogo con su materialización específica en la presentación.</w:t>
      </w:r>
    </w:p>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7D487F" w:rsidRPr="00A6629E" w14:paraId="03F6D9BA" w14:textId="77777777">
        <w:tblPrEx>
          <w:tblCellMar>
            <w:top w:w="0" w:type="dxa"/>
            <w:bottom w:w="0" w:type="dxa"/>
          </w:tblCellMar>
        </w:tblPrEx>
        <w:trPr>
          <w:tblHeader/>
        </w:trPr>
        <w:tc>
          <w:tcPr>
            <w:tcW w:w="2300" w:type="dxa"/>
            <w:tcBorders>
              <w:top w:val="single" w:sz="4" w:space="0" w:color="CCCCCC"/>
              <w:left w:val="single" w:sz="4" w:space="0" w:color="CCCCCC"/>
              <w:bottom w:val="single" w:sz="4" w:space="0" w:color="CCCCCC"/>
              <w:right w:val="single" w:sz="4" w:space="0" w:color="CCCCCC"/>
            </w:tcBorders>
            <w:shd w:val="clear" w:color="auto" w:fill="EFE3E6"/>
            <w:tcMar>
              <w:top w:w="100" w:type="dxa"/>
              <w:left w:w="140" w:type="dxa"/>
              <w:bottom w:w="100" w:type="dxa"/>
              <w:right w:w="140" w:type="dxa"/>
            </w:tcMar>
            <w:vAlign w:val="center"/>
          </w:tcPr>
          <w:p w14:paraId="226D2679" w14:textId="77777777" w:rsidR="007D487F" w:rsidRPr="00A6629E" w:rsidRDefault="005B1B64" w:rsidP="00A6629E">
            <w:pPr>
              <w:rPr>
                <w:sz w:val="20"/>
                <w:szCs w:val="20"/>
              </w:rPr>
            </w:pPr>
            <w:r w:rsidRPr="00A6629E">
              <w:rPr>
                <w:b/>
                <w:bCs/>
                <w:color w:val="7B1A2F"/>
                <w:sz w:val="20"/>
                <w:szCs w:val="20"/>
              </w:rPr>
              <w:t>Principio</w:t>
            </w:r>
          </w:p>
        </w:tc>
        <w:tc>
          <w:tcPr>
            <w:tcW w:w="7060" w:type="dxa"/>
            <w:tcBorders>
              <w:top w:val="single" w:sz="4" w:space="0" w:color="CCCCCC"/>
              <w:left w:val="single" w:sz="4" w:space="0" w:color="CCCCCC"/>
              <w:bottom w:val="single" w:sz="4" w:space="0" w:color="CCCCCC"/>
              <w:right w:val="single" w:sz="4" w:space="0" w:color="CCCCCC"/>
            </w:tcBorders>
            <w:shd w:val="clear" w:color="auto" w:fill="EFE3E6"/>
            <w:tcMar>
              <w:top w:w="100" w:type="dxa"/>
              <w:left w:w="140" w:type="dxa"/>
              <w:bottom w:w="100" w:type="dxa"/>
              <w:right w:w="140" w:type="dxa"/>
            </w:tcMar>
            <w:vAlign w:val="center"/>
          </w:tcPr>
          <w:p w14:paraId="5069BFFB" w14:textId="77777777" w:rsidR="007D487F" w:rsidRPr="00A6629E" w:rsidRDefault="005B1B64" w:rsidP="00A6629E">
            <w:pPr>
              <w:rPr>
                <w:sz w:val="20"/>
                <w:szCs w:val="20"/>
              </w:rPr>
            </w:pPr>
            <w:r w:rsidRPr="00A6629E">
              <w:rPr>
                <w:b/>
                <w:bCs/>
                <w:color w:val="7B1A2F"/>
                <w:sz w:val="20"/>
                <w:szCs w:val="20"/>
              </w:rPr>
              <w:t>Aplica</w:t>
            </w:r>
            <w:r w:rsidRPr="00A6629E">
              <w:rPr>
                <w:b/>
                <w:bCs/>
                <w:color w:val="7B1A2F"/>
                <w:sz w:val="20"/>
                <w:szCs w:val="20"/>
              </w:rPr>
              <w:t>ción específica al Proyecto Integrador</w:t>
            </w:r>
          </w:p>
        </w:tc>
      </w:tr>
      <w:tr w:rsidR="007D487F" w:rsidRPr="00A6629E" w14:paraId="3214ECE8" w14:textId="77777777">
        <w:tblPrEx>
          <w:tblCellMar>
            <w:top w:w="0" w:type="dxa"/>
            <w:bottom w:w="0" w:type="dxa"/>
          </w:tblCellMar>
        </w:tblPrEx>
        <w:tc>
          <w:tcPr>
            <w:tcW w:w="23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300B6A5F" w14:textId="77777777" w:rsidR="007D487F" w:rsidRPr="00A6629E" w:rsidRDefault="005B1B64" w:rsidP="00A6629E">
            <w:pPr>
              <w:rPr>
                <w:sz w:val="20"/>
                <w:szCs w:val="20"/>
              </w:rPr>
            </w:pPr>
            <w:r w:rsidRPr="00A6629E">
              <w:rPr>
                <w:color w:val="000000"/>
                <w:sz w:val="20"/>
                <w:szCs w:val="20"/>
              </w:rPr>
              <w:t>1. Acotar problema</w:t>
            </w:r>
          </w:p>
        </w:tc>
        <w:tc>
          <w:tcPr>
            <w:tcW w:w="70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0FC8206" w14:textId="77777777" w:rsidR="007D487F" w:rsidRPr="00A6629E" w:rsidRDefault="005B1B64" w:rsidP="00A6629E">
            <w:pPr>
              <w:rPr>
                <w:sz w:val="20"/>
                <w:szCs w:val="20"/>
              </w:rPr>
            </w:pPr>
            <w:proofErr w:type="spellStart"/>
            <w:r w:rsidRPr="00A6629E">
              <w:rPr>
                <w:color w:val="000000"/>
                <w:sz w:val="20"/>
                <w:szCs w:val="20"/>
              </w:rPr>
              <w:t>Slide</w:t>
            </w:r>
            <w:proofErr w:type="spellEnd"/>
            <w:r w:rsidRPr="00A6629E">
              <w:rPr>
                <w:color w:val="000000"/>
                <w:sz w:val="20"/>
                <w:szCs w:val="20"/>
              </w:rPr>
              <w:t xml:space="preserve"> inicial: "Clasificación de dificultad SQL desde pregunta natural". No "revolucionar BI conversacional".</w:t>
            </w:r>
          </w:p>
        </w:tc>
      </w:tr>
      <w:tr w:rsidR="007D487F" w:rsidRPr="00A6629E" w14:paraId="40DE3237" w14:textId="77777777">
        <w:tblPrEx>
          <w:tblCellMar>
            <w:top w:w="0" w:type="dxa"/>
            <w:bottom w:w="0" w:type="dxa"/>
          </w:tblCellMar>
        </w:tblPrEx>
        <w:tc>
          <w:tcPr>
            <w:tcW w:w="23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7D15A1E" w14:textId="77777777" w:rsidR="007D487F" w:rsidRPr="00A6629E" w:rsidRDefault="005B1B64" w:rsidP="00A6629E">
            <w:pPr>
              <w:rPr>
                <w:sz w:val="20"/>
                <w:szCs w:val="20"/>
              </w:rPr>
            </w:pPr>
            <w:r w:rsidRPr="00A6629E">
              <w:rPr>
                <w:color w:val="000000"/>
                <w:sz w:val="20"/>
                <w:szCs w:val="20"/>
              </w:rPr>
              <w:t>2. Evidencia</w:t>
            </w:r>
          </w:p>
        </w:tc>
        <w:tc>
          <w:tcPr>
            <w:tcW w:w="70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57B28EE" w14:textId="77777777" w:rsidR="007D487F" w:rsidRPr="00A6629E" w:rsidRDefault="005B1B64" w:rsidP="00A6629E">
            <w:pPr>
              <w:rPr>
                <w:sz w:val="20"/>
                <w:szCs w:val="20"/>
              </w:rPr>
            </w:pPr>
            <w:r w:rsidRPr="00A6629E">
              <w:rPr>
                <w:color w:val="000000"/>
                <w:sz w:val="20"/>
                <w:szCs w:val="20"/>
              </w:rPr>
              <w:t xml:space="preserve">Cada métrica acompañada de su conjunto de validación: F1 macro = 0,5847 (val) y no agregado de </w:t>
            </w:r>
            <w:proofErr w:type="spellStart"/>
            <w:r w:rsidRPr="00A6629E">
              <w:rPr>
                <w:color w:val="000000"/>
                <w:sz w:val="20"/>
                <w:szCs w:val="20"/>
              </w:rPr>
              <w:t>train+val</w:t>
            </w:r>
            <w:proofErr w:type="spellEnd"/>
            <w:r w:rsidRPr="00A6629E">
              <w:rPr>
                <w:color w:val="000000"/>
                <w:sz w:val="20"/>
                <w:szCs w:val="20"/>
              </w:rPr>
              <w:t>.</w:t>
            </w:r>
          </w:p>
        </w:tc>
      </w:tr>
      <w:tr w:rsidR="007D487F" w:rsidRPr="00A6629E" w14:paraId="586D27B4" w14:textId="77777777">
        <w:tblPrEx>
          <w:tblCellMar>
            <w:top w:w="0" w:type="dxa"/>
            <w:bottom w:w="0" w:type="dxa"/>
          </w:tblCellMar>
        </w:tblPrEx>
        <w:tc>
          <w:tcPr>
            <w:tcW w:w="23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7393635" w14:textId="77777777" w:rsidR="007D487F" w:rsidRPr="00A6629E" w:rsidRDefault="005B1B64" w:rsidP="00A6629E">
            <w:pPr>
              <w:rPr>
                <w:sz w:val="20"/>
                <w:szCs w:val="20"/>
              </w:rPr>
            </w:pPr>
            <w:r w:rsidRPr="00A6629E">
              <w:rPr>
                <w:color w:val="000000"/>
                <w:sz w:val="20"/>
                <w:szCs w:val="20"/>
              </w:rPr>
              <w:t>3. Desagregación</w:t>
            </w:r>
          </w:p>
        </w:tc>
        <w:tc>
          <w:tcPr>
            <w:tcW w:w="70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8E15B01" w14:textId="77777777" w:rsidR="007D487F" w:rsidRPr="00A6629E" w:rsidRDefault="005B1B64" w:rsidP="00A6629E">
            <w:pPr>
              <w:rPr>
                <w:sz w:val="20"/>
                <w:szCs w:val="20"/>
              </w:rPr>
            </w:pPr>
            <w:r w:rsidRPr="00A6629E">
              <w:rPr>
                <w:color w:val="000000"/>
                <w:sz w:val="20"/>
                <w:szCs w:val="20"/>
              </w:rPr>
              <w:t>Tabla obligatoria de desempeño por longitud, JOIN y dominio. DR = 0,499; 0,674; 0,620.</w:t>
            </w:r>
          </w:p>
        </w:tc>
      </w:tr>
      <w:tr w:rsidR="007D487F" w:rsidRPr="00A6629E" w14:paraId="728599EB" w14:textId="77777777">
        <w:tblPrEx>
          <w:tblCellMar>
            <w:top w:w="0" w:type="dxa"/>
            <w:bottom w:w="0" w:type="dxa"/>
          </w:tblCellMar>
        </w:tblPrEx>
        <w:tc>
          <w:tcPr>
            <w:tcW w:w="23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E990545" w14:textId="77777777" w:rsidR="007D487F" w:rsidRPr="00A6629E" w:rsidRDefault="005B1B64" w:rsidP="00A6629E">
            <w:pPr>
              <w:rPr>
                <w:sz w:val="20"/>
                <w:szCs w:val="20"/>
              </w:rPr>
            </w:pPr>
            <w:r w:rsidRPr="00A6629E">
              <w:rPr>
                <w:color w:val="000000"/>
                <w:sz w:val="20"/>
                <w:szCs w:val="20"/>
              </w:rPr>
              <w:t>4. Limitaciones</w:t>
            </w:r>
          </w:p>
        </w:tc>
        <w:tc>
          <w:tcPr>
            <w:tcW w:w="70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F6C22F2" w14:textId="77777777" w:rsidR="007D487F" w:rsidRPr="00A6629E" w:rsidRDefault="005B1B64" w:rsidP="00A6629E">
            <w:pPr>
              <w:rPr>
                <w:sz w:val="20"/>
                <w:szCs w:val="20"/>
              </w:rPr>
            </w:pPr>
            <w:proofErr w:type="spellStart"/>
            <w:r w:rsidRPr="00A6629E">
              <w:rPr>
                <w:color w:val="000000"/>
                <w:sz w:val="20"/>
                <w:szCs w:val="20"/>
              </w:rPr>
              <w:t>Slide</w:t>
            </w:r>
            <w:proofErr w:type="spellEnd"/>
            <w:r w:rsidRPr="00A6629E">
              <w:rPr>
                <w:color w:val="000000"/>
                <w:sz w:val="20"/>
                <w:szCs w:val="20"/>
              </w:rPr>
              <w:t xml:space="preserve"> explícito de limitacio</w:t>
            </w:r>
            <w:r w:rsidRPr="00A6629E">
              <w:rPr>
                <w:color w:val="000000"/>
                <w:sz w:val="20"/>
                <w:szCs w:val="20"/>
              </w:rPr>
              <w:t xml:space="preserve">nes: data </w:t>
            </w:r>
            <w:proofErr w:type="spellStart"/>
            <w:r w:rsidRPr="00A6629E">
              <w:rPr>
                <w:color w:val="000000"/>
                <w:sz w:val="20"/>
                <w:szCs w:val="20"/>
              </w:rPr>
              <w:t>leakage</w:t>
            </w:r>
            <w:proofErr w:type="spellEnd"/>
            <w:r w:rsidRPr="00A6629E">
              <w:rPr>
                <w:color w:val="000000"/>
                <w:sz w:val="20"/>
                <w:szCs w:val="20"/>
              </w:rPr>
              <w:t xml:space="preserve"> detectado, sobreajuste 0,388, robustez RSI 0,479.</w:t>
            </w:r>
          </w:p>
        </w:tc>
      </w:tr>
      <w:tr w:rsidR="007D487F" w:rsidRPr="00A6629E" w14:paraId="66A28097" w14:textId="77777777">
        <w:tblPrEx>
          <w:tblCellMar>
            <w:top w:w="0" w:type="dxa"/>
            <w:bottom w:w="0" w:type="dxa"/>
          </w:tblCellMar>
        </w:tblPrEx>
        <w:tc>
          <w:tcPr>
            <w:tcW w:w="23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A6EBDE4" w14:textId="77777777" w:rsidR="007D487F" w:rsidRPr="00A6629E" w:rsidRDefault="005B1B64" w:rsidP="00A6629E">
            <w:pPr>
              <w:rPr>
                <w:sz w:val="20"/>
                <w:szCs w:val="20"/>
              </w:rPr>
            </w:pPr>
            <w:r w:rsidRPr="00A6629E">
              <w:rPr>
                <w:color w:val="000000"/>
                <w:sz w:val="20"/>
                <w:szCs w:val="20"/>
              </w:rPr>
              <w:t xml:space="preserve">5. Sin </w:t>
            </w:r>
            <w:proofErr w:type="spellStart"/>
            <w:r w:rsidRPr="00A6629E">
              <w:rPr>
                <w:color w:val="000000"/>
                <w:sz w:val="20"/>
                <w:szCs w:val="20"/>
              </w:rPr>
              <w:t>hype</w:t>
            </w:r>
            <w:proofErr w:type="spellEnd"/>
          </w:p>
        </w:tc>
        <w:tc>
          <w:tcPr>
            <w:tcW w:w="70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5778E7F" w14:textId="77777777" w:rsidR="007D487F" w:rsidRPr="00A6629E" w:rsidRDefault="005B1B64" w:rsidP="00A6629E">
            <w:pPr>
              <w:rPr>
                <w:sz w:val="20"/>
                <w:szCs w:val="20"/>
              </w:rPr>
            </w:pPr>
            <w:r w:rsidRPr="00A6629E">
              <w:rPr>
                <w:color w:val="000000"/>
                <w:sz w:val="20"/>
                <w:szCs w:val="20"/>
              </w:rPr>
              <w:t>Eliminar términos como "revolucionario", "óptimo", "definitivo". Sustituir por "exploratorio", "bajo restricciones".</w:t>
            </w:r>
          </w:p>
        </w:tc>
      </w:tr>
      <w:tr w:rsidR="007D487F" w:rsidRPr="00A6629E" w14:paraId="5B6AEACD" w14:textId="77777777">
        <w:tblPrEx>
          <w:tblCellMar>
            <w:top w:w="0" w:type="dxa"/>
            <w:bottom w:w="0" w:type="dxa"/>
          </w:tblCellMar>
        </w:tblPrEx>
        <w:tc>
          <w:tcPr>
            <w:tcW w:w="23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032C14A0" w14:textId="77777777" w:rsidR="007D487F" w:rsidRPr="00A6629E" w:rsidRDefault="005B1B64" w:rsidP="00A6629E">
            <w:pPr>
              <w:rPr>
                <w:sz w:val="20"/>
                <w:szCs w:val="20"/>
              </w:rPr>
            </w:pPr>
            <w:r w:rsidRPr="00A6629E">
              <w:rPr>
                <w:color w:val="000000"/>
                <w:sz w:val="20"/>
                <w:szCs w:val="20"/>
              </w:rPr>
              <w:t xml:space="preserve">6. Consistencia </w:t>
            </w:r>
            <w:proofErr w:type="spellStart"/>
            <w:r w:rsidRPr="00A6629E">
              <w:rPr>
                <w:color w:val="000000"/>
                <w:sz w:val="20"/>
                <w:szCs w:val="20"/>
              </w:rPr>
              <w:t>obj</w:t>
            </w:r>
            <w:proofErr w:type="spellEnd"/>
            <w:r w:rsidRPr="00A6629E">
              <w:rPr>
                <w:color w:val="000000"/>
                <w:sz w:val="20"/>
                <w:szCs w:val="20"/>
              </w:rPr>
              <w:t>-métrica</w:t>
            </w:r>
          </w:p>
        </w:tc>
        <w:tc>
          <w:tcPr>
            <w:tcW w:w="70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D1FE397" w14:textId="77777777" w:rsidR="007D487F" w:rsidRPr="00A6629E" w:rsidRDefault="005B1B64" w:rsidP="00A6629E">
            <w:pPr>
              <w:rPr>
                <w:sz w:val="20"/>
                <w:szCs w:val="20"/>
              </w:rPr>
            </w:pPr>
            <w:r w:rsidRPr="00A6629E">
              <w:rPr>
                <w:color w:val="000000"/>
                <w:sz w:val="20"/>
                <w:szCs w:val="20"/>
              </w:rPr>
              <w:t>Si el objetivo declara equida</w:t>
            </w:r>
            <w:r w:rsidRPr="00A6629E">
              <w:rPr>
                <w:color w:val="000000"/>
                <w:sz w:val="20"/>
                <w:szCs w:val="20"/>
              </w:rPr>
              <w:t>d, la métrica primaria debe ser DR mínimo, no accuracy promedio.</w:t>
            </w:r>
          </w:p>
        </w:tc>
      </w:tr>
      <w:tr w:rsidR="007D487F" w:rsidRPr="00A6629E" w14:paraId="48D12DDB" w14:textId="77777777">
        <w:tblPrEx>
          <w:tblCellMar>
            <w:top w:w="0" w:type="dxa"/>
            <w:bottom w:w="0" w:type="dxa"/>
          </w:tblCellMar>
        </w:tblPrEx>
        <w:tc>
          <w:tcPr>
            <w:tcW w:w="23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2FBEAE3D" w14:textId="77777777" w:rsidR="007D487F" w:rsidRPr="00A6629E" w:rsidRDefault="005B1B64" w:rsidP="00A6629E">
            <w:pPr>
              <w:rPr>
                <w:sz w:val="20"/>
                <w:szCs w:val="20"/>
              </w:rPr>
            </w:pPr>
            <w:r w:rsidRPr="00A6629E">
              <w:rPr>
                <w:color w:val="000000"/>
                <w:sz w:val="20"/>
                <w:szCs w:val="20"/>
              </w:rPr>
              <w:t>7. Augmentation</w:t>
            </w:r>
          </w:p>
        </w:tc>
        <w:tc>
          <w:tcPr>
            <w:tcW w:w="70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412F25FD" w14:textId="77777777" w:rsidR="007D487F" w:rsidRPr="00A6629E" w:rsidRDefault="005B1B64" w:rsidP="00A6629E">
            <w:pPr>
              <w:rPr>
                <w:sz w:val="20"/>
                <w:szCs w:val="20"/>
              </w:rPr>
            </w:pPr>
            <w:proofErr w:type="spellStart"/>
            <w:r w:rsidRPr="00A6629E">
              <w:rPr>
                <w:color w:val="000000"/>
                <w:sz w:val="20"/>
                <w:szCs w:val="20"/>
              </w:rPr>
              <w:t>Slide</w:t>
            </w:r>
            <w:proofErr w:type="spellEnd"/>
            <w:r w:rsidRPr="00A6629E">
              <w:rPr>
                <w:color w:val="000000"/>
                <w:sz w:val="20"/>
                <w:szCs w:val="20"/>
              </w:rPr>
              <w:t xml:space="preserve"> con SQL siempre visible y editable por el usuario. Sistema como asistente, no decisor.</w:t>
            </w:r>
          </w:p>
        </w:tc>
      </w:tr>
      <w:tr w:rsidR="007D487F" w:rsidRPr="00A6629E" w14:paraId="7E4C70B1" w14:textId="77777777">
        <w:tblPrEx>
          <w:tblCellMar>
            <w:top w:w="0" w:type="dxa"/>
            <w:bottom w:w="0" w:type="dxa"/>
          </w:tblCellMar>
        </w:tblPrEx>
        <w:tc>
          <w:tcPr>
            <w:tcW w:w="23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BD90753" w14:textId="77777777" w:rsidR="007D487F" w:rsidRPr="00A6629E" w:rsidRDefault="005B1B64" w:rsidP="00A6629E">
            <w:pPr>
              <w:rPr>
                <w:sz w:val="20"/>
                <w:szCs w:val="20"/>
              </w:rPr>
            </w:pPr>
            <w:r w:rsidRPr="00A6629E">
              <w:rPr>
                <w:color w:val="000000"/>
                <w:sz w:val="20"/>
                <w:szCs w:val="20"/>
              </w:rPr>
              <w:lastRenderedPageBreak/>
              <w:t>8. Apertura</w:t>
            </w:r>
          </w:p>
        </w:tc>
        <w:tc>
          <w:tcPr>
            <w:tcW w:w="70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6FFAA9AE" w14:textId="77777777" w:rsidR="007D487F" w:rsidRPr="00A6629E" w:rsidRDefault="005B1B64" w:rsidP="00A6629E">
            <w:pPr>
              <w:rPr>
                <w:sz w:val="20"/>
                <w:szCs w:val="20"/>
              </w:rPr>
            </w:pPr>
            <w:r w:rsidRPr="00A6629E">
              <w:rPr>
                <w:color w:val="000000"/>
                <w:sz w:val="20"/>
                <w:szCs w:val="20"/>
              </w:rPr>
              <w:t xml:space="preserve">Repositorio público con código, </w:t>
            </w:r>
            <w:proofErr w:type="spellStart"/>
            <w:r w:rsidRPr="00A6629E">
              <w:rPr>
                <w:color w:val="000000"/>
                <w:sz w:val="20"/>
                <w:szCs w:val="20"/>
              </w:rPr>
              <w:t>datasets</w:t>
            </w:r>
            <w:proofErr w:type="spellEnd"/>
            <w:r w:rsidRPr="00A6629E">
              <w:rPr>
                <w:color w:val="000000"/>
                <w:sz w:val="20"/>
                <w:szCs w:val="20"/>
              </w:rPr>
              <w:t xml:space="preserve"> de prueba y </w:t>
            </w:r>
            <w:proofErr w:type="spellStart"/>
            <w:r w:rsidRPr="00A6629E">
              <w:rPr>
                <w:color w:val="000000"/>
                <w:sz w:val="20"/>
                <w:szCs w:val="20"/>
              </w:rPr>
              <w:t>model</w:t>
            </w:r>
            <w:proofErr w:type="spellEnd"/>
            <w:r w:rsidRPr="00A6629E">
              <w:rPr>
                <w:color w:val="000000"/>
                <w:sz w:val="20"/>
                <w:szCs w:val="20"/>
              </w:rPr>
              <w:t xml:space="preserve"> </w:t>
            </w:r>
            <w:proofErr w:type="spellStart"/>
            <w:r w:rsidRPr="00A6629E">
              <w:rPr>
                <w:color w:val="000000"/>
                <w:sz w:val="20"/>
                <w:szCs w:val="20"/>
              </w:rPr>
              <w:t>card</w:t>
            </w:r>
            <w:proofErr w:type="spellEnd"/>
            <w:r w:rsidRPr="00A6629E">
              <w:rPr>
                <w:color w:val="000000"/>
                <w:sz w:val="20"/>
                <w:szCs w:val="20"/>
              </w:rPr>
              <w:t xml:space="preserve"> al cierre del proyecto.</w:t>
            </w:r>
          </w:p>
        </w:tc>
      </w:tr>
      <w:tr w:rsidR="007D487F" w:rsidRPr="00A6629E" w14:paraId="6F6B00A7" w14:textId="77777777">
        <w:tblPrEx>
          <w:tblCellMar>
            <w:top w:w="0" w:type="dxa"/>
            <w:bottom w:w="0" w:type="dxa"/>
          </w:tblCellMar>
        </w:tblPrEx>
        <w:tc>
          <w:tcPr>
            <w:tcW w:w="23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558C3980" w14:textId="77777777" w:rsidR="007D487F" w:rsidRPr="00A6629E" w:rsidRDefault="005B1B64" w:rsidP="00A6629E">
            <w:pPr>
              <w:rPr>
                <w:sz w:val="20"/>
                <w:szCs w:val="20"/>
              </w:rPr>
            </w:pPr>
            <w:r w:rsidRPr="00A6629E">
              <w:rPr>
                <w:color w:val="000000"/>
                <w:sz w:val="20"/>
                <w:szCs w:val="20"/>
              </w:rPr>
              <w:t>9. Riesgos dimensionados</w:t>
            </w:r>
          </w:p>
        </w:tc>
        <w:tc>
          <w:tcPr>
            <w:tcW w:w="70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F86BF6F" w14:textId="77777777" w:rsidR="007D487F" w:rsidRPr="00A6629E" w:rsidRDefault="005B1B64" w:rsidP="00A6629E">
            <w:pPr>
              <w:rPr>
                <w:sz w:val="20"/>
                <w:szCs w:val="20"/>
              </w:rPr>
            </w:pPr>
            <w:proofErr w:type="spellStart"/>
            <w:r w:rsidRPr="00A6629E">
              <w:rPr>
                <w:color w:val="000000"/>
                <w:sz w:val="20"/>
                <w:szCs w:val="20"/>
              </w:rPr>
              <w:t>Slide</w:t>
            </w:r>
            <w:proofErr w:type="spellEnd"/>
            <w:r w:rsidRPr="00A6629E">
              <w:rPr>
                <w:color w:val="000000"/>
                <w:sz w:val="20"/>
                <w:szCs w:val="20"/>
              </w:rPr>
              <w:t xml:space="preserve"> dedicado </w:t>
            </w:r>
            <w:proofErr w:type="gramStart"/>
            <w:r w:rsidRPr="00A6629E">
              <w:rPr>
                <w:color w:val="000000"/>
                <w:sz w:val="20"/>
                <w:szCs w:val="20"/>
              </w:rPr>
              <w:t>al data</w:t>
            </w:r>
            <w:proofErr w:type="gramEnd"/>
            <w:r w:rsidRPr="00A6629E">
              <w:rPr>
                <w:color w:val="000000"/>
                <w:sz w:val="20"/>
                <w:szCs w:val="20"/>
              </w:rPr>
              <w:t xml:space="preserve"> </w:t>
            </w:r>
            <w:proofErr w:type="spellStart"/>
            <w:r w:rsidRPr="00A6629E">
              <w:rPr>
                <w:color w:val="000000"/>
                <w:sz w:val="20"/>
                <w:szCs w:val="20"/>
              </w:rPr>
              <w:t>leakage</w:t>
            </w:r>
            <w:proofErr w:type="spellEnd"/>
            <w:r w:rsidRPr="00A6629E">
              <w:rPr>
                <w:color w:val="000000"/>
                <w:sz w:val="20"/>
                <w:szCs w:val="20"/>
              </w:rPr>
              <w:t xml:space="preserve"> con c</w:t>
            </w:r>
            <w:r w:rsidRPr="00A6629E">
              <w:rPr>
                <w:color w:val="000000"/>
                <w:sz w:val="20"/>
                <w:szCs w:val="20"/>
              </w:rPr>
              <w:t>uantificación de impacto y plan de remediación.</w:t>
            </w:r>
          </w:p>
        </w:tc>
      </w:tr>
      <w:tr w:rsidR="007D487F" w:rsidRPr="00A6629E" w14:paraId="080A25CA" w14:textId="77777777">
        <w:tblPrEx>
          <w:tblCellMar>
            <w:top w:w="0" w:type="dxa"/>
            <w:bottom w:w="0" w:type="dxa"/>
          </w:tblCellMar>
        </w:tblPrEx>
        <w:tc>
          <w:tcPr>
            <w:tcW w:w="23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77050645" w14:textId="77777777" w:rsidR="007D487F" w:rsidRPr="00A6629E" w:rsidRDefault="005B1B64" w:rsidP="00A6629E">
            <w:pPr>
              <w:rPr>
                <w:sz w:val="20"/>
                <w:szCs w:val="20"/>
              </w:rPr>
            </w:pPr>
            <w:r w:rsidRPr="00A6629E">
              <w:rPr>
                <w:color w:val="000000"/>
                <w:sz w:val="20"/>
                <w:szCs w:val="20"/>
              </w:rPr>
              <w:t>10. Próximos pasos verificables</w:t>
            </w:r>
          </w:p>
        </w:tc>
        <w:tc>
          <w:tcPr>
            <w:tcW w:w="70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vAlign w:val="center"/>
          </w:tcPr>
          <w:p w14:paraId="16CE6BCC" w14:textId="77777777" w:rsidR="007D487F" w:rsidRPr="00A6629E" w:rsidRDefault="005B1B64" w:rsidP="00A6629E">
            <w:pPr>
              <w:rPr>
                <w:sz w:val="20"/>
                <w:szCs w:val="20"/>
              </w:rPr>
            </w:pPr>
            <w:r w:rsidRPr="00A6629E">
              <w:rPr>
                <w:color w:val="000000"/>
                <w:sz w:val="20"/>
                <w:szCs w:val="20"/>
              </w:rPr>
              <w:t xml:space="preserve">Cronograma concreto </w:t>
            </w:r>
            <w:proofErr w:type="spellStart"/>
            <w:r w:rsidRPr="00A6629E">
              <w:rPr>
                <w:color w:val="000000"/>
                <w:sz w:val="20"/>
                <w:szCs w:val="20"/>
              </w:rPr>
              <w:t>post-cierre</w:t>
            </w:r>
            <w:proofErr w:type="spellEnd"/>
            <w:r w:rsidRPr="00A6629E">
              <w:rPr>
                <w:color w:val="000000"/>
                <w:sz w:val="20"/>
                <w:szCs w:val="20"/>
              </w:rPr>
              <w:t>: reformulación pregunta-</w:t>
            </w:r>
            <w:proofErr w:type="spellStart"/>
            <w:r w:rsidRPr="00A6629E">
              <w:rPr>
                <w:color w:val="000000"/>
                <w:sz w:val="20"/>
                <w:szCs w:val="20"/>
              </w:rPr>
              <w:t>only</w:t>
            </w:r>
            <w:proofErr w:type="spellEnd"/>
            <w:r w:rsidRPr="00A6629E">
              <w:rPr>
                <w:color w:val="000000"/>
                <w:sz w:val="20"/>
                <w:szCs w:val="20"/>
              </w:rPr>
              <w:t xml:space="preserve">, reentrenamiento </w:t>
            </w:r>
            <w:proofErr w:type="spellStart"/>
            <w:r w:rsidRPr="00A6629E">
              <w:rPr>
                <w:color w:val="000000"/>
                <w:sz w:val="20"/>
                <w:szCs w:val="20"/>
              </w:rPr>
              <w:t>CodeBERT</w:t>
            </w:r>
            <w:proofErr w:type="spellEnd"/>
            <w:r w:rsidRPr="00A6629E">
              <w:rPr>
                <w:color w:val="000000"/>
                <w:sz w:val="20"/>
                <w:szCs w:val="20"/>
              </w:rPr>
              <w:t>, auditoría externa.</w:t>
            </w:r>
          </w:p>
        </w:tc>
      </w:tr>
    </w:tbl>
    <w:p w14:paraId="08585E19" w14:textId="4D8A8A9B" w:rsidR="007D487F" w:rsidRDefault="005B1B64">
      <w:pPr>
        <w:spacing w:before="100" w:after="200" w:line="280" w:lineRule="auto"/>
        <w:jc w:val="center"/>
      </w:pPr>
      <w:r>
        <w:rPr>
          <w:i/>
          <w:iCs/>
          <w:color w:val="595959"/>
          <w:sz w:val="20"/>
          <w:szCs w:val="20"/>
        </w:rPr>
        <w:t xml:space="preserve">Tabla 8. Aplicación del decálogo de buenas prácticas a la presentación final del Proyecto Integrador del </w:t>
      </w:r>
      <w:r w:rsidR="00A6629E">
        <w:rPr>
          <w:i/>
          <w:iCs/>
          <w:color w:val="595959"/>
          <w:sz w:val="20"/>
          <w:szCs w:val="20"/>
        </w:rPr>
        <w:t>Grupo</w:t>
      </w:r>
      <w:r>
        <w:rPr>
          <w:i/>
          <w:iCs/>
          <w:color w:val="595959"/>
          <w:sz w:val="20"/>
          <w:szCs w:val="20"/>
        </w:rPr>
        <w:t>. Elaboración propia.</w:t>
      </w:r>
    </w:p>
    <w:p w14:paraId="411EA2E6" w14:textId="77777777" w:rsidR="007D487F" w:rsidRDefault="005B1B64">
      <w:pPr>
        <w:spacing w:before="320" w:after="200" w:line="320" w:lineRule="auto"/>
      </w:pPr>
      <w:r>
        <w:rPr>
          <w:b/>
          <w:bCs/>
          <w:color w:val="7B1A2F"/>
          <w:sz w:val="28"/>
          <w:szCs w:val="28"/>
        </w:rPr>
        <w:t>7. Conclusione</w:t>
      </w:r>
      <w:r>
        <w:rPr>
          <w:b/>
          <w:bCs/>
          <w:color w:val="7B1A2F"/>
          <w:sz w:val="28"/>
          <w:szCs w:val="28"/>
        </w:rPr>
        <w:t>s</w:t>
      </w:r>
    </w:p>
    <w:p w14:paraId="4F5C25C6" w14:textId="49304D9C" w:rsidR="007D487F" w:rsidRDefault="005B1B64">
      <w:pPr>
        <w:spacing w:before="80" w:after="80" w:line="320" w:lineRule="auto"/>
        <w:jc w:val="both"/>
      </w:pPr>
      <w:r>
        <w:rPr>
          <w:color w:val="000000"/>
        </w:rPr>
        <w:t xml:space="preserve">El análisis comparativo de cinco casos paradigmáticos </w:t>
      </w:r>
      <w:r>
        <w:rPr>
          <w:color w:val="000000"/>
        </w:rPr>
        <w:t>tres fallidos y dos exitosos</w:t>
      </w:r>
      <w:r>
        <w:rPr>
          <w:color w:val="000000"/>
        </w:rPr>
        <w:t xml:space="preserve"> confirma que la calidad de la presentación pública de un proyecto de IA es un predictor sustantivo de su resultado final. Los fracasos de IBM Watson </w:t>
      </w:r>
      <w:proofErr w:type="spellStart"/>
      <w:r>
        <w:rPr>
          <w:color w:val="000000"/>
        </w:rPr>
        <w:t>for</w:t>
      </w:r>
      <w:proofErr w:type="spellEnd"/>
      <w:r>
        <w:rPr>
          <w:color w:val="000000"/>
        </w:rPr>
        <w:t xml:space="preserve"> </w:t>
      </w:r>
      <w:proofErr w:type="spellStart"/>
      <w:r>
        <w:rPr>
          <w:color w:val="000000"/>
        </w:rPr>
        <w:t>Oncology</w:t>
      </w:r>
      <w:proofErr w:type="spellEnd"/>
      <w:r>
        <w:rPr>
          <w:color w:val="000000"/>
        </w:rPr>
        <w:t xml:space="preserve">, </w:t>
      </w:r>
      <w:proofErr w:type="spellStart"/>
      <w:r>
        <w:rPr>
          <w:color w:val="000000"/>
        </w:rPr>
        <w:t>Zillow</w:t>
      </w:r>
      <w:proofErr w:type="spellEnd"/>
      <w:r>
        <w:rPr>
          <w:color w:val="000000"/>
        </w:rPr>
        <w:t xml:space="preserve"> </w:t>
      </w:r>
      <w:proofErr w:type="spellStart"/>
      <w:r>
        <w:rPr>
          <w:color w:val="000000"/>
        </w:rPr>
        <w:t>O</w:t>
      </w:r>
      <w:r>
        <w:rPr>
          <w:color w:val="000000"/>
        </w:rPr>
        <w:t>ffers</w:t>
      </w:r>
      <w:proofErr w:type="spellEnd"/>
      <w:r>
        <w:rPr>
          <w:color w:val="000000"/>
        </w:rPr>
        <w:t xml:space="preserve"> y COMPAS comparten patrones identificables y prevenibles</w:t>
      </w:r>
      <w:r w:rsidR="0067226C">
        <w:rPr>
          <w:color w:val="000000"/>
        </w:rPr>
        <w:t xml:space="preserve"> que son un</w:t>
      </w:r>
      <w:r>
        <w:rPr>
          <w:color w:val="000000"/>
        </w:rPr>
        <w:t xml:space="preserve"> alcance amplio o cambiante, narrativa hiperbólica o autocomplaciente, evidencia parcial o no validada externamente y subestimación de las restricciones del contexto operativo. Los éxitos de </w:t>
      </w:r>
      <w:proofErr w:type="spellStart"/>
      <w:r>
        <w:rPr>
          <w:color w:val="000000"/>
        </w:rPr>
        <w:t>Al</w:t>
      </w:r>
      <w:r>
        <w:rPr>
          <w:color w:val="000000"/>
        </w:rPr>
        <w:t>phaFold</w:t>
      </w:r>
      <w:proofErr w:type="spellEnd"/>
      <w:r>
        <w:rPr>
          <w:color w:val="000000"/>
        </w:rPr>
        <w:t xml:space="preserve"> 2 y GitHub </w:t>
      </w:r>
      <w:proofErr w:type="spellStart"/>
      <w:r>
        <w:rPr>
          <w:color w:val="000000"/>
        </w:rPr>
        <w:t>Copilot</w:t>
      </w:r>
      <w:proofErr w:type="spellEnd"/>
      <w:r>
        <w:rPr>
          <w:color w:val="000000"/>
        </w:rPr>
        <w:t xml:space="preserve"> comparten la fórmula opuesta</w:t>
      </w:r>
      <w:r w:rsidR="0067226C">
        <w:rPr>
          <w:color w:val="000000"/>
        </w:rPr>
        <w:t xml:space="preserve"> del</w:t>
      </w:r>
      <w:r>
        <w:rPr>
          <w:color w:val="000000"/>
        </w:rPr>
        <w:t xml:space="preserve"> problema estrechamente acotado, narrativa sobria que evita el </w:t>
      </w:r>
      <w:proofErr w:type="spellStart"/>
      <w:r>
        <w:rPr>
          <w:color w:val="000000"/>
        </w:rPr>
        <w:t>hype</w:t>
      </w:r>
      <w:proofErr w:type="spellEnd"/>
      <w:r>
        <w:rPr>
          <w:color w:val="000000"/>
        </w:rPr>
        <w:t>, evidencia validada externamente y publicación abierta tanto de capacidades como de limitaciones.</w:t>
      </w:r>
    </w:p>
    <w:p w14:paraId="1D21FD11" w14:textId="079EC342" w:rsidR="007D487F" w:rsidRDefault="005B1B64">
      <w:pPr>
        <w:spacing w:before="80" w:after="80" w:line="320" w:lineRule="auto"/>
        <w:jc w:val="both"/>
      </w:pPr>
      <w:r>
        <w:rPr>
          <w:color w:val="000000"/>
        </w:rPr>
        <w:t>Los tres errores comunes identific</w:t>
      </w:r>
      <w:r>
        <w:rPr>
          <w:color w:val="000000"/>
        </w:rPr>
        <w:t xml:space="preserve">ados en la rúbrica de la actividad </w:t>
      </w:r>
      <w:r>
        <w:rPr>
          <w:color w:val="000000"/>
        </w:rPr>
        <w:t>sobrecarga técnica, falta de enfoque y débil justificación</w:t>
      </w:r>
      <w:r>
        <w:rPr>
          <w:color w:val="000000"/>
        </w:rPr>
        <w:t xml:space="preserve"> se confirmaron empíricamente en los casos analizados, particularmente en Watson y COMPAS. Las buenas prácticas sintetizadas en el decálogo del apartado 6.1 son </w:t>
      </w:r>
      <w:r>
        <w:rPr>
          <w:color w:val="000000"/>
        </w:rPr>
        <w:t>operacional</w:t>
      </w:r>
      <w:r>
        <w:rPr>
          <w:color w:val="000000"/>
        </w:rPr>
        <w:t xml:space="preserve"> y se traducen en decisiones concretas para la presentación final del Proyecto Integrador del </w:t>
      </w:r>
      <w:r w:rsidR="00A6629E">
        <w:rPr>
          <w:color w:val="000000"/>
        </w:rPr>
        <w:t>Grupo</w:t>
      </w:r>
      <w:r>
        <w:rPr>
          <w:color w:val="000000"/>
        </w:rPr>
        <w:t>, según se detalla en la Tabla 8.</w:t>
      </w:r>
    </w:p>
    <w:p w14:paraId="3BF62A60" w14:textId="7793E6B3" w:rsidR="007D487F" w:rsidRDefault="005B1B64">
      <w:pPr>
        <w:spacing w:before="80" w:after="80" w:line="320" w:lineRule="auto"/>
        <w:jc w:val="both"/>
        <w:rPr>
          <w:color w:val="000000"/>
        </w:rPr>
      </w:pPr>
      <w:r>
        <w:rPr>
          <w:color w:val="000000"/>
        </w:rPr>
        <w:t>La principal conclusión metodológica del trabajo es que el rigor de la presentación es continuación nat</w:t>
      </w:r>
      <w:r>
        <w:rPr>
          <w:color w:val="000000"/>
        </w:rPr>
        <w:t xml:space="preserve">ural del rigor del proceso. Una presentación que oculta limitaciones señala un proceso que las desconoce o las minimiza; una presentación que las declara con precisión señala un proceso que las ha caracterizado. Para el </w:t>
      </w:r>
      <w:r w:rsidR="00A6629E">
        <w:rPr>
          <w:color w:val="000000"/>
        </w:rPr>
        <w:t>Grupo</w:t>
      </w:r>
      <w:r>
        <w:rPr>
          <w:color w:val="000000"/>
        </w:rPr>
        <w:t>, este principio se materiali</w:t>
      </w:r>
      <w:r>
        <w:rPr>
          <w:color w:val="000000"/>
        </w:rPr>
        <w:t>za en una decisión deliberada: la presentación ante el Comité Académico UEES en la semana 8 del cronograma</w:t>
      </w:r>
      <w:r>
        <w:rPr>
          <w:color w:val="000000"/>
        </w:rPr>
        <w:t xml:space="preserve"> reportará abiertamente el data </w:t>
      </w:r>
      <w:proofErr w:type="spellStart"/>
      <w:r>
        <w:rPr>
          <w:color w:val="000000"/>
        </w:rPr>
        <w:t>leakage</w:t>
      </w:r>
      <w:proofErr w:type="spellEnd"/>
      <w:r>
        <w:rPr>
          <w:color w:val="000000"/>
        </w:rPr>
        <w:t xml:space="preserve"> detectado, las disparidades de </w:t>
      </w:r>
      <w:proofErr w:type="spellStart"/>
      <w:r>
        <w:rPr>
          <w:color w:val="000000"/>
        </w:rPr>
        <w:t>fairness</w:t>
      </w:r>
      <w:proofErr w:type="spellEnd"/>
      <w:r>
        <w:rPr>
          <w:color w:val="000000"/>
        </w:rPr>
        <w:t xml:space="preserve"> cuantificadas, la fragilidad de robustez observ</w:t>
      </w:r>
      <w:r>
        <w:rPr>
          <w:color w:val="000000"/>
        </w:rPr>
        <w:t>ada y los compromisos asumidos en la Reflexión Ética de la semana 6. Esta posición no debilita la presentación: la fortalece, en línea con el patrón replicable observado en los casos exitosos analizados.</w:t>
      </w:r>
    </w:p>
    <w:p w14:paraId="0A114809" w14:textId="540532CC" w:rsidR="00A6629E" w:rsidRDefault="00A6629E">
      <w:pPr>
        <w:spacing w:before="80" w:after="80" w:line="320" w:lineRule="auto"/>
        <w:jc w:val="both"/>
        <w:rPr>
          <w:color w:val="000000"/>
        </w:rPr>
      </w:pPr>
    </w:p>
    <w:p w14:paraId="6DC47D5D" w14:textId="77777777" w:rsidR="007D487F" w:rsidRDefault="005B1B64">
      <w:pPr>
        <w:spacing w:before="320" w:after="200" w:line="320" w:lineRule="auto"/>
      </w:pPr>
      <w:r>
        <w:rPr>
          <w:b/>
          <w:bCs/>
          <w:color w:val="7B1A2F"/>
          <w:sz w:val="28"/>
          <w:szCs w:val="28"/>
        </w:rPr>
        <w:lastRenderedPageBreak/>
        <w:t>Referencias Bibliográficas</w:t>
      </w:r>
    </w:p>
    <w:p w14:paraId="260A467B" w14:textId="77777777" w:rsidR="007D487F" w:rsidRPr="002A2843" w:rsidRDefault="005B1B64" w:rsidP="002A2843">
      <w:pPr>
        <w:pStyle w:val="Prrafodelista"/>
        <w:numPr>
          <w:ilvl w:val="0"/>
          <w:numId w:val="4"/>
        </w:numPr>
        <w:jc w:val="both"/>
        <w:rPr>
          <w:sz w:val="18"/>
          <w:szCs w:val="18"/>
          <w:lang w:val="en-US"/>
        </w:rPr>
      </w:pPr>
      <w:proofErr w:type="spellStart"/>
      <w:r w:rsidRPr="002A2843">
        <w:rPr>
          <w:sz w:val="18"/>
          <w:szCs w:val="18"/>
        </w:rPr>
        <w:t>Angwin</w:t>
      </w:r>
      <w:proofErr w:type="spellEnd"/>
      <w:r w:rsidRPr="002A2843">
        <w:rPr>
          <w:sz w:val="18"/>
          <w:szCs w:val="18"/>
        </w:rPr>
        <w:t xml:space="preserve">, J., Larson, J., </w:t>
      </w:r>
      <w:proofErr w:type="spellStart"/>
      <w:r w:rsidRPr="002A2843">
        <w:rPr>
          <w:sz w:val="18"/>
          <w:szCs w:val="18"/>
        </w:rPr>
        <w:t>M</w:t>
      </w:r>
      <w:r w:rsidRPr="002A2843">
        <w:rPr>
          <w:sz w:val="18"/>
          <w:szCs w:val="18"/>
        </w:rPr>
        <w:t>attu</w:t>
      </w:r>
      <w:proofErr w:type="spellEnd"/>
      <w:r w:rsidRPr="002A2843">
        <w:rPr>
          <w:sz w:val="18"/>
          <w:szCs w:val="18"/>
        </w:rPr>
        <w:t xml:space="preserve">, S., &amp; Kirchner, L. (2016, mayo 23). </w:t>
      </w:r>
      <w:r w:rsidRPr="002A2843">
        <w:rPr>
          <w:sz w:val="18"/>
          <w:szCs w:val="18"/>
          <w:lang w:val="en-US"/>
        </w:rPr>
        <w:t>Machine Bias: There's software used across the country to predict future criminals. And it's biased against blacks. ProPublica. https://www.propublica.org/article/machine-bias-risk-assessments-in-criminal-sentencin</w:t>
      </w:r>
      <w:r w:rsidRPr="002A2843">
        <w:rPr>
          <w:sz w:val="18"/>
          <w:szCs w:val="18"/>
          <w:lang w:val="en-US"/>
        </w:rPr>
        <w:t>g</w:t>
      </w:r>
    </w:p>
    <w:p w14:paraId="733EB386" w14:textId="77777777" w:rsidR="007D487F" w:rsidRPr="002A2843" w:rsidRDefault="005B1B64" w:rsidP="002A2843">
      <w:pPr>
        <w:pStyle w:val="Prrafodelista"/>
        <w:numPr>
          <w:ilvl w:val="0"/>
          <w:numId w:val="4"/>
        </w:numPr>
        <w:jc w:val="both"/>
        <w:rPr>
          <w:sz w:val="18"/>
          <w:szCs w:val="18"/>
          <w:lang w:val="en-US"/>
        </w:rPr>
      </w:pPr>
      <w:r w:rsidRPr="002A2843">
        <w:rPr>
          <w:sz w:val="18"/>
          <w:szCs w:val="18"/>
          <w:lang w:val="en-US"/>
        </w:rPr>
        <w:t xml:space="preserve">Becker's Hospital Review. (2017, </w:t>
      </w:r>
      <w:proofErr w:type="spellStart"/>
      <w:r w:rsidRPr="002A2843">
        <w:rPr>
          <w:sz w:val="18"/>
          <w:szCs w:val="18"/>
          <w:lang w:val="en-US"/>
        </w:rPr>
        <w:t>marzo</w:t>
      </w:r>
      <w:proofErr w:type="spellEnd"/>
      <w:r w:rsidRPr="002A2843">
        <w:rPr>
          <w:sz w:val="18"/>
          <w:szCs w:val="18"/>
          <w:lang w:val="en-US"/>
        </w:rPr>
        <w:t xml:space="preserve"> 8). 4 reasons MD Anderson put IBM Watson on hold. https://www.beckershospitalreview.com/healthcare-information-technology/5-things-to-know-about-the-md-anderson-ibm-watson-breakup/</w:t>
      </w:r>
    </w:p>
    <w:p w14:paraId="477A0986" w14:textId="77777777" w:rsidR="007D487F" w:rsidRPr="002A2843" w:rsidRDefault="005B1B64" w:rsidP="002A2843">
      <w:pPr>
        <w:pStyle w:val="Prrafodelista"/>
        <w:numPr>
          <w:ilvl w:val="0"/>
          <w:numId w:val="4"/>
        </w:numPr>
        <w:jc w:val="both"/>
        <w:rPr>
          <w:sz w:val="18"/>
          <w:szCs w:val="18"/>
          <w:lang w:val="en-US"/>
        </w:rPr>
      </w:pPr>
      <w:proofErr w:type="spellStart"/>
      <w:r w:rsidRPr="002A2843">
        <w:rPr>
          <w:sz w:val="18"/>
          <w:szCs w:val="18"/>
          <w:lang w:val="en-US"/>
        </w:rPr>
        <w:t>Brandtzæg</w:t>
      </w:r>
      <w:proofErr w:type="spellEnd"/>
      <w:r w:rsidRPr="002A2843">
        <w:rPr>
          <w:sz w:val="18"/>
          <w:szCs w:val="18"/>
          <w:lang w:val="en-US"/>
        </w:rPr>
        <w:t>, E. G. (2025). GitHub Co</w:t>
      </w:r>
      <w:r w:rsidRPr="002A2843">
        <w:rPr>
          <w:sz w:val="18"/>
          <w:szCs w:val="18"/>
          <w:lang w:val="en-US"/>
        </w:rPr>
        <w:t xml:space="preserve">pilot's impact on software developer productivity: A longitudinal mixed-methods case study. </w:t>
      </w:r>
      <w:proofErr w:type="spellStart"/>
      <w:r w:rsidRPr="002A2843">
        <w:rPr>
          <w:sz w:val="18"/>
          <w:szCs w:val="18"/>
          <w:lang w:val="en-US"/>
        </w:rPr>
        <w:t>arXiv</w:t>
      </w:r>
      <w:proofErr w:type="spellEnd"/>
      <w:r w:rsidRPr="002A2843">
        <w:rPr>
          <w:sz w:val="18"/>
          <w:szCs w:val="18"/>
          <w:lang w:val="en-US"/>
        </w:rPr>
        <w:t xml:space="preserve"> preprint arXiv:2509.20353.</w:t>
      </w:r>
    </w:p>
    <w:p w14:paraId="2FCC3E9C" w14:textId="77777777" w:rsidR="007D487F" w:rsidRPr="002A2843" w:rsidRDefault="005B1B64" w:rsidP="002A2843">
      <w:pPr>
        <w:pStyle w:val="Prrafodelista"/>
        <w:numPr>
          <w:ilvl w:val="0"/>
          <w:numId w:val="4"/>
        </w:numPr>
        <w:jc w:val="both"/>
        <w:rPr>
          <w:sz w:val="18"/>
          <w:szCs w:val="18"/>
          <w:lang w:val="en-US"/>
        </w:rPr>
      </w:pPr>
      <w:proofErr w:type="spellStart"/>
      <w:r w:rsidRPr="002A2843">
        <w:rPr>
          <w:sz w:val="18"/>
          <w:szCs w:val="18"/>
          <w:lang w:val="en-US"/>
        </w:rPr>
        <w:t>Chouldechova</w:t>
      </w:r>
      <w:proofErr w:type="spellEnd"/>
      <w:r w:rsidRPr="002A2843">
        <w:rPr>
          <w:sz w:val="18"/>
          <w:szCs w:val="18"/>
          <w:lang w:val="en-US"/>
        </w:rPr>
        <w:t>, A. (2017). Fair prediction with disparate impact: A study of bias in recidivism prediction instruments. Big Data, 5(2</w:t>
      </w:r>
      <w:r w:rsidRPr="002A2843">
        <w:rPr>
          <w:sz w:val="18"/>
          <w:szCs w:val="18"/>
          <w:lang w:val="en-US"/>
        </w:rPr>
        <w:t>), 153-163. https://doi.org/10.1089/big.2016.0047</w:t>
      </w:r>
    </w:p>
    <w:p w14:paraId="498AB3D9" w14:textId="77777777" w:rsidR="007D487F" w:rsidRPr="002A2843" w:rsidRDefault="005B1B64" w:rsidP="002A2843">
      <w:pPr>
        <w:pStyle w:val="Prrafodelista"/>
        <w:numPr>
          <w:ilvl w:val="0"/>
          <w:numId w:val="4"/>
        </w:numPr>
        <w:jc w:val="both"/>
        <w:rPr>
          <w:sz w:val="18"/>
          <w:szCs w:val="18"/>
          <w:lang w:val="en-US"/>
        </w:rPr>
      </w:pPr>
      <w:r w:rsidRPr="002A2843">
        <w:rPr>
          <w:sz w:val="18"/>
          <w:szCs w:val="18"/>
          <w:lang w:val="en-US"/>
        </w:rPr>
        <w:t xml:space="preserve">Cui, Z. K., </w:t>
      </w:r>
      <w:proofErr w:type="spellStart"/>
      <w:r w:rsidRPr="002A2843">
        <w:rPr>
          <w:sz w:val="18"/>
          <w:szCs w:val="18"/>
          <w:lang w:val="en-US"/>
        </w:rPr>
        <w:t>Demirer</w:t>
      </w:r>
      <w:proofErr w:type="spellEnd"/>
      <w:r w:rsidRPr="002A2843">
        <w:rPr>
          <w:sz w:val="18"/>
          <w:szCs w:val="18"/>
          <w:lang w:val="en-US"/>
        </w:rPr>
        <w:t xml:space="preserve">, M., Jaffe, S., </w:t>
      </w:r>
      <w:proofErr w:type="spellStart"/>
      <w:r w:rsidRPr="002A2843">
        <w:rPr>
          <w:sz w:val="18"/>
          <w:szCs w:val="18"/>
          <w:lang w:val="en-US"/>
        </w:rPr>
        <w:t>Musolff</w:t>
      </w:r>
      <w:proofErr w:type="spellEnd"/>
      <w:r w:rsidRPr="002A2843">
        <w:rPr>
          <w:sz w:val="18"/>
          <w:szCs w:val="18"/>
          <w:lang w:val="en-US"/>
        </w:rPr>
        <w:t xml:space="preserve">, L., Peng, S., &amp; </w:t>
      </w:r>
      <w:proofErr w:type="spellStart"/>
      <w:r w:rsidRPr="002A2843">
        <w:rPr>
          <w:sz w:val="18"/>
          <w:szCs w:val="18"/>
          <w:lang w:val="en-US"/>
        </w:rPr>
        <w:t>Salesi</w:t>
      </w:r>
      <w:proofErr w:type="spellEnd"/>
      <w:r w:rsidRPr="002A2843">
        <w:rPr>
          <w:sz w:val="18"/>
          <w:szCs w:val="18"/>
          <w:lang w:val="en-US"/>
        </w:rPr>
        <w:t>, T. (2024). The effects of generative AI on high-skilled work: Evidence from three field experiments with software developers. SSRN Workin</w:t>
      </w:r>
      <w:r w:rsidRPr="002A2843">
        <w:rPr>
          <w:sz w:val="18"/>
          <w:szCs w:val="18"/>
          <w:lang w:val="en-US"/>
        </w:rPr>
        <w:t>g Paper 4945566.</w:t>
      </w:r>
    </w:p>
    <w:p w14:paraId="6922691E" w14:textId="77777777" w:rsidR="007D487F" w:rsidRPr="002A2843" w:rsidRDefault="005B1B64" w:rsidP="002A2843">
      <w:pPr>
        <w:pStyle w:val="Prrafodelista"/>
        <w:numPr>
          <w:ilvl w:val="0"/>
          <w:numId w:val="4"/>
        </w:numPr>
        <w:jc w:val="both"/>
        <w:rPr>
          <w:sz w:val="18"/>
          <w:szCs w:val="18"/>
          <w:lang w:val="en-US"/>
        </w:rPr>
      </w:pPr>
      <w:r w:rsidRPr="002A2843">
        <w:rPr>
          <w:sz w:val="18"/>
          <w:szCs w:val="18"/>
          <w:lang w:val="en-US"/>
        </w:rPr>
        <w:t xml:space="preserve">Davenport, T. H., &amp; </w:t>
      </w:r>
      <w:proofErr w:type="spellStart"/>
      <w:r w:rsidRPr="002A2843">
        <w:rPr>
          <w:sz w:val="18"/>
          <w:szCs w:val="18"/>
          <w:lang w:val="en-US"/>
        </w:rPr>
        <w:t>Ronanki</w:t>
      </w:r>
      <w:proofErr w:type="spellEnd"/>
      <w:r w:rsidRPr="002A2843">
        <w:rPr>
          <w:sz w:val="18"/>
          <w:szCs w:val="18"/>
          <w:lang w:val="en-US"/>
        </w:rPr>
        <w:t>, R. (2018). Artificial intelligence for the real world. Harvard Business Review, 96(1), 108-116.</w:t>
      </w:r>
    </w:p>
    <w:p w14:paraId="68278335" w14:textId="77777777" w:rsidR="007D487F" w:rsidRPr="002A2843" w:rsidRDefault="005B1B64" w:rsidP="002A2843">
      <w:pPr>
        <w:pStyle w:val="Prrafodelista"/>
        <w:numPr>
          <w:ilvl w:val="0"/>
          <w:numId w:val="4"/>
        </w:numPr>
        <w:jc w:val="both"/>
        <w:rPr>
          <w:sz w:val="18"/>
          <w:szCs w:val="18"/>
          <w:lang w:val="en-US"/>
        </w:rPr>
      </w:pPr>
      <w:r w:rsidRPr="002A2843">
        <w:rPr>
          <w:sz w:val="18"/>
          <w:szCs w:val="18"/>
          <w:lang w:val="en-US"/>
        </w:rPr>
        <w:t xml:space="preserve">DeepMind. (2024). </w:t>
      </w:r>
      <w:proofErr w:type="spellStart"/>
      <w:r w:rsidRPr="002A2843">
        <w:rPr>
          <w:sz w:val="18"/>
          <w:szCs w:val="18"/>
          <w:lang w:val="en-US"/>
        </w:rPr>
        <w:t>AlphaFold</w:t>
      </w:r>
      <w:proofErr w:type="spellEnd"/>
      <w:r w:rsidRPr="002A2843">
        <w:rPr>
          <w:sz w:val="18"/>
          <w:szCs w:val="18"/>
          <w:lang w:val="en-US"/>
        </w:rPr>
        <w:t xml:space="preserve"> timeline. Google DeepMind. https://deepmind.google/science/alphafold/</w:t>
      </w:r>
    </w:p>
    <w:p w14:paraId="4EE163E4" w14:textId="77777777" w:rsidR="007D487F" w:rsidRPr="002A2843" w:rsidRDefault="005B1B64" w:rsidP="002A2843">
      <w:pPr>
        <w:pStyle w:val="Prrafodelista"/>
        <w:numPr>
          <w:ilvl w:val="0"/>
          <w:numId w:val="4"/>
        </w:numPr>
        <w:jc w:val="both"/>
        <w:rPr>
          <w:sz w:val="18"/>
          <w:szCs w:val="18"/>
          <w:lang w:val="en-US"/>
        </w:rPr>
      </w:pPr>
      <w:r w:rsidRPr="002A2843">
        <w:rPr>
          <w:sz w:val="18"/>
          <w:szCs w:val="18"/>
          <w:lang w:val="en-US"/>
        </w:rPr>
        <w:t>Dieterich, W., M</w:t>
      </w:r>
      <w:r w:rsidRPr="002A2843">
        <w:rPr>
          <w:sz w:val="18"/>
          <w:szCs w:val="18"/>
          <w:lang w:val="en-US"/>
        </w:rPr>
        <w:t>endoza, C., &amp; Brennan, T. (2016). COMPAS Risk Scales: Demonstrating Accuracy Equity and Predictive Parity. Northpointe Inc.</w:t>
      </w:r>
    </w:p>
    <w:p w14:paraId="37C2014A" w14:textId="77777777" w:rsidR="007D487F" w:rsidRPr="002A2843" w:rsidRDefault="005B1B64" w:rsidP="002A2843">
      <w:pPr>
        <w:pStyle w:val="Prrafodelista"/>
        <w:numPr>
          <w:ilvl w:val="0"/>
          <w:numId w:val="4"/>
        </w:numPr>
        <w:jc w:val="both"/>
        <w:rPr>
          <w:sz w:val="18"/>
          <w:szCs w:val="18"/>
          <w:lang w:val="en-US"/>
        </w:rPr>
      </w:pPr>
      <w:proofErr w:type="spellStart"/>
      <w:r w:rsidRPr="002A2843">
        <w:rPr>
          <w:sz w:val="18"/>
          <w:szCs w:val="18"/>
          <w:lang w:val="en-US"/>
        </w:rPr>
        <w:t>Dolfing</w:t>
      </w:r>
      <w:proofErr w:type="spellEnd"/>
      <w:r w:rsidRPr="002A2843">
        <w:rPr>
          <w:sz w:val="18"/>
          <w:szCs w:val="18"/>
          <w:lang w:val="en-US"/>
        </w:rPr>
        <w:t xml:space="preserve">, H. (2024, </w:t>
      </w:r>
      <w:proofErr w:type="spellStart"/>
      <w:r w:rsidRPr="002A2843">
        <w:rPr>
          <w:sz w:val="18"/>
          <w:szCs w:val="18"/>
          <w:lang w:val="en-US"/>
        </w:rPr>
        <w:t>diciembre</w:t>
      </w:r>
      <w:proofErr w:type="spellEnd"/>
      <w:r w:rsidRPr="002A2843">
        <w:rPr>
          <w:sz w:val="18"/>
          <w:szCs w:val="18"/>
          <w:lang w:val="en-US"/>
        </w:rPr>
        <w:t>). Case Study 20: The $4 Billion AI Failure of IBM Watson for Oncology. https://www.henricodolfing.com/2</w:t>
      </w:r>
      <w:r w:rsidRPr="002A2843">
        <w:rPr>
          <w:sz w:val="18"/>
          <w:szCs w:val="18"/>
          <w:lang w:val="en-US"/>
        </w:rPr>
        <w:t>024/12/case-study-ibm-watson-for-oncology-failure.html</w:t>
      </w:r>
    </w:p>
    <w:p w14:paraId="28B83718" w14:textId="77777777" w:rsidR="007D487F" w:rsidRPr="002A2843" w:rsidRDefault="005B1B64" w:rsidP="002A2843">
      <w:pPr>
        <w:pStyle w:val="Prrafodelista"/>
        <w:numPr>
          <w:ilvl w:val="0"/>
          <w:numId w:val="4"/>
        </w:numPr>
        <w:jc w:val="both"/>
        <w:rPr>
          <w:sz w:val="18"/>
          <w:szCs w:val="18"/>
          <w:lang w:val="en-US"/>
        </w:rPr>
      </w:pPr>
      <w:r w:rsidRPr="002A2843">
        <w:rPr>
          <w:sz w:val="18"/>
          <w:szCs w:val="18"/>
          <w:lang w:val="en-US"/>
        </w:rPr>
        <w:t>Hamilton, M. (2019). The biased algorithm: Evidence of disparate impact on Hispanics. American Criminal Law Review, 56(4), 1553-1577.</w:t>
      </w:r>
    </w:p>
    <w:p w14:paraId="3E266AF0" w14:textId="77777777" w:rsidR="007D487F" w:rsidRPr="002A2843" w:rsidRDefault="005B1B64" w:rsidP="002A2843">
      <w:pPr>
        <w:pStyle w:val="Prrafodelista"/>
        <w:numPr>
          <w:ilvl w:val="0"/>
          <w:numId w:val="4"/>
        </w:numPr>
        <w:jc w:val="both"/>
        <w:rPr>
          <w:sz w:val="18"/>
          <w:szCs w:val="18"/>
          <w:lang w:val="en-US"/>
        </w:rPr>
      </w:pPr>
      <w:r w:rsidRPr="002A2843">
        <w:rPr>
          <w:sz w:val="18"/>
          <w:szCs w:val="18"/>
          <w:lang w:val="en-US"/>
        </w:rPr>
        <w:t xml:space="preserve">Henke, N., Levine, J., &amp; </w:t>
      </w:r>
      <w:proofErr w:type="spellStart"/>
      <w:r w:rsidRPr="002A2843">
        <w:rPr>
          <w:sz w:val="18"/>
          <w:szCs w:val="18"/>
          <w:lang w:val="en-US"/>
        </w:rPr>
        <w:t>McInerney</w:t>
      </w:r>
      <w:proofErr w:type="spellEnd"/>
      <w:r w:rsidRPr="002A2843">
        <w:rPr>
          <w:sz w:val="18"/>
          <w:szCs w:val="18"/>
          <w:lang w:val="en-US"/>
        </w:rPr>
        <w:t>, P. (2023). The state of AI in 2</w:t>
      </w:r>
      <w:r w:rsidRPr="002A2843">
        <w:rPr>
          <w:sz w:val="18"/>
          <w:szCs w:val="18"/>
          <w:lang w:val="en-US"/>
        </w:rPr>
        <w:t>023: Generative AI's breakout year. McKinsey Global Institute Report.</w:t>
      </w:r>
    </w:p>
    <w:p w14:paraId="62E13D25" w14:textId="77777777" w:rsidR="007D487F" w:rsidRPr="002A2843" w:rsidRDefault="005B1B64" w:rsidP="002A2843">
      <w:pPr>
        <w:pStyle w:val="Prrafodelista"/>
        <w:numPr>
          <w:ilvl w:val="0"/>
          <w:numId w:val="4"/>
        </w:numPr>
        <w:jc w:val="both"/>
        <w:rPr>
          <w:sz w:val="18"/>
          <w:szCs w:val="18"/>
          <w:lang w:val="en-US"/>
        </w:rPr>
      </w:pPr>
      <w:r w:rsidRPr="002A2843">
        <w:rPr>
          <w:sz w:val="18"/>
          <w:szCs w:val="18"/>
          <w:lang w:val="en-US"/>
        </w:rPr>
        <w:t xml:space="preserve">Jumper, J., Evans, R., </w:t>
      </w:r>
      <w:proofErr w:type="spellStart"/>
      <w:r w:rsidRPr="002A2843">
        <w:rPr>
          <w:sz w:val="18"/>
          <w:szCs w:val="18"/>
          <w:lang w:val="en-US"/>
        </w:rPr>
        <w:t>Pritzel</w:t>
      </w:r>
      <w:proofErr w:type="spellEnd"/>
      <w:r w:rsidRPr="002A2843">
        <w:rPr>
          <w:sz w:val="18"/>
          <w:szCs w:val="18"/>
          <w:lang w:val="en-US"/>
        </w:rPr>
        <w:t xml:space="preserve">, A., Green, T., </w:t>
      </w:r>
      <w:proofErr w:type="spellStart"/>
      <w:r w:rsidRPr="002A2843">
        <w:rPr>
          <w:sz w:val="18"/>
          <w:szCs w:val="18"/>
          <w:lang w:val="en-US"/>
        </w:rPr>
        <w:t>Figurnov</w:t>
      </w:r>
      <w:proofErr w:type="spellEnd"/>
      <w:r w:rsidRPr="002A2843">
        <w:rPr>
          <w:sz w:val="18"/>
          <w:szCs w:val="18"/>
          <w:lang w:val="en-US"/>
        </w:rPr>
        <w:t xml:space="preserve">, M., </w:t>
      </w:r>
      <w:proofErr w:type="spellStart"/>
      <w:r w:rsidRPr="002A2843">
        <w:rPr>
          <w:sz w:val="18"/>
          <w:szCs w:val="18"/>
          <w:lang w:val="en-US"/>
        </w:rPr>
        <w:t>Ronneberger</w:t>
      </w:r>
      <w:proofErr w:type="spellEnd"/>
      <w:r w:rsidRPr="002A2843">
        <w:rPr>
          <w:sz w:val="18"/>
          <w:szCs w:val="18"/>
          <w:lang w:val="en-US"/>
        </w:rPr>
        <w:t xml:space="preserve">, O., </w:t>
      </w:r>
      <w:proofErr w:type="spellStart"/>
      <w:r w:rsidRPr="002A2843">
        <w:rPr>
          <w:sz w:val="18"/>
          <w:szCs w:val="18"/>
          <w:lang w:val="en-US"/>
        </w:rPr>
        <w:t>Tunyasuvunakool</w:t>
      </w:r>
      <w:proofErr w:type="spellEnd"/>
      <w:r w:rsidRPr="002A2843">
        <w:rPr>
          <w:sz w:val="18"/>
          <w:szCs w:val="18"/>
          <w:lang w:val="en-US"/>
        </w:rPr>
        <w:t xml:space="preserve">, K., Bates, R., </w:t>
      </w:r>
      <w:proofErr w:type="spellStart"/>
      <w:r w:rsidRPr="002A2843">
        <w:rPr>
          <w:sz w:val="18"/>
          <w:szCs w:val="18"/>
          <w:lang w:val="en-US"/>
        </w:rPr>
        <w:t>Žídek</w:t>
      </w:r>
      <w:proofErr w:type="spellEnd"/>
      <w:r w:rsidRPr="002A2843">
        <w:rPr>
          <w:sz w:val="18"/>
          <w:szCs w:val="18"/>
          <w:lang w:val="en-US"/>
        </w:rPr>
        <w:t xml:space="preserve">, A., Potapenko, A., </w:t>
      </w:r>
      <w:proofErr w:type="spellStart"/>
      <w:r w:rsidRPr="002A2843">
        <w:rPr>
          <w:sz w:val="18"/>
          <w:szCs w:val="18"/>
          <w:lang w:val="en-US"/>
        </w:rPr>
        <w:t>Bridgland</w:t>
      </w:r>
      <w:proofErr w:type="spellEnd"/>
      <w:r w:rsidRPr="002A2843">
        <w:rPr>
          <w:sz w:val="18"/>
          <w:szCs w:val="18"/>
          <w:lang w:val="en-US"/>
        </w:rPr>
        <w:t>, A., Meyer, C., Kohl, S. A. A., Ballard,</w:t>
      </w:r>
      <w:r w:rsidRPr="002A2843">
        <w:rPr>
          <w:sz w:val="18"/>
          <w:szCs w:val="18"/>
          <w:lang w:val="en-US"/>
        </w:rPr>
        <w:t xml:space="preserve"> A. J., Cowie, A., </w:t>
      </w:r>
      <w:proofErr w:type="spellStart"/>
      <w:r w:rsidRPr="002A2843">
        <w:rPr>
          <w:sz w:val="18"/>
          <w:szCs w:val="18"/>
          <w:lang w:val="en-US"/>
        </w:rPr>
        <w:t>Romera</w:t>
      </w:r>
      <w:proofErr w:type="spellEnd"/>
      <w:r w:rsidRPr="002A2843">
        <w:rPr>
          <w:sz w:val="18"/>
          <w:szCs w:val="18"/>
          <w:lang w:val="en-US"/>
        </w:rPr>
        <w:t xml:space="preserve">-Paredes, B., </w:t>
      </w:r>
      <w:proofErr w:type="spellStart"/>
      <w:r w:rsidRPr="002A2843">
        <w:rPr>
          <w:sz w:val="18"/>
          <w:szCs w:val="18"/>
          <w:lang w:val="en-US"/>
        </w:rPr>
        <w:t>Nikolov</w:t>
      </w:r>
      <w:proofErr w:type="spellEnd"/>
      <w:r w:rsidRPr="002A2843">
        <w:rPr>
          <w:sz w:val="18"/>
          <w:szCs w:val="18"/>
          <w:lang w:val="en-US"/>
        </w:rPr>
        <w:t xml:space="preserve">, S., Jain, R., Adler, J., … Hassabis, D. (2021). Highly accurate protein structure prediction with </w:t>
      </w:r>
      <w:proofErr w:type="spellStart"/>
      <w:r w:rsidRPr="002A2843">
        <w:rPr>
          <w:sz w:val="18"/>
          <w:szCs w:val="18"/>
          <w:lang w:val="en-US"/>
        </w:rPr>
        <w:t>AlphaFold</w:t>
      </w:r>
      <w:proofErr w:type="spellEnd"/>
      <w:r w:rsidRPr="002A2843">
        <w:rPr>
          <w:sz w:val="18"/>
          <w:szCs w:val="18"/>
          <w:lang w:val="en-US"/>
        </w:rPr>
        <w:t>. Nature, 596(7873), 583-589. https://doi.org/10.1038/s41586-021-03819-2</w:t>
      </w:r>
    </w:p>
    <w:p w14:paraId="75F3AAFA" w14:textId="77777777" w:rsidR="007D487F" w:rsidRPr="002A2843" w:rsidRDefault="005B1B64" w:rsidP="002A2843">
      <w:pPr>
        <w:pStyle w:val="Prrafodelista"/>
        <w:numPr>
          <w:ilvl w:val="0"/>
          <w:numId w:val="4"/>
        </w:numPr>
        <w:jc w:val="both"/>
        <w:rPr>
          <w:sz w:val="18"/>
          <w:szCs w:val="18"/>
          <w:lang w:val="en-US"/>
        </w:rPr>
      </w:pPr>
      <w:r w:rsidRPr="002A2843">
        <w:rPr>
          <w:sz w:val="18"/>
          <w:szCs w:val="18"/>
          <w:lang w:val="en-US"/>
        </w:rPr>
        <w:t>Method of the Year 2021. (20</w:t>
      </w:r>
      <w:r w:rsidRPr="002A2843">
        <w:rPr>
          <w:sz w:val="18"/>
          <w:szCs w:val="18"/>
          <w:lang w:val="en-US"/>
        </w:rPr>
        <w:t>22). Protein structure prediction. Nature Methods, 19(1), 1-1. https://doi.org/10.1038/s41592-021-01380-4</w:t>
      </w:r>
    </w:p>
    <w:p w14:paraId="1FF3204C" w14:textId="77777777" w:rsidR="007D487F" w:rsidRPr="002A2843" w:rsidRDefault="005B1B64" w:rsidP="002A2843">
      <w:pPr>
        <w:pStyle w:val="Prrafodelista"/>
        <w:numPr>
          <w:ilvl w:val="0"/>
          <w:numId w:val="4"/>
        </w:numPr>
        <w:jc w:val="both"/>
        <w:rPr>
          <w:sz w:val="18"/>
          <w:szCs w:val="18"/>
          <w:lang w:val="en-US"/>
        </w:rPr>
      </w:pPr>
      <w:r w:rsidRPr="002A2843">
        <w:rPr>
          <w:sz w:val="18"/>
          <w:szCs w:val="18"/>
          <w:lang w:val="en-US"/>
        </w:rPr>
        <w:t xml:space="preserve">Nobel Prize Press Release. (2024, </w:t>
      </w:r>
      <w:proofErr w:type="spellStart"/>
      <w:r w:rsidRPr="002A2843">
        <w:rPr>
          <w:sz w:val="18"/>
          <w:szCs w:val="18"/>
          <w:lang w:val="en-US"/>
        </w:rPr>
        <w:t>octubre</w:t>
      </w:r>
      <w:proofErr w:type="spellEnd"/>
      <w:r w:rsidRPr="002A2843">
        <w:rPr>
          <w:sz w:val="18"/>
          <w:szCs w:val="18"/>
          <w:lang w:val="en-US"/>
        </w:rPr>
        <w:t xml:space="preserve"> 9). The Nobel Prize in Chemistry 2024. The Royal Swedish Academy of Sciences. https://www.nobelprize.org/pri</w:t>
      </w:r>
      <w:r w:rsidRPr="002A2843">
        <w:rPr>
          <w:sz w:val="18"/>
          <w:szCs w:val="18"/>
          <w:lang w:val="en-US"/>
        </w:rPr>
        <w:t>zes/chemistry/2024/press-release/</w:t>
      </w:r>
    </w:p>
    <w:p w14:paraId="4D2AD79A" w14:textId="77777777" w:rsidR="007D487F" w:rsidRPr="002A2843" w:rsidRDefault="005B1B64" w:rsidP="002A2843">
      <w:pPr>
        <w:pStyle w:val="Prrafodelista"/>
        <w:numPr>
          <w:ilvl w:val="0"/>
          <w:numId w:val="4"/>
        </w:numPr>
        <w:jc w:val="both"/>
        <w:rPr>
          <w:sz w:val="18"/>
          <w:szCs w:val="18"/>
          <w:lang w:val="en-US"/>
        </w:rPr>
      </w:pPr>
      <w:r w:rsidRPr="002A2843">
        <w:rPr>
          <w:sz w:val="18"/>
          <w:szCs w:val="18"/>
          <w:lang w:val="en-US"/>
        </w:rPr>
        <w:t xml:space="preserve">Peng, S., </w:t>
      </w:r>
      <w:proofErr w:type="spellStart"/>
      <w:r w:rsidRPr="002A2843">
        <w:rPr>
          <w:sz w:val="18"/>
          <w:szCs w:val="18"/>
          <w:lang w:val="en-US"/>
        </w:rPr>
        <w:t>Kalliamvakou</w:t>
      </w:r>
      <w:proofErr w:type="spellEnd"/>
      <w:r w:rsidRPr="002A2843">
        <w:rPr>
          <w:sz w:val="18"/>
          <w:szCs w:val="18"/>
          <w:lang w:val="en-US"/>
        </w:rPr>
        <w:t xml:space="preserve">, E., </w:t>
      </w:r>
      <w:proofErr w:type="spellStart"/>
      <w:r w:rsidRPr="002A2843">
        <w:rPr>
          <w:sz w:val="18"/>
          <w:szCs w:val="18"/>
          <w:lang w:val="en-US"/>
        </w:rPr>
        <w:t>Cihon</w:t>
      </w:r>
      <w:proofErr w:type="spellEnd"/>
      <w:r w:rsidRPr="002A2843">
        <w:rPr>
          <w:sz w:val="18"/>
          <w:szCs w:val="18"/>
          <w:lang w:val="en-US"/>
        </w:rPr>
        <w:t xml:space="preserve">, P., &amp; </w:t>
      </w:r>
      <w:proofErr w:type="spellStart"/>
      <w:r w:rsidRPr="002A2843">
        <w:rPr>
          <w:sz w:val="18"/>
          <w:szCs w:val="18"/>
          <w:lang w:val="en-US"/>
        </w:rPr>
        <w:t>Demirer</w:t>
      </w:r>
      <w:proofErr w:type="spellEnd"/>
      <w:r w:rsidRPr="002A2843">
        <w:rPr>
          <w:sz w:val="18"/>
          <w:szCs w:val="18"/>
          <w:lang w:val="en-US"/>
        </w:rPr>
        <w:t xml:space="preserve">, M. (2023). The impact of AI on developer productivity: Evidence from GitHub Copilot. </w:t>
      </w:r>
      <w:proofErr w:type="spellStart"/>
      <w:r w:rsidRPr="002A2843">
        <w:rPr>
          <w:sz w:val="18"/>
          <w:szCs w:val="18"/>
          <w:lang w:val="en-US"/>
        </w:rPr>
        <w:t>arXiv</w:t>
      </w:r>
      <w:proofErr w:type="spellEnd"/>
      <w:r w:rsidRPr="002A2843">
        <w:rPr>
          <w:sz w:val="18"/>
          <w:szCs w:val="18"/>
          <w:lang w:val="en-US"/>
        </w:rPr>
        <w:t xml:space="preserve"> preprint arXiv:2302.06590.</w:t>
      </w:r>
    </w:p>
    <w:p w14:paraId="7F9E2088" w14:textId="77777777" w:rsidR="007D487F" w:rsidRPr="002A2843" w:rsidRDefault="005B1B64" w:rsidP="002A2843">
      <w:pPr>
        <w:pStyle w:val="Prrafodelista"/>
        <w:numPr>
          <w:ilvl w:val="0"/>
          <w:numId w:val="4"/>
        </w:numPr>
        <w:jc w:val="both"/>
        <w:rPr>
          <w:sz w:val="18"/>
          <w:szCs w:val="18"/>
          <w:lang w:val="en-US"/>
        </w:rPr>
      </w:pPr>
      <w:proofErr w:type="spellStart"/>
      <w:r w:rsidRPr="002A2843">
        <w:rPr>
          <w:sz w:val="18"/>
          <w:szCs w:val="18"/>
          <w:lang w:val="en-US"/>
        </w:rPr>
        <w:t>Quantumrun</w:t>
      </w:r>
      <w:proofErr w:type="spellEnd"/>
      <w:r w:rsidRPr="002A2843">
        <w:rPr>
          <w:sz w:val="18"/>
          <w:szCs w:val="18"/>
          <w:lang w:val="en-US"/>
        </w:rPr>
        <w:t xml:space="preserve">. (2026, </w:t>
      </w:r>
      <w:proofErr w:type="spellStart"/>
      <w:r w:rsidRPr="002A2843">
        <w:rPr>
          <w:sz w:val="18"/>
          <w:szCs w:val="18"/>
          <w:lang w:val="en-US"/>
        </w:rPr>
        <w:t>enero</w:t>
      </w:r>
      <w:proofErr w:type="spellEnd"/>
      <w:r w:rsidRPr="002A2843">
        <w:rPr>
          <w:sz w:val="18"/>
          <w:szCs w:val="18"/>
          <w:lang w:val="en-US"/>
        </w:rPr>
        <w:t xml:space="preserve"> 9). GitHub Copilot Statistics</w:t>
      </w:r>
      <w:r w:rsidRPr="002A2843">
        <w:rPr>
          <w:sz w:val="18"/>
          <w:szCs w:val="18"/>
          <w:lang w:val="en-US"/>
        </w:rPr>
        <w:t xml:space="preserve"> 2026. https://www.quantumrun.com/consulting/github-copilot-statistics/</w:t>
      </w:r>
    </w:p>
    <w:p w14:paraId="70530FB1" w14:textId="77777777" w:rsidR="007D487F" w:rsidRPr="002A2843" w:rsidRDefault="005B1B64" w:rsidP="002A2843">
      <w:pPr>
        <w:pStyle w:val="Prrafodelista"/>
        <w:numPr>
          <w:ilvl w:val="0"/>
          <w:numId w:val="4"/>
        </w:numPr>
        <w:jc w:val="both"/>
        <w:rPr>
          <w:sz w:val="18"/>
          <w:szCs w:val="18"/>
          <w:lang w:val="en-US"/>
        </w:rPr>
      </w:pPr>
      <w:r w:rsidRPr="002A2843">
        <w:rPr>
          <w:sz w:val="18"/>
          <w:szCs w:val="18"/>
          <w:lang w:val="en-US"/>
        </w:rPr>
        <w:t>Reynolds, G. (2020). Presentation Zen: Simple ideas on presentation design and delivery (3rd ed.). New Riders.</w:t>
      </w:r>
    </w:p>
    <w:p w14:paraId="3D8DF71B" w14:textId="77777777" w:rsidR="007D487F" w:rsidRPr="002A2843" w:rsidRDefault="005B1B64" w:rsidP="002A2843">
      <w:pPr>
        <w:pStyle w:val="Prrafodelista"/>
        <w:numPr>
          <w:ilvl w:val="0"/>
          <w:numId w:val="4"/>
        </w:numPr>
        <w:jc w:val="both"/>
        <w:rPr>
          <w:sz w:val="18"/>
          <w:szCs w:val="18"/>
          <w:lang w:val="en-US"/>
        </w:rPr>
      </w:pPr>
      <w:r w:rsidRPr="002A2843">
        <w:rPr>
          <w:sz w:val="18"/>
          <w:szCs w:val="18"/>
          <w:lang w:val="en-US"/>
        </w:rPr>
        <w:t>Schimel, J. (2012). Writing science: How to write papers that get cited a</w:t>
      </w:r>
      <w:r w:rsidRPr="002A2843">
        <w:rPr>
          <w:sz w:val="18"/>
          <w:szCs w:val="18"/>
          <w:lang w:val="en-US"/>
        </w:rPr>
        <w:t>nd proposals that get funded. Oxford University Press.</w:t>
      </w:r>
    </w:p>
    <w:p w14:paraId="0A4D9FC1" w14:textId="77777777" w:rsidR="007D487F" w:rsidRPr="002A2843" w:rsidRDefault="005B1B64" w:rsidP="002A2843">
      <w:pPr>
        <w:pStyle w:val="Prrafodelista"/>
        <w:numPr>
          <w:ilvl w:val="0"/>
          <w:numId w:val="4"/>
        </w:numPr>
        <w:jc w:val="both"/>
        <w:rPr>
          <w:sz w:val="18"/>
          <w:szCs w:val="18"/>
          <w:lang w:val="en-US"/>
        </w:rPr>
      </w:pPr>
      <w:r w:rsidRPr="002A2843">
        <w:rPr>
          <w:sz w:val="18"/>
          <w:szCs w:val="18"/>
          <w:lang w:val="en-US"/>
        </w:rPr>
        <w:t>Schmidt, C. (2017). M. D. Anderson breaks with IBM Watson, raising questions about artificial intelligence in oncology. Journal of the National Cancer Institute, 109(5), djx113. https://doi.org/10.1093</w:t>
      </w:r>
      <w:r w:rsidRPr="002A2843">
        <w:rPr>
          <w:sz w:val="18"/>
          <w:szCs w:val="18"/>
          <w:lang w:val="en-US"/>
        </w:rPr>
        <w:t>/jnci/djx113</w:t>
      </w:r>
    </w:p>
    <w:p w14:paraId="5EF65387" w14:textId="77777777" w:rsidR="007D487F" w:rsidRPr="002A2843" w:rsidRDefault="005B1B64" w:rsidP="002A2843">
      <w:pPr>
        <w:pStyle w:val="Prrafodelista"/>
        <w:numPr>
          <w:ilvl w:val="0"/>
          <w:numId w:val="4"/>
        </w:numPr>
        <w:jc w:val="both"/>
        <w:rPr>
          <w:sz w:val="18"/>
          <w:szCs w:val="18"/>
          <w:lang w:val="en-US"/>
        </w:rPr>
      </w:pPr>
      <w:r w:rsidRPr="002A2843">
        <w:rPr>
          <w:sz w:val="18"/>
          <w:szCs w:val="18"/>
          <w:lang w:val="en-US"/>
        </w:rPr>
        <w:t xml:space="preserve">Stanford Graduate School of Business. (2021, </w:t>
      </w:r>
      <w:proofErr w:type="spellStart"/>
      <w:r w:rsidRPr="002A2843">
        <w:rPr>
          <w:sz w:val="18"/>
          <w:szCs w:val="18"/>
          <w:lang w:val="en-US"/>
        </w:rPr>
        <w:t>diciembre</w:t>
      </w:r>
      <w:proofErr w:type="spellEnd"/>
      <w:r w:rsidRPr="002A2843">
        <w:rPr>
          <w:sz w:val="18"/>
          <w:szCs w:val="18"/>
          <w:lang w:val="en-US"/>
        </w:rPr>
        <w:t xml:space="preserve"> 9). Flip flop: Why Zillow's algorithmic home buying venture imploded. https://www.gsb.stanford.edu/insights/flip-flop-why-zillows-algorithmic-home-buying-venture-imploded</w:t>
      </w:r>
    </w:p>
    <w:p w14:paraId="2AEF4686" w14:textId="77777777" w:rsidR="007D487F" w:rsidRPr="002A2843" w:rsidRDefault="005B1B64" w:rsidP="002A2843">
      <w:pPr>
        <w:pStyle w:val="Prrafodelista"/>
        <w:numPr>
          <w:ilvl w:val="0"/>
          <w:numId w:val="4"/>
        </w:numPr>
        <w:jc w:val="both"/>
        <w:rPr>
          <w:sz w:val="18"/>
          <w:szCs w:val="18"/>
          <w:lang w:val="en-US"/>
        </w:rPr>
      </w:pPr>
      <w:r w:rsidRPr="002A2843">
        <w:rPr>
          <w:sz w:val="18"/>
          <w:szCs w:val="18"/>
          <w:lang w:val="en-US"/>
        </w:rPr>
        <w:t>Strickland, E. (2019). How IBM Watson overpromised and underdelivered on AI health care. IEEE Spectrum, 56(4), 24-31.</w:t>
      </w:r>
    </w:p>
    <w:p w14:paraId="38714C69" w14:textId="77777777" w:rsidR="007D487F" w:rsidRPr="002A2843" w:rsidRDefault="005B1B64" w:rsidP="002A2843">
      <w:pPr>
        <w:pStyle w:val="Prrafodelista"/>
        <w:numPr>
          <w:ilvl w:val="0"/>
          <w:numId w:val="4"/>
        </w:numPr>
        <w:jc w:val="both"/>
        <w:rPr>
          <w:sz w:val="18"/>
          <w:szCs w:val="18"/>
          <w:lang w:val="en-US"/>
        </w:rPr>
      </w:pPr>
      <w:r w:rsidRPr="002A2843">
        <w:rPr>
          <w:sz w:val="18"/>
          <w:szCs w:val="18"/>
          <w:lang w:val="en-US"/>
        </w:rPr>
        <w:t>West, S. M. (2024). The hype debt of artificial intelligence. AI Now Institute Working Paper.</w:t>
      </w:r>
    </w:p>
    <w:p w14:paraId="6D8D27CA" w14:textId="77777777" w:rsidR="007D487F" w:rsidRPr="002A2843" w:rsidRDefault="005B1B64" w:rsidP="002A2843">
      <w:pPr>
        <w:pStyle w:val="Prrafodelista"/>
        <w:numPr>
          <w:ilvl w:val="0"/>
          <w:numId w:val="4"/>
        </w:numPr>
        <w:jc w:val="both"/>
        <w:rPr>
          <w:sz w:val="18"/>
          <w:szCs w:val="18"/>
          <w:lang w:val="en-US"/>
        </w:rPr>
      </w:pPr>
      <w:proofErr w:type="spellStart"/>
      <w:r w:rsidRPr="002A2843">
        <w:rPr>
          <w:sz w:val="18"/>
          <w:szCs w:val="18"/>
          <w:lang w:val="en-US"/>
        </w:rPr>
        <w:t>Westenberger</w:t>
      </w:r>
      <w:proofErr w:type="spellEnd"/>
      <w:r w:rsidRPr="002A2843">
        <w:rPr>
          <w:sz w:val="18"/>
          <w:szCs w:val="18"/>
          <w:lang w:val="en-US"/>
        </w:rPr>
        <w:t xml:space="preserve">, J., Schaller, T., &amp; </w:t>
      </w:r>
      <w:proofErr w:type="spellStart"/>
      <w:r w:rsidRPr="002A2843">
        <w:rPr>
          <w:sz w:val="18"/>
          <w:szCs w:val="18"/>
          <w:lang w:val="en-US"/>
        </w:rPr>
        <w:t>Lasi</w:t>
      </w:r>
      <w:proofErr w:type="spellEnd"/>
      <w:r w:rsidRPr="002A2843">
        <w:rPr>
          <w:sz w:val="18"/>
          <w:szCs w:val="18"/>
          <w:lang w:val="en-US"/>
        </w:rPr>
        <w:t>, H. (2022). Failure of AI projects: Understanding the critical factors. Procedia Computer Science, 196, 69-76. https://doi.org/10.1016/j.procs.2021.11.074</w:t>
      </w:r>
    </w:p>
    <w:p w14:paraId="5B3C73CE" w14:textId="77777777" w:rsidR="007D487F" w:rsidRPr="002A2843" w:rsidRDefault="005B1B64" w:rsidP="002A2843">
      <w:pPr>
        <w:pStyle w:val="Prrafodelista"/>
        <w:numPr>
          <w:ilvl w:val="0"/>
          <w:numId w:val="4"/>
        </w:numPr>
        <w:jc w:val="both"/>
        <w:rPr>
          <w:sz w:val="18"/>
          <w:szCs w:val="18"/>
          <w:lang w:val="en-US"/>
        </w:rPr>
      </w:pPr>
      <w:r w:rsidRPr="002A2843">
        <w:rPr>
          <w:sz w:val="18"/>
          <w:szCs w:val="18"/>
          <w:lang w:val="en-US"/>
        </w:rPr>
        <w:t xml:space="preserve">Zillow Group. (2021, </w:t>
      </w:r>
      <w:proofErr w:type="spellStart"/>
      <w:r w:rsidRPr="002A2843">
        <w:rPr>
          <w:sz w:val="18"/>
          <w:szCs w:val="18"/>
          <w:lang w:val="en-US"/>
        </w:rPr>
        <w:t>noviembre</w:t>
      </w:r>
      <w:proofErr w:type="spellEnd"/>
      <w:r w:rsidRPr="002A2843">
        <w:rPr>
          <w:sz w:val="18"/>
          <w:szCs w:val="18"/>
          <w:lang w:val="en-US"/>
        </w:rPr>
        <w:t xml:space="preserve"> 2). Form 8-K, Q3 2021 sharehold</w:t>
      </w:r>
      <w:r w:rsidRPr="002A2843">
        <w:rPr>
          <w:sz w:val="18"/>
          <w:szCs w:val="18"/>
          <w:lang w:val="en-US"/>
        </w:rPr>
        <w:t>er letter. U.S. Securities and Exchange Commission. https://www.sec.gov/Archives/edgar/data/0001617640/000161764021000085/exhibit993.htm</w:t>
      </w:r>
    </w:p>
    <w:sectPr w:rsidR="007D487F" w:rsidRPr="002A2843">
      <w:headerReference w:type="default" r:id="rId9"/>
      <w:footerReference w:type="default" r:id="rId10"/>
      <w:pgSz w:w="12240" w:h="15840"/>
      <w:pgMar w:top="2200" w:right="1440" w:bottom="18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43BE41" w14:textId="77777777" w:rsidR="005B1B64" w:rsidRDefault="005B1B64">
      <w:r>
        <w:separator/>
      </w:r>
    </w:p>
  </w:endnote>
  <w:endnote w:type="continuationSeparator" w:id="0">
    <w:p w14:paraId="29B239A7" w14:textId="77777777" w:rsidR="005B1B64" w:rsidRDefault="005B1B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660"/>
      <w:gridCol w:w="1500"/>
    </w:tblGrid>
    <w:tr w:rsidR="007D487F" w14:paraId="7B369B5F" w14:textId="77777777">
      <w:tblPrEx>
        <w:tblCellMar>
          <w:top w:w="0" w:type="dxa"/>
          <w:bottom w:w="0" w:type="dxa"/>
        </w:tblCellMar>
      </w:tblPrEx>
      <w:tc>
        <w:tcPr>
          <w:tcW w:w="3200" w:type="dxa"/>
          <w:tcBorders>
            <w:top w:val="single" w:sz="4" w:space="0" w:color="CCCCCC"/>
            <w:left w:val="single" w:sz="4" w:space="0" w:color="CCCCCC"/>
            <w:bottom w:val="single" w:sz="4" w:space="0" w:color="CCCCCC"/>
            <w:right w:val="single" w:sz="4" w:space="0" w:color="CCCCCC"/>
          </w:tcBorders>
          <w:shd w:val="clear" w:color="auto" w:fill="7B1A2F"/>
          <w:tcMar>
            <w:top w:w="100" w:type="dxa"/>
            <w:left w:w="120" w:type="dxa"/>
            <w:bottom w:w="100" w:type="dxa"/>
            <w:right w:w="120" w:type="dxa"/>
          </w:tcMar>
          <w:vAlign w:val="center"/>
        </w:tcPr>
        <w:p w14:paraId="1C813ACE" w14:textId="77777777" w:rsidR="007D487F" w:rsidRDefault="005B1B64">
          <w:pPr>
            <w:jc w:val="center"/>
          </w:pPr>
          <w:r>
            <w:rPr>
              <w:b/>
              <w:bCs/>
              <w:color w:val="FFFFFF"/>
              <w:sz w:val="16"/>
              <w:szCs w:val="16"/>
            </w:rPr>
            <w:t>PROYECTO INTEGRADOR EN</w:t>
          </w:r>
        </w:p>
        <w:p w14:paraId="24B9BFBD" w14:textId="77777777" w:rsidR="007D487F" w:rsidRDefault="005B1B64">
          <w:pPr>
            <w:jc w:val="center"/>
          </w:pPr>
          <w:r>
            <w:rPr>
              <w:b/>
              <w:bCs/>
              <w:color w:val="FFFFFF"/>
              <w:sz w:val="16"/>
              <w:szCs w:val="16"/>
            </w:rPr>
            <w:t>INTELIGENCIA ARTIFICIAL</w:t>
          </w:r>
        </w:p>
      </w:tc>
      <w:tc>
        <w:tcPr>
          <w:tcW w:w="46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4FD7368" w14:textId="77777777" w:rsidR="007D487F" w:rsidRDefault="005B1B64">
          <w:pPr>
            <w:jc w:val="center"/>
          </w:pPr>
          <w:r>
            <w:rPr>
              <w:b/>
              <w:bCs/>
              <w:sz w:val="18"/>
              <w:szCs w:val="18"/>
            </w:rPr>
            <w:t xml:space="preserve">Página </w:t>
          </w:r>
          <w:r>
            <w:rPr>
              <w:b/>
              <w:bCs/>
              <w:sz w:val="18"/>
              <w:szCs w:val="18"/>
            </w:rPr>
            <w:fldChar w:fldCharType="begin"/>
          </w:r>
          <w:r>
            <w:rPr>
              <w:b/>
              <w:bCs/>
              <w:sz w:val="18"/>
              <w:szCs w:val="18"/>
            </w:rPr>
            <w:instrText>PAGE</w:instrText>
          </w:r>
          <w:r>
            <w:rPr>
              <w:b/>
              <w:bCs/>
              <w:sz w:val="18"/>
              <w:szCs w:val="18"/>
            </w:rPr>
            <w:fldChar w:fldCharType="separate"/>
          </w:r>
          <w:r w:rsidR="00A6629E">
            <w:rPr>
              <w:b/>
              <w:bCs/>
              <w:noProof/>
              <w:sz w:val="18"/>
              <w:szCs w:val="18"/>
            </w:rPr>
            <w:t>2</w:t>
          </w:r>
          <w:r>
            <w:rPr>
              <w:b/>
              <w:bCs/>
              <w:sz w:val="18"/>
              <w:szCs w:val="18"/>
            </w:rPr>
            <w:fldChar w:fldCharType="end"/>
          </w:r>
          <w:r>
            <w:rPr>
              <w:b/>
              <w:bCs/>
              <w:sz w:val="18"/>
              <w:szCs w:val="18"/>
            </w:rPr>
            <w:t xml:space="preserve"> de </w:t>
          </w:r>
          <w:r>
            <w:rPr>
              <w:b/>
              <w:bCs/>
              <w:sz w:val="18"/>
              <w:szCs w:val="18"/>
            </w:rPr>
            <w:fldChar w:fldCharType="begin"/>
          </w:r>
          <w:r>
            <w:rPr>
              <w:b/>
              <w:bCs/>
              <w:sz w:val="18"/>
              <w:szCs w:val="18"/>
            </w:rPr>
            <w:instrText>NUMPAGES</w:instrText>
          </w:r>
          <w:r>
            <w:rPr>
              <w:b/>
              <w:bCs/>
              <w:sz w:val="18"/>
              <w:szCs w:val="18"/>
            </w:rPr>
            <w:fldChar w:fldCharType="separate"/>
          </w:r>
          <w:r w:rsidR="00A6629E">
            <w:rPr>
              <w:b/>
              <w:bCs/>
              <w:noProof/>
              <w:sz w:val="18"/>
              <w:szCs w:val="18"/>
            </w:rPr>
            <w:t>2</w:t>
          </w:r>
          <w:r>
            <w:rPr>
              <w:b/>
              <w:bCs/>
              <w:sz w:val="18"/>
              <w:szCs w:val="18"/>
            </w:rPr>
            <w:fldChar w:fldCharType="end"/>
          </w:r>
        </w:p>
      </w:tc>
      <w:tc>
        <w:tcPr>
          <w:tcW w:w="15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A4103AC" w14:textId="77777777" w:rsidR="007D487F" w:rsidRDefault="005B1B64">
          <w:pPr>
            <w:jc w:val="center"/>
          </w:pPr>
          <w:r>
            <w:rPr>
              <w:sz w:val="18"/>
              <w:szCs w:val="18"/>
            </w:rPr>
            <w:t>Grupo 1</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2599A7" w14:textId="77777777" w:rsidR="005B1B64" w:rsidRDefault="005B1B64">
      <w:r>
        <w:separator/>
      </w:r>
    </w:p>
  </w:footnote>
  <w:footnote w:type="continuationSeparator" w:id="0">
    <w:p w14:paraId="2A3040DB" w14:textId="77777777" w:rsidR="005B1B64" w:rsidRDefault="005B1B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60"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260"/>
      <w:gridCol w:w="1500"/>
    </w:tblGrid>
    <w:tr w:rsidR="007D487F" w14:paraId="45EC91C9"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7B1A2F"/>
          <w:tcMar>
            <w:top w:w="120" w:type="dxa"/>
            <w:left w:w="120" w:type="dxa"/>
            <w:bottom w:w="120" w:type="dxa"/>
            <w:right w:w="120" w:type="dxa"/>
          </w:tcMar>
          <w:vAlign w:val="center"/>
        </w:tcPr>
        <w:p w14:paraId="2771D900" w14:textId="77777777" w:rsidR="007D487F" w:rsidRDefault="005B1B64">
          <w:pPr>
            <w:jc w:val="center"/>
          </w:pPr>
          <w:r>
            <w:rPr>
              <w:b/>
              <w:bCs/>
              <w:color w:val="FFFFFF"/>
              <w:sz w:val="16"/>
              <w:szCs w:val="16"/>
            </w:rPr>
            <w:t>POSTGRADO</w:t>
          </w:r>
        </w:p>
        <w:p w14:paraId="559E92F7" w14:textId="77777777" w:rsidR="007D487F" w:rsidRDefault="005B1B64">
          <w:pPr>
            <w:jc w:val="center"/>
          </w:pPr>
          <w:r>
            <w:rPr>
              <w:b/>
              <w:bCs/>
              <w:color w:val="FFFFFF"/>
              <w:sz w:val="16"/>
              <w:szCs w:val="16"/>
            </w:rPr>
            <w:t>MAESTRÍA EN INTELIGENCIA</w:t>
          </w:r>
        </w:p>
        <w:p w14:paraId="3F78EFE3" w14:textId="77777777" w:rsidR="007D487F" w:rsidRDefault="005B1B64">
          <w:pPr>
            <w:jc w:val="center"/>
          </w:pPr>
          <w:r>
            <w:rPr>
              <w:b/>
              <w:bCs/>
              <w:color w:val="FFFFFF"/>
              <w:sz w:val="16"/>
              <w:szCs w:val="16"/>
            </w:rPr>
            <w:t>ARTIFICIAL</w:t>
          </w:r>
        </w:p>
      </w:tc>
      <w:tc>
        <w:tcPr>
          <w:tcW w:w="5260" w:type="dxa"/>
          <w:tcBorders>
            <w:top w:val="single" w:sz="4" w:space="0" w:color="CCCCCC"/>
            <w:left w:val="single" w:sz="4" w:space="0" w:color="CCCCCC"/>
            <w:bottom w:val="single" w:sz="4" w:space="0" w:color="CCCCCC"/>
            <w:right w:val="single" w:sz="4" w:space="0" w:color="CCCCCC"/>
          </w:tcBorders>
          <w:tcMar>
            <w:top w:w="120" w:type="dxa"/>
            <w:left w:w="120" w:type="dxa"/>
            <w:bottom w:w="120" w:type="dxa"/>
            <w:right w:w="120" w:type="dxa"/>
          </w:tcMar>
          <w:vAlign w:val="center"/>
        </w:tcPr>
        <w:p w14:paraId="1D97AF5C" w14:textId="77777777" w:rsidR="007D487F" w:rsidRDefault="005B1B64">
          <w:pPr>
            <w:jc w:val="center"/>
          </w:pPr>
          <w:r>
            <w:rPr>
              <w:b/>
              <w:bCs/>
              <w:sz w:val="18"/>
              <w:szCs w:val="18"/>
            </w:rPr>
            <w:t>“CASOS DE ESTUDIO: PROYECTOS EXITOSOS Y FALLIDOS EN IA”</w:t>
          </w:r>
        </w:p>
      </w:tc>
      <w:tc>
        <w:tcPr>
          <w:tcW w:w="1500" w:type="dxa"/>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5F2F125E" w14:textId="77777777" w:rsidR="007D487F" w:rsidRDefault="005B1B64">
          <w:pPr>
            <w:jc w:val="center"/>
          </w:pPr>
          <w:r>
            <w:rPr>
              <w:b/>
              <w:bCs/>
              <w:color w:val="7B1A2F"/>
              <w:sz w:val="14"/>
              <w:szCs w:val="14"/>
            </w:rPr>
            <w:t>UEES</w:t>
          </w:r>
        </w:p>
        <w:p w14:paraId="2BE097F6" w14:textId="77777777" w:rsidR="007D487F" w:rsidRDefault="005B1B64">
          <w:pPr>
            <w:jc w:val="center"/>
          </w:pPr>
          <w:r>
            <w:rPr>
              <w:color w:val="7B1A2F"/>
              <w:sz w:val="12"/>
              <w:szCs w:val="12"/>
            </w:rPr>
            <w:t>Universidad</w:t>
          </w:r>
        </w:p>
        <w:p w14:paraId="62327CDA" w14:textId="77777777" w:rsidR="007D487F" w:rsidRDefault="005B1B64">
          <w:pPr>
            <w:jc w:val="center"/>
          </w:pPr>
          <w:r>
            <w:rPr>
              <w:color w:val="7B1A2F"/>
              <w:sz w:val="12"/>
              <w:szCs w:val="12"/>
            </w:rPr>
            <w:t>Espíritu Santo</w:t>
          </w:r>
        </w:p>
      </w:tc>
    </w:tr>
  </w:tbl>
  <w:p w14:paraId="1FA196A7" w14:textId="77777777" w:rsidR="007D487F" w:rsidRDefault="007D487F" w:rsidP="00A6629E">
    <w:pPr>
      <w:spacing w:line="320" w:lineRule="auto"/>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2702F"/>
    <w:multiLevelType w:val="hybridMultilevel"/>
    <w:tmpl w:val="211223DA"/>
    <w:lvl w:ilvl="0" w:tplc="C522432A">
      <w:start w:val="1"/>
      <w:numFmt w:val="bullet"/>
      <w:lvlText w:val=""/>
      <w:lvlJc w:val="left"/>
      <w:pPr>
        <w:ind w:left="720" w:hanging="360"/>
      </w:pPr>
      <w:rPr>
        <w:rFonts w:ascii="Symbol" w:hAnsi="Symbol" w:hint="default"/>
      </w:rPr>
    </w:lvl>
    <w:lvl w:ilvl="1" w:tplc="A57AD0E8">
      <w:numFmt w:val="decimal"/>
      <w:lvlText w:val=""/>
      <w:lvlJc w:val="left"/>
    </w:lvl>
    <w:lvl w:ilvl="2" w:tplc="D06E93F4">
      <w:numFmt w:val="decimal"/>
      <w:lvlText w:val=""/>
      <w:lvlJc w:val="left"/>
    </w:lvl>
    <w:lvl w:ilvl="3" w:tplc="83CA3C3C">
      <w:numFmt w:val="decimal"/>
      <w:lvlText w:val=""/>
      <w:lvlJc w:val="left"/>
    </w:lvl>
    <w:lvl w:ilvl="4" w:tplc="47B8CFA4">
      <w:numFmt w:val="decimal"/>
      <w:lvlText w:val=""/>
      <w:lvlJc w:val="left"/>
    </w:lvl>
    <w:lvl w:ilvl="5" w:tplc="61F0CA8A">
      <w:numFmt w:val="decimal"/>
      <w:lvlText w:val=""/>
      <w:lvlJc w:val="left"/>
    </w:lvl>
    <w:lvl w:ilvl="6" w:tplc="C87013D8">
      <w:numFmt w:val="decimal"/>
      <w:lvlText w:val=""/>
      <w:lvlJc w:val="left"/>
    </w:lvl>
    <w:lvl w:ilvl="7" w:tplc="962A2D14">
      <w:numFmt w:val="decimal"/>
      <w:lvlText w:val=""/>
      <w:lvlJc w:val="left"/>
    </w:lvl>
    <w:lvl w:ilvl="8" w:tplc="C1DCB8B6">
      <w:numFmt w:val="decimal"/>
      <w:lvlText w:val=""/>
      <w:lvlJc w:val="left"/>
    </w:lvl>
  </w:abstractNum>
  <w:abstractNum w:abstractNumId="1" w15:restartNumberingAfterBreak="0">
    <w:nsid w:val="398E301C"/>
    <w:multiLevelType w:val="hybridMultilevel"/>
    <w:tmpl w:val="D1AC2FC6"/>
    <w:lvl w:ilvl="0" w:tplc="454A9E74">
      <w:start w:val="1"/>
      <w:numFmt w:val="bullet"/>
      <w:lvlText w:val="●"/>
      <w:lvlJc w:val="left"/>
      <w:pPr>
        <w:ind w:left="720" w:hanging="360"/>
      </w:pPr>
    </w:lvl>
    <w:lvl w:ilvl="1" w:tplc="7248C764">
      <w:start w:val="1"/>
      <w:numFmt w:val="bullet"/>
      <w:lvlText w:val="○"/>
      <w:lvlJc w:val="left"/>
      <w:pPr>
        <w:ind w:left="1440" w:hanging="360"/>
      </w:pPr>
    </w:lvl>
    <w:lvl w:ilvl="2" w:tplc="F50C600A">
      <w:start w:val="1"/>
      <w:numFmt w:val="bullet"/>
      <w:lvlText w:val="■"/>
      <w:lvlJc w:val="left"/>
      <w:pPr>
        <w:ind w:left="2160" w:hanging="360"/>
      </w:pPr>
    </w:lvl>
    <w:lvl w:ilvl="3" w:tplc="D4520CE8">
      <w:start w:val="1"/>
      <w:numFmt w:val="bullet"/>
      <w:lvlText w:val="●"/>
      <w:lvlJc w:val="left"/>
      <w:pPr>
        <w:ind w:left="2880" w:hanging="360"/>
      </w:pPr>
    </w:lvl>
    <w:lvl w:ilvl="4" w:tplc="5CAE08F4">
      <w:start w:val="1"/>
      <w:numFmt w:val="bullet"/>
      <w:lvlText w:val="○"/>
      <w:lvlJc w:val="left"/>
      <w:pPr>
        <w:ind w:left="3600" w:hanging="360"/>
      </w:pPr>
    </w:lvl>
    <w:lvl w:ilvl="5" w:tplc="EE56065C">
      <w:start w:val="1"/>
      <w:numFmt w:val="bullet"/>
      <w:lvlText w:val="■"/>
      <w:lvlJc w:val="left"/>
      <w:pPr>
        <w:ind w:left="4320" w:hanging="360"/>
      </w:pPr>
    </w:lvl>
    <w:lvl w:ilvl="6" w:tplc="471EC134">
      <w:start w:val="1"/>
      <w:numFmt w:val="bullet"/>
      <w:lvlText w:val="●"/>
      <w:lvlJc w:val="left"/>
      <w:pPr>
        <w:ind w:left="5040" w:hanging="360"/>
      </w:pPr>
    </w:lvl>
    <w:lvl w:ilvl="7" w:tplc="8098ECC2">
      <w:start w:val="1"/>
      <w:numFmt w:val="bullet"/>
      <w:lvlText w:val="●"/>
      <w:lvlJc w:val="left"/>
      <w:pPr>
        <w:ind w:left="5760" w:hanging="360"/>
      </w:pPr>
    </w:lvl>
    <w:lvl w:ilvl="8" w:tplc="602E4414">
      <w:start w:val="1"/>
      <w:numFmt w:val="bullet"/>
      <w:lvlText w:val="●"/>
      <w:lvlJc w:val="left"/>
      <w:pPr>
        <w:ind w:left="6480" w:hanging="360"/>
      </w:pPr>
    </w:lvl>
  </w:abstractNum>
  <w:abstractNum w:abstractNumId="2" w15:restartNumberingAfterBreak="0">
    <w:nsid w:val="60130849"/>
    <w:multiLevelType w:val="hybridMultilevel"/>
    <w:tmpl w:val="F8880A98"/>
    <w:lvl w:ilvl="0" w:tplc="C522432A">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1"/>
    <w:lvlOverride w:ilvl="0">
      <w:startOverride w:val="1"/>
    </w:lvlOverride>
  </w:num>
  <w:num w:numId="2">
    <w:abstractNumId w:val="0"/>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487F"/>
    <w:rsid w:val="002A2843"/>
    <w:rsid w:val="005B1B64"/>
    <w:rsid w:val="0067226C"/>
    <w:rsid w:val="007D487F"/>
    <w:rsid w:val="00A6629E"/>
    <w:rsid w:val="00E22CC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91DB96"/>
  <w15:docId w15:val="{F4C9D2C3-9686-487E-B06D-9501CFE9E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A6629E"/>
    <w:pPr>
      <w:tabs>
        <w:tab w:val="center" w:pos="4252"/>
        <w:tab w:val="right" w:pos="8504"/>
      </w:tabs>
    </w:pPr>
  </w:style>
  <w:style w:type="character" w:customStyle="1" w:styleId="EncabezadoCar">
    <w:name w:val="Encabezado Car"/>
    <w:basedOn w:val="Fuentedeprrafopredeter"/>
    <w:link w:val="Encabezado"/>
    <w:uiPriority w:val="99"/>
    <w:rsid w:val="00A6629E"/>
  </w:style>
  <w:style w:type="paragraph" w:styleId="Piedepgina">
    <w:name w:val="footer"/>
    <w:basedOn w:val="Normal"/>
    <w:link w:val="PiedepginaCar"/>
    <w:uiPriority w:val="99"/>
    <w:unhideWhenUsed/>
    <w:rsid w:val="00A6629E"/>
    <w:pPr>
      <w:tabs>
        <w:tab w:val="center" w:pos="4252"/>
        <w:tab w:val="right" w:pos="8504"/>
      </w:tabs>
    </w:pPr>
  </w:style>
  <w:style w:type="character" w:customStyle="1" w:styleId="PiedepginaCar">
    <w:name w:val="Pie de página Car"/>
    <w:basedOn w:val="Fuentedeprrafopredeter"/>
    <w:link w:val="Piedepgina"/>
    <w:uiPriority w:val="99"/>
    <w:rsid w:val="00A662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02DB87-41C4-45E7-B90F-E96A3BD43F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5750</Words>
  <Characters>31631</Characters>
  <Application>Microsoft Office Word</Application>
  <DocSecurity>0</DocSecurity>
  <Lines>263</Lines>
  <Paragraphs>74</Paragraphs>
  <ScaleCrop>false</ScaleCrop>
  <HeadingPairs>
    <vt:vector size="2" baseType="variant">
      <vt:variant>
        <vt:lpstr>Título</vt:lpstr>
      </vt:variant>
      <vt:variant>
        <vt:i4>1</vt:i4>
      </vt:variant>
    </vt:vector>
  </HeadingPairs>
  <TitlesOfParts>
    <vt:vector size="1" baseType="lpstr">
      <vt:lpstr>Casos de Estudio: Proyectos Exitosos y Fallidos en IA</vt:lpstr>
    </vt:vector>
  </TitlesOfParts>
  <Company/>
  <LinksUpToDate>false</LinksUpToDate>
  <CharactersWithSpaces>37307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Casos de Estudio: Proyectos Exitosos y Fallidos en IA</dc:title>
  <dc:creator>Grupo 1 - UEES</dc:creator>
  <cp:lastModifiedBy>Andrés Sánchez Arévalo</cp:lastModifiedBy>
  <cp:revision>5</cp:revision>
  <cp:lastPrinted>2026-04-27T20:32:00Z</cp:lastPrinted>
  <dcterms:created xsi:type="dcterms:W3CDTF">2026-04-26T16:20:00Z</dcterms:created>
  <dcterms:modified xsi:type="dcterms:W3CDTF">2026-04-27T20:32:00Z</dcterms:modified>
</cp:coreProperties>
</file>