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0" w:before="0"/>
        <w:jc w:val="center"/>
      </w:pPr>
      <w:r>
        <w:rPr>
          <w:rFonts w:ascii="Arial" w:cs="Arial" w:eastAsia="Arial" w:hAnsi="Arial"/>
          <w:b/>
          <w:bCs/>
          <w:color w:val="1A3557"/>
          <w:sz w:val="48"/>
          <w:szCs w:val="48"/>
        </w:rPr>
        <w:t xml:space="preserve">INFORME DE PREPARACIÓN Y</w:t>
      </w:r>
    </w:p>
    <w:p>
      <w:pPr>
        <w:spacing w:after="60" w:before="0"/>
        <w:jc w:val="center"/>
      </w:pPr>
      <w:r>
        <w:rPr>
          <w:rFonts w:ascii="Arial" w:cs="Arial" w:eastAsia="Arial" w:hAnsi="Arial"/>
          <w:b/>
          <w:bCs/>
          <w:color w:val="1A3557"/>
          <w:sz w:val="48"/>
          <w:szCs w:val="48"/>
        </w:rPr>
        <w:t xml:space="preserve">PROCESAMIENTO DE DATOS</w:t>
      </w:r>
    </w:p>
    <w:p>
      <w:pPr>
        <w:spacing w:after="240" w:before="0"/>
        <w:jc w:val="center"/>
      </w:pPr>
      <w:r>
        <w:rPr>
          <w:rFonts w:ascii="Arial" w:cs="Arial" w:eastAsia="Arial" w:hAnsi="Arial"/>
          <w:i/>
          <w:iCs/>
          <w:color w:val="2B6CB0"/>
          <w:sz w:val="30"/>
          <w:szCs w:val="30"/>
        </w:rPr>
        <w:t xml:space="preserve">Spider Dataset — Text-to-SQL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sz="0"/>
              <w:left w:val="none" w:sz="0"/>
              <w:bottom w:val="none" w:sz="0"/>
              <w:right w:val="none" w:sz="0"/>
            </w:tcBorders>
            <w:shd w:fill="1A3557" w:val="clear"/>
            <w:tcMar>
              <w:top w:type="dxa" w:w="200"/>
              <w:left w:type="dxa" w:w="400"/>
              <w:bottom w:type="dxa" w:w="200"/>
              <w:right w:type="dxa" w:w="400"/>
            </w:tcMar>
          </w:tcPr>
          <w:p>
            <w:pPr>
              <w:jc w:val="center"/>
            </w:pPr>
            <w:r>
              <w:rPr>
                <w:rFonts w:ascii="Arial" w:cs="Arial" w:eastAsia="Arial" w:hAnsi="Arial"/>
                <w:color w:val="FFFFFF"/>
                <w:sz w:val="26"/>
                <w:szCs w:val="26"/>
              </w:rPr>
              <w:t xml:space="preserve">Análisis Comparativo de Técnicas de IA para</w:t>
            </w:r>
          </w:p>
          <w:p>
            <w:pPr>
              <w:jc w:val="center"/>
            </w:pPr>
            <w:r>
              <w:rPr>
                <w:rFonts w:ascii="Arial" w:cs="Arial" w:eastAsia="Arial" w:hAnsi="Arial"/>
                <w:b/>
                <w:bCs/>
                <w:color w:val="FFFFFF"/>
                <w:sz w:val="26"/>
                <w:szCs w:val="26"/>
              </w:rPr>
              <w:t xml:space="preserve">Text-to-SQL con Visualización Automática</w:t>
            </w:r>
          </w:p>
        </w:tc>
      </w:tr>
    </w:tbl>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A3557"/>
                <w:sz w:val="20"/>
                <w:szCs w:val="20"/>
              </w:rPr>
              <w:t xml:space="preserve">Autores</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Sánchez Arévalo Aníbal Andrés</w:t>
            </w:r>
          </w:p>
          <w:p>
            <w:r>
              <w:rPr>
                <w:rFonts w:ascii="Arial" w:cs="Arial" w:eastAsia="Arial" w:hAnsi="Arial"/>
                <w:color w:val="1A1A2E"/>
                <w:sz w:val="20"/>
                <w:szCs w:val="20"/>
              </w:rPr>
              <w:t xml:space="preserve">Cabrera Parrales Joel David</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A3557"/>
                <w:sz w:val="20"/>
                <w:szCs w:val="20"/>
              </w:rPr>
              <w:t xml:space="preserve">Grupo</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Grupo Sánchez-Cabrera</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A3557"/>
                <w:sz w:val="20"/>
                <w:szCs w:val="20"/>
              </w:rPr>
              <w:t xml:space="preserve">Tutora</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Mg. Alexandra Arciniegas C.</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A3557"/>
                <w:sz w:val="20"/>
                <w:szCs w:val="20"/>
              </w:rPr>
              <w:t xml:space="preserve">Institución</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UEES — Maestría en Inteligencia Artificial</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A3557"/>
                <w:sz w:val="20"/>
                <w:szCs w:val="20"/>
              </w:rPr>
              <w:t xml:space="preserve">Fecha</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Abril 2025</w:t>
            </w:r>
          </w:p>
        </w:tc>
      </w:tr>
    </w:tbl>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1. Introducción</w:t>
      </w:r>
    </w:p>
    <w:p>
      <w:pPr>
        <w:spacing w:after="60" w:before="60"/>
        <w:jc w:val="both"/>
      </w:pPr>
      <w:r>
        <w:rPr>
          <w:rFonts w:ascii="Arial" w:cs="Arial" w:eastAsia="Arial" w:hAnsi="Arial"/>
          <w:color w:val="1A1A2E"/>
          <w:sz w:val="22"/>
          <w:szCs w:val="22"/>
        </w:rPr>
        <w:t xml:space="preserve">El presente informe documenta la fase de preparación y procesamiento de datos del proyecto de Análisis Comparativo de Técnicas de IA para Text-to-SQL con Visualización Automática, desarrollado como parte de la Maestría en Inteligencia Artificial de la Universidad de Especialidades Espíritu Santo (UEES).</w:t>
      </w:r>
    </w:p>
    <w:p>
      <w:pPr>
        <w:spacing w:after="60" w:before="60"/>
        <w:jc w:val="both"/>
      </w:pPr>
      <w:r>
        <w:rPr>
          <w:rFonts w:ascii="Arial" w:cs="Arial" w:eastAsia="Arial" w:hAnsi="Arial"/>
          <w:color w:val="1A1A2E"/>
          <w:sz w:val="22"/>
          <w:szCs w:val="22"/>
        </w:rPr>
        <w:t xml:space="preserve">La preparación de datos constituye una etapa crítica en cualquier proyecto de aprendizaje automático. Para sistemas Text-to-SQL, esta fase es particularmente exigente dado que los datos combinan dos modalidades: lenguaje natural (preguntas de usuario) y lenguaje estructurado (consultas SQL), cada una con sus propias características y desafíos de procesamiento.</w:t>
      </w:r>
    </w:p>
    <w:p>
      <w:pPr>
        <w:spacing w:after="0" w:before="80"/>
      </w:pPr>
    </w:p>
    <w:p>
      <w:pPr>
        <w:pStyle w:val="Heading2"/>
        <w:spacing w:after="80" w:before="240"/>
      </w:pPr>
      <w:r>
        <w:rPr>
          <w:rFonts w:ascii="Arial" w:cs="Arial" w:eastAsia="Arial" w:hAnsi="Arial"/>
          <w:b/>
          <w:bCs/>
          <w:color w:val="2B6CB0"/>
          <w:sz w:val="26"/>
          <w:szCs w:val="26"/>
        </w:rPr>
        <w:t xml:space="preserve">1.1 Dataset Seleccionado</w:t>
      </w:r>
    </w:p>
    <w:p>
      <w:pPr>
        <w:spacing w:after="60" w:before="60"/>
        <w:jc w:val="both"/>
      </w:pPr>
      <w:r>
        <w:rPr>
          <w:rFonts w:ascii="Arial" w:cs="Arial" w:eastAsia="Arial" w:hAnsi="Arial"/>
          <w:color w:val="1A1A2E"/>
          <w:sz w:val="22"/>
          <w:szCs w:val="22"/>
        </w:rPr>
        <w:t xml:space="preserve">Se trabajó con el dataset Spider (Yale University, EMNLP 2018), descargado íntegramente desde Hugging Face Hub mediante la librería datasets. Spider es el benchmark estándar de la industria para la tarea Text-to-SQL, ampliamente citado en la literatura científica y adoptado como referencia en competencias internacionales.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w:t>
            </w:r>
          </w:p>
        </w:tc>
        <w:tc>
          <w:tcPr>
            <w:tcW w:type="dxa" w:w="45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Fuente</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Yale University — EMNLP 2018</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Hub</w:t>
            </w:r>
          </w:p>
        </w:tc>
        <w:tc>
          <w:tcPr>
            <w:tcW w:type="dxa" w:w="4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xlangai/spider (Hugging Face)</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Total de ejemplos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8,034</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Split Train</w:t>
            </w:r>
          </w:p>
        </w:tc>
        <w:tc>
          <w:tcPr>
            <w:tcW w:type="dxa" w:w="4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7,000 ejemplos</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Split Validation</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1,034 ejemplos</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Bases de datos únicas</w:t>
            </w:r>
          </w:p>
        </w:tc>
        <w:tc>
          <w:tcPr>
            <w:tcW w:type="dxa" w:w="4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Dominios cubiertos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138</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Licencia</w:t>
            </w:r>
          </w:p>
        </w:tc>
        <w:tc>
          <w:tcPr>
            <w:tcW w:type="dxa" w:w="4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CC BY-SA 4.0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Referencia</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Yu et al. (2018), EMNLP</w:t>
            </w:r>
          </w:p>
        </w:tc>
      </w:tr>
    </w:tbl>
    <w:p>
      <w:pPr>
        <w:spacing w:after="0" w:before="120"/>
      </w:pPr>
    </w:p>
    <w:p>
      <w:pPr>
        <w:spacing w:after="60" w:before="60"/>
        <w:jc w:val="both"/>
      </w:pPr>
      <w:r>
        <w:rPr>
          <w:rFonts w:ascii="Arial" w:cs="Arial" w:eastAsia="Arial" w:hAnsi="Arial"/>
          <w:color w:val="1A1A2E"/>
          <w:sz w:val="22"/>
          <w:szCs w:val="22"/>
        </w:rPr>
        <w:t xml:space="preserve">Cada ejemplo del dataset contiene: (1) una pregunta en lenguaje natural en inglés, (2) la consulta SQL correspondiente ejecutable sobre una base de datos relacional, (3) el identificador de la base de datos y (4) el nivel de dificultad de la consulta (easy, medium, hard, extra hard).</w:t>
      </w:r>
    </w:p>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2. Resultados del Análisis Exploratorio de Datos (EDA)</w:t>
      </w:r>
    </w:p>
    <w:p>
      <w:pPr>
        <w:spacing w:after="60" w:before="60"/>
        <w:jc w:val="both"/>
      </w:pPr>
      <w:r>
        <w:rPr>
          <w:rFonts w:ascii="Arial" w:cs="Arial" w:eastAsia="Arial" w:hAnsi="Arial"/>
          <w:color w:val="1A1A2E"/>
          <w:sz w:val="22"/>
          <w:szCs w:val="22"/>
        </w:rPr>
        <w:t xml:space="preserve">El Análisis Exploratorio de Datos fue la primera etapa ejecutada sobre el dataset completo. Su objetivo fue caracterizar estadísticamente las variables, identificar problemas de calidad y guiar las decisiones de preprocesamiento posteriores.</w:t>
      </w:r>
    </w:p>
    <w:p>
      <w:pPr>
        <w:pStyle w:val="Heading2"/>
        <w:spacing w:after="80" w:before="240"/>
      </w:pPr>
      <w:r>
        <w:rPr>
          <w:rFonts w:ascii="Arial" w:cs="Arial" w:eastAsia="Arial" w:hAnsi="Arial"/>
          <w:b/>
          <w:bCs/>
          <w:color w:val="2B6CB0"/>
          <w:sz w:val="26"/>
          <w:szCs w:val="26"/>
        </w:rPr>
        <w:t xml:space="preserve">2.1 Estadísticas Descriptivas Generales</w:t>
      </w:r>
    </w:p>
    <w:p>
      <w:pPr>
        <w:spacing w:after="60" w:before="60"/>
        <w:jc w:val="both"/>
      </w:pPr>
      <w:r>
        <w:rPr>
          <w:rFonts w:ascii="Arial" w:cs="Arial" w:eastAsia="Arial" w:hAnsi="Arial"/>
          <w:color w:val="1A1A2E"/>
          <w:sz w:val="22"/>
          <w:szCs w:val="22"/>
        </w:rPr>
        <w:t xml:space="preserve">A continuación se presentan las estadísticas descriptivas calculadas sobre las variables numéricas principales del dataset:</w:t>
      </w:r>
    </w:p>
    <w:p>
      <w:pPr>
        <w:spacing w:after="0" w:before="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900"/>
        <w:gridCol w:w="1100"/>
        <w:gridCol w:w="626"/>
      </w:tblGrid>
      <w:tr>
        <w:trPr>
          <w:tblHeader/>
        </w:trPr>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1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w:t>
            </w:r>
          </w:p>
        </w:tc>
        <w:tc>
          <w:tcPr>
            <w:tcW w:type="dxa" w:w="11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Desv. Est.</w:t>
            </w:r>
          </w:p>
        </w:tc>
        <w:tc>
          <w:tcPr>
            <w:tcW w:type="dxa" w:w="9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Mínimo</w:t>
            </w:r>
          </w:p>
        </w:tc>
        <w:tc>
          <w:tcPr>
            <w:tcW w:type="dxa" w:w="11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Mediana</w:t>
            </w:r>
          </w:p>
        </w:tc>
        <w:tc>
          <w:tcPr>
            <w:tcW w:type="dxa" w:w="6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Máximo</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Palabras en pregunta NL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12.69</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4.31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12</w:t>
            </w:r>
          </w:p>
        </w:tc>
        <w:tc>
          <w:tcPr>
            <w:tcW w:type="dxa" w:w="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74</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Tokens en consulta SQL</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17.8</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11.2</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14</w:t>
            </w:r>
          </w:p>
        </w:tc>
        <w:tc>
          <w:tcPr>
            <w:tcW w:type="dxa" w:w="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168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Longitud SQL (chars)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70</w:t>
            </w:r>
          </w:p>
        </w:tc>
        <w:tc>
          <w:tcPr>
            <w:tcW w:type="dxa" w:w="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820</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Número de cláusulas SQL</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3.1</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1.4</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w:t>
            </w:r>
          </w:p>
        </w:tc>
        <w:tc>
          <w:tcPr>
            <w:tcW w:type="dxa" w:w="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Número de JOINs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0.82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w:t>
            </w:r>
          </w:p>
        </w:tc>
        <w:tc>
          <w:tcPr>
            <w:tcW w:type="dxa" w:w="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Score de complejidad</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2.63</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2.91</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23</w:t>
            </w:r>
          </w:p>
        </w:tc>
      </w:tr>
    </w:tbl>
    <w:p>
      <w:pPr>
        <w:spacing w:after="0" w:before="120"/>
      </w:pPr>
    </w:p>
    <w:p>
      <w:pPr>
        <w:pStyle w:val="Heading2"/>
        <w:spacing w:after="80" w:before="240"/>
      </w:pPr>
      <w:r>
        <w:rPr>
          <w:rFonts w:ascii="Arial" w:cs="Arial" w:eastAsia="Arial" w:hAnsi="Arial"/>
          <w:b/>
          <w:bCs/>
          <w:color w:val="2B6CB0"/>
          <w:sz w:val="26"/>
          <w:szCs w:val="26"/>
        </w:rPr>
        <w:t xml:space="preserve">2.2 Distribución de la Variable Objetivo: Dificultad SQL</w:t>
      </w:r>
    </w:p>
    <w:p>
      <w:pPr>
        <w:spacing w:after="60" w:before="60"/>
        <w:jc w:val="both"/>
      </w:pPr>
      <w:r>
        <w:rPr>
          <w:rFonts w:ascii="Arial" w:cs="Arial" w:eastAsia="Arial" w:hAnsi="Arial"/>
          <w:color w:val="1A1A2E"/>
          <w:sz w:val="22"/>
          <w:szCs w:val="22"/>
        </w:rPr>
        <w:t xml:space="preserve">Spider define cuatro niveles de dificultad para las consultas SQL. La distribución de estos niveles en el dataset completo (train + validation) es la siguiente: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426"/>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Porcentaje</w:t>
            </w:r>
          </w:p>
        </w:tc>
        <w:tc>
          <w:tcPr>
            <w:tcW w:type="dxa" w:w="44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SQL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Easy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2,380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29.6%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SELECT simple, sin JOIN ni GROUP BY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3,940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49.0%</w:t>
            </w:r>
          </w:p>
        </w:tc>
        <w:tc>
          <w:tcPr>
            <w:tcW w:type="dxa" w:w="4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Con JOIN o GROUP BY o ORDER BY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1,049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13.1%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Subconsultas o JOINs múltiples + GROUP BY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Extra Hard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665</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8.3%</w:t>
            </w:r>
          </w:p>
        </w:tc>
        <w:tc>
          <w:tcPr>
            <w:tcW w:type="dxa" w:w="4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UNION / INTERSECT / EXCEPT / anidamiento complejo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8,034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w:t>
            </w:r>
          </w:p>
        </w:tc>
      </w:tr>
    </w:tbl>
    <w:p>
      <w:pPr>
        <w:spacing w:after="0" w:before="120"/>
      </w:pPr>
    </w:p>
    <w:p>
      <w:pPr>
        <w:spacing w:after="80" w:before="60"/>
        <w:ind w:left="400"/>
      </w:pPr>
      <w:r>
        <w:rPr>
          <w:rFonts w:ascii="Arial" w:cs="Arial" w:eastAsia="Arial" w:hAnsi="Arial"/>
          <w:i/>
          <w:iCs/>
          <w:color w:val="555555"/>
          <w:sz w:val="20"/>
          <w:szCs w:val="20"/>
        </w:rPr>
        <w:t xml:space="preserve">📌 El ratio de desbalance entre la clase mayoritaria (medium: 49.0%) y la minoritaria (extra: 8.3%) es de 5.9x, lo que supera el umbral de 3x considerado problemático para modelos de clasificación.</w:t>
      </w:r>
    </w:p>
    <w:p>
      <w:pPr>
        <w:pStyle w:val="Heading2"/>
        <w:spacing w:after="80" w:before="240"/>
      </w:pPr>
      <w:r>
        <w:rPr>
          <w:rFonts w:ascii="Arial" w:cs="Arial" w:eastAsia="Arial" w:hAnsi="Arial"/>
          <w:b/>
          <w:bCs/>
          <w:color w:val="2B6CB0"/>
          <w:sz w:val="26"/>
          <w:szCs w:val="26"/>
        </w:rPr>
        <w:t xml:space="preserve">2.3 Análisis de Cláusulas SQL por Nivel de Dificultad</w:t>
      </w:r>
    </w:p>
    <w:p>
      <w:pPr>
        <w:spacing w:after="60" w:before="60"/>
        <w:jc w:val="both"/>
      </w:pPr>
      <w:r>
        <w:rPr>
          <w:rFonts w:ascii="Arial" w:cs="Arial" w:eastAsia="Arial" w:hAnsi="Arial"/>
          <w:color w:val="1A1A2E"/>
          <w:sz w:val="22"/>
          <w:szCs w:val="22"/>
        </w:rPr>
        <w:t xml:space="preserve">Se analizó la presencia de las principales cláusulas SQL en función del nivel de dificultad, revelando patrones estructurales claros:</w:t>
      </w:r>
    </w:p>
    <w:p>
      <w:pPr>
        <w:spacing w:after="0" w:before="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1"/>
        <w:gridCol w:w="1300"/>
        <w:gridCol w:w="1300"/>
        <w:gridCol w:w="1295"/>
      </w:tblGrid>
      <w:tr>
        <w:trPr>
          <w:tblHeader/>
        </w:trPr>
        <w:tc>
          <w:tcPr>
            <w:tcW w:type="dxa" w:w="2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Cláusula SQL</w:t>
            </w:r>
          </w:p>
        </w:tc>
        <w:tc>
          <w:tcPr>
            <w:tcW w:type="dxa" w:w="163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Easy</w:t>
            </w:r>
          </w:p>
        </w:tc>
        <w:tc>
          <w:tcPr>
            <w:tcW w:type="dxa" w:w="13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3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Hard</w:t>
            </w:r>
          </w:p>
        </w:tc>
        <w:tc>
          <w:tcPr>
            <w:tcW w:type="dxa" w:w="1295"/>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Extra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JOIN</w:t>
            </w:r>
          </w:p>
        </w:tc>
        <w:tc>
          <w:tcPr>
            <w:tcW w:type="dxa" w:w="163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89%</w:t>
            </w:r>
          </w:p>
        </w:tc>
        <w:tc>
          <w:tcPr>
            <w:tcW w:type="dxa" w:w="12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78%</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WHERE</w:t>
            </w:r>
          </w:p>
        </w:tc>
        <w:tc>
          <w:tcPr>
            <w:tcW w:type="dxa" w:w="163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68%</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71%</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82%</w:t>
            </w:r>
          </w:p>
        </w:tc>
        <w:tc>
          <w:tcPr>
            <w:tcW w:type="dxa" w:w="129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GROUP BY</w:t>
            </w:r>
          </w:p>
        </w:tc>
        <w:tc>
          <w:tcPr>
            <w:tcW w:type="dxa" w:w="163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62%</w:t>
            </w:r>
          </w:p>
        </w:tc>
        <w:tc>
          <w:tcPr>
            <w:tcW w:type="dxa" w:w="12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45%</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ORDER BY</w:t>
            </w:r>
          </w:p>
        </w:tc>
        <w:tc>
          <w:tcPr>
            <w:tcW w:type="dxa" w:w="163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38%</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29%</w:t>
            </w:r>
          </w:p>
        </w:tc>
        <w:tc>
          <w:tcPr>
            <w:tcW w:type="dxa" w:w="129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HAVING</w:t>
            </w:r>
          </w:p>
        </w:tc>
        <w:tc>
          <w:tcPr>
            <w:tcW w:type="dxa" w:w="163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28%</w:t>
            </w:r>
          </w:p>
        </w:tc>
        <w:tc>
          <w:tcPr>
            <w:tcW w:type="dxa" w:w="12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31%</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Subconsulta</w:t>
            </w:r>
          </w:p>
        </w:tc>
        <w:tc>
          <w:tcPr>
            <w:tcW w:type="dxa" w:w="163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62%</w:t>
            </w:r>
          </w:p>
        </w:tc>
        <w:tc>
          <w:tcPr>
            <w:tcW w:type="dxa" w:w="129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88%</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UNION/INTERSECT</w:t>
            </w:r>
          </w:p>
        </w:tc>
        <w:tc>
          <w:tcPr>
            <w:tcW w:type="dxa" w:w="163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12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41%</w:t>
            </w:r>
          </w:p>
        </w:tc>
      </w:tr>
    </w:tbl>
    <w:p>
      <w:pPr>
        <w:spacing w:after="0" w:before="120"/>
      </w:pPr>
    </w:p>
    <w:p>
      <w:pPr>
        <w:spacing w:after="60" w:before="60"/>
        <w:jc w:val="both"/>
      </w:pPr>
      <w:r>
        <w:rPr>
          <w:rFonts w:ascii="Arial" w:cs="Arial" w:eastAsia="Arial" w:hAnsi="Arial"/>
          <w:color w:val="1A1A2E"/>
          <w:sz w:val="22"/>
          <w:szCs w:val="22"/>
        </w:rPr>
        <w:t xml:space="preserve">El análisis de cláusulas confirma la lógica de anotación original: la complejidad aumenta progresivamente con la incorporación de JOINs, subconsultas y operadores de conjunto.</w:t>
      </w:r>
    </w:p>
    <w:p>
      <w:pPr>
        <w:pStyle w:val="Heading2"/>
        <w:spacing w:after="80" w:before="240"/>
      </w:pPr>
      <w:r>
        <w:rPr>
          <w:rFonts w:ascii="Arial" w:cs="Arial" w:eastAsia="Arial" w:hAnsi="Arial"/>
          <w:b/>
          <w:bCs/>
          <w:color w:val="2B6CB0"/>
          <w:sz w:val="26"/>
          <w:szCs w:val="26"/>
        </w:rPr>
        <w:t xml:space="preserve">2.4 Hallazgos del Análisis de Calidad de Datos</w:t>
      </w:r>
    </w:p>
    <w:p>
      <w:pPr>
        <w:spacing w:after="60" w:before="60"/>
        <w:jc w:val="both"/>
      </w:pPr>
      <w:r>
        <w:rPr>
          <w:rFonts w:ascii="Arial" w:cs="Arial" w:eastAsia="Arial" w:hAnsi="Arial"/>
          <w:color w:val="1A1A2E"/>
          <w:sz w:val="22"/>
          <w:szCs w:val="22"/>
        </w:rPr>
        <w:t xml:space="preserve">El reporte de calidad ejecutado sobre el dataset arrojó los siguientes resultados:</w:t>
      </w:r>
    </w:p>
    <w:p>
      <w:pPr>
        <w:pStyle w:val="ListParagraph"/>
        <w:numPr>
          <w:ilvl w:val="0"/>
          <w:numId w:val="2"/>
        </w:numPr>
        <w:spacing w:after="40" w:before="40"/>
      </w:pPr>
      <w:r>
        <w:rPr>
          <w:rFonts w:ascii="Arial" w:cs="Arial" w:eastAsia="Arial" w:hAnsi="Arial"/>
          <w:color w:val="1A1A2E"/>
          <w:sz w:val="22"/>
          <w:szCs w:val="22"/>
        </w:rPr>
        <w:t xml:space="preserve">Valores nulos: 0 en todas las columnas — el dataset no requiere imputación primaria.</w:t>
      </w:r>
    </w:p>
    <w:p>
      <w:pPr>
        <w:pStyle w:val="ListParagraph"/>
        <w:numPr>
          <w:ilvl w:val="0"/>
          <w:numId w:val="2"/>
        </w:numPr>
        <w:spacing w:after="40" w:before="40"/>
      </w:pPr>
      <w:r>
        <w:rPr>
          <w:rFonts w:ascii="Arial" w:cs="Arial" w:eastAsia="Arial" w:hAnsi="Arial"/>
          <w:color w:val="1A1A2E"/>
          <w:sz w:val="22"/>
          <w:szCs w:val="22"/>
        </w:rPr>
        <w:t xml:space="preserve">Duplicados exactos (pregunta + SQL idénticos): 21 registros — eliminados en limpieza.</w:t>
      </w:r>
    </w:p>
    <w:p>
      <w:pPr>
        <w:pStyle w:val="ListParagraph"/>
        <w:numPr>
          <w:ilvl w:val="0"/>
          <w:numId w:val="2"/>
        </w:numPr>
        <w:spacing w:after="40" w:before="40"/>
      </w:pPr>
      <w:r>
        <w:rPr>
          <w:rFonts w:ascii="Arial" w:cs="Arial" w:eastAsia="Arial" w:hAnsi="Arial"/>
          <w:color w:val="1A1A2E"/>
          <w:sz w:val="22"/>
          <w:szCs w:val="22"/>
        </w:rPr>
        <w:t xml:space="preserve">Preguntas duplicadas (misma pregunta, diferente SQL): 33 registros — corresponden a paráfrasis naturales.</w:t>
      </w:r>
    </w:p>
    <w:p>
      <w:pPr>
        <w:pStyle w:val="ListParagraph"/>
        <w:numPr>
          <w:ilvl w:val="0"/>
          <w:numId w:val="2"/>
        </w:numPr>
        <w:spacing w:after="40" w:before="40"/>
      </w:pPr>
      <w:r>
        <w:rPr>
          <w:rFonts w:ascii="Arial" w:cs="Arial" w:eastAsia="Arial" w:hAnsi="Arial"/>
          <w:color w:val="1A1A2E"/>
          <w:sz w:val="22"/>
          <w:szCs w:val="22"/>
        </w:rPr>
        <w:t xml:space="preserve">Consultas SQL duplicadas (mismo SQL, diferente pregunta): 1,043 — esperado y válido.</w:t>
      </w:r>
    </w:p>
    <w:p>
      <w:pPr>
        <w:pStyle w:val="ListParagraph"/>
        <w:numPr>
          <w:ilvl w:val="0"/>
          <w:numId w:val="2"/>
        </w:numPr>
        <w:spacing w:after="40" w:before="40"/>
      </w:pPr>
      <w:r>
        <w:rPr>
          <w:rFonts w:ascii="Arial" w:cs="Arial" w:eastAsia="Arial" w:hAnsi="Arial"/>
          <w:color w:val="1A1A2E"/>
          <w:sz w:val="22"/>
          <w:szCs w:val="22"/>
        </w:rPr>
        <w:t xml:space="preserve">Preguntas &lt; 3 palabras: 0 — sin outliers extremos de longitud mínima.</w:t>
      </w:r>
    </w:p>
    <w:p>
      <w:pPr>
        <w:pStyle w:val="ListParagraph"/>
        <w:numPr>
          <w:ilvl w:val="0"/>
          <w:numId w:val="2"/>
        </w:numPr>
        <w:spacing w:after="40" w:before="40"/>
      </w:pPr>
      <w:r>
        <w:rPr>
          <w:rFonts w:ascii="Arial" w:cs="Arial" w:eastAsia="Arial" w:hAnsi="Arial"/>
          <w:color w:val="1A1A2E"/>
          <w:sz w:val="22"/>
          <w:szCs w:val="22"/>
        </w:rPr>
        <w:t xml:space="preserve">SQLs sin cláusula SELECT: 0 — todas las consultas están bien formadas.</w:t>
      </w:r>
    </w:p>
    <w:p>
      <w:pPr>
        <w:spacing w:after="80" w:before="60"/>
        <w:ind w:left="400"/>
      </w:pPr>
      <w:r>
        <w:rPr>
          <w:rFonts w:ascii="Arial" w:cs="Arial" w:eastAsia="Arial" w:hAnsi="Arial"/>
          <w:i/>
          <w:iCs/>
          <w:color w:val="555555"/>
          <w:sz w:val="20"/>
          <w:szCs w:val="20"/>
        </w:rPr>
        <w:t xml:space="preserve">📌 La alta calidad base del dataset Spider refleja el proceso de anotación riguroso realizado por 11 estudiantes de Yale con revisión experta. Sin embargo, el desbalance de clases requiere tratamiento explícito.</w:t>
      </w:r>
    </w:p>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3. Pipeline de Limpieza de Datos</w:t>
      </w:r>
    </w:p>
    <w:p>
      <w:pPr>
        <w:spacing w:after="60" w:before="60"/>
        <w:jc w:val="both"/>
      </w:pPr>
      <w:r>
        <w:rPr>
          <w:rFonts w:ascii="Arial" w:cs="Arial" w:eastAsia="Arial" w:hAnsi="Arial"/>
          <w:color w:val="1A1A2E"/>
          <w:sz w:val="22"/>
          <w:szCs w:val="22"/>
        </w:rPr>
        <w:t xml:space="preserve">Basándonos en los hallazgos del EDA, se diseñó e implementó un pipeline de limpieza sistemático de cuatro pasos. Cada paso está documentado y justificado académicamente para garantizar la reproducibilidad del proceso.</w:t>
      </w:r>
    </w:p>
    <w:p>
      <w:pPr>
        <w:pStyle w:val="Heading2"/>
        <w:spacing w:after="80" w:before="240"/>
      </w:pPr>
      <w:r>
        <w:rPr>
          <w:rFonts w:ascii="Arial" w:cs="Arial" w:eastAsia="Arial" w:hAnsi="Arial"/>
          <w:b/>
          <w:bCs/>
          <w:color w:val="2B6CB0"/>
          <w:sz w:val="26"/>
          <w:szCs w:val="26"/>
        </w:rPr>
        <w:t xml:space="preserve">3.1 Pasos del Pipeline</w:t>
      </w:r>
    </w:p>
    <w:p>
      <w:pPr>
        <w:spacing w:after="60" w:before="180"/>
      </w:pPr>
      <w:r>
        <w:rPr>
          <w:rFonts w:ascii="Arial" w:cs="Arial" w:eastAsia="Arial" w:hAnsi="Arial"/>
          <w:b/>
          <w:bCs/>
          <w:color w:val="1A3557"/>
          <w:sz w:val="22"/>
          <w:szCs w:val="22"/>
        </w:rPr>
        <w:t xml:space="preserve">Paso 1 — Normalización de texto en preguntas NL</w:t>
      </w:r>
    </w:p>
    <w:p>
      <w:pPr>
        <w:spacing w:after="60" w:before="60"/>
        <w:jc w:val="both"/>
      </w:pPr>
      <w:r>
        <w:rPr>
          <w:rFonts w:ascii="Arial" w:cs="Arial" w:eastAsia="Arial" w:hAnsi="Arial"/>
          <w:color w:val="1A1A2E"/>
          <w:sz w:val="22"/>
          <w:szCs w:val="22"/>
        </w:rPr>
        <w:t xml:space="preserve">Se aplicó normalización Unicode NFC para garantizar representación canónica de caracteres. Se eliminaron espacios múltiples y al inicio/fin de cada pregunta. Se estandarizó la capitalización (primera letra en mayúscula) y se aseguró que todas las preguntas terminen con signo de interrogación.</w:t>
      </w:r>
    </w:p>
    <w:p>
      <w:pPr>
        <w:spacing w:after="80" w:before="60"/>
        <w:ind w:left="400"/>
      </w:pPr>
      <w:r>
        <w:rPr>
          <w:rFonts w:ascii="Arial" w:cs="Arial" w:eastAsia="Arial" w:hAnsi="Arial"/>
          <w:i/>
          <w:iCs/>
          <w:color w:val="555555"/>
          <w:sz w:val="20"/>
          <w:szCs w:val="20"/>
        </w:rPr>
        <w:t xml:space="preserve">📌 Justificación: la consistencia tipográfica reduce el vocabulario efectivo de los modelos de lenguaje y mejora la calidad de las representaciones TF-IDF y los embeddings.</w:t>
      </w:r>
    </w:p>
    <w:p>
      <w:pPr>
        <w:spacing w:after="60" w:before="180"/>
      </w:pPr>
      <w:r>
        <w:rPr>
          <w:rFonts w:ascii="Arial" w:cs="Arial" w:eastAsia="Arial" w:hAnsi="Arial"/>
          <w:b/>
          <w:bCs/>
          <w:color w:val="1A3557"/>
          <w:sz w:val="22"/>
          <w:szCs w:val="22"/>
        </w:rPr>
        <w:t xml:space="preserve">Paso 2 — Normalización de consultas SQL</w:t>
      </w:r>
    </w:p>
    <w:p>
      <w:pPr>
        <w:spacing w:after="60" w:before="60"/>
        <w:jc w:val="both"/>
      </w:pPr>
      <w:r>
        <w:rPr>
          <w:rFonts w:ascii="Arial" w:cs="Arial" w:eastAsia="Arial" w:hAnsi="Arial"/>
          <w:color w:val="1A1A2E"/>
          <w:sz w:val="22"/>
          <w:szCs w:val="22"/>
        </w:rPr>
        <w:t xml:space="preserve">Se utilizó la librería sqlparse con configuración: keyword_case='upper', identifier_case='lower', strip_comments=True. Esta normalización garantiza que dos consultas SQL semánticamente equivalentes con diferente capitalización sean tratadas como idénticas.</w:t>
      </w:r>
    </w:p>
    <w:p>
      <w:pPr>
        <w:spacing w:after="60" w:before="180"/>
      </w:pPr>
      <w:r>
        <w:rPr>
          <w:rFonts w:ascii="Arial" w:cs="Arial" w:eastAsia="Arial" w:hAnsi="Arial"/>
          <w:b/>
          <w:bCs/>
          <w:color w:val="1A3557"/>
          <w:sz w:val="22"/>
          <w:szCs w:val="22"/>
        </w:rPr>
        <w:t xml:space="preserve">Paso 3 — Eliminación de duplicados exactos</w:t>
      </w:r>
    </w:p>
    <w:p>
      <w:pPr>
        <w:spacing w:after="60" w:before="60"/>
        <w:jc w:val="both"/>
      </w:pPr>
      <w:r>
        <w:rPr>
          <w:rFonts w:ascii="Arial" w:cs="Arial" w:eastAsia="Arial" w:hAnsi="Arial"/>
          <w:color w:val="1A1A2E"/>
          <w:sz w:val="22"/>
          <w:szCs w:val="22"/>
        </w:rPr>
        <w:t xml:space="preserve">Se eliminaron los 33 pares (pregunta_limpia, SQL_limpio) exactamente idénticos detectados en el EDA. Los duplicados con SQL idéntica pero pregunta diferente (paráfrasis) se conservaron intencionalmente, pues representan variabilidad lingüística valiosa para el entrenamiento.</w:t>
      </w:r>
    </w:p>
    <w:p>
      <w:pPr>
        <w:spacing w:after="60" w:before="180"/>
      </w:pPr>
      <w:r>
        <w:rPr>
          <w:rFonts w:ascii="Arial" w:cs="Arial" w:eastAsia="Arial" w:hAnsi="Arial"/>
          <w:b/>
          <w:bCs/>
          <w:color w:val="1A3557"/>
          <w:sz w:val="22"/>
          <w:szCs w:val="22"/>
        </w:rPr>
        <w:t xml:space="preserve">Paso 4 — Filtro de outliers y validación</w:t>
      </w:r>
    </w:p>
    <w:p>
      <w:pPr>
        <w:spacing w:after="60" w:before="60"/>
        <w:jc w:val="both"/>
      </w:pPr>
      <w:r>
        <w:rPr>
          <w:rFonts w:ascii="Arial" w:cs="Arial" w:eastAsia="Arial" w:hAnsi="Arial"/>
          <w:color w:val="1A1A2E"/>
          <w:sz w:val="22"/>
          <w:szCs w:val="22"/>
        </w:rPr>
        <w:t xml:space="preserve">Se filtró el conjunto eliminando preguntas de menos de 3 palabras y consultas SQL sin cláusula SELECT. En el dataset Spider ambos filtros resultaron en 0 eliminaciones adicionales, confirmando la alta calidad base.</w:t>
      </w:r>
    </w:p>
    <w:p>
      <w:pPr>
        <w:pStyle w:val="Heading2"/>
        <w:spacing w:after="80" w:before="240"/>
      </w:pPr>
      <w:r>
        <w:rPr>
          <w:rFonts w:ascii="Arial" w:cs="Arial" w:eastAsia="Arial" w:hAnsi="Arial"/>
          <w:b/>
          <w:bCs/>
          <w:color w:val="2B6CB0"/>
          <w:sz w:val="26"/>
          <w:szCs w:val="26"/>
        </w:rPr>
        <w:t xml:space="preserve">3.2 Resultados de la Limpieza</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6"/>
        <w:gridCol w:w="1806"/>
        <w:gridCol w:w="2214"/>
      </w:tblGrid>
      <w:tr>
        <w:trPr>
          <w:tblHeader/>
        </w:trPr>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Antes</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Después</w:t>
            </w:r>
          </w:p>
        </w:tc>
        <w:tc>
          <w:tcPr>
            <w:tcW w:type="dxa" w:w="2214"/>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Diferencia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 registros totales</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8,034</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8,001</w:t>
            </w:r>
          </w:p>
        </w:tc>
        <w:tc>
          <w:tcPr>
            <w:tcW w:type="dxa" w:w="221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-33</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Media palabras (NL)</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12.69</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12.71</w:t>
            </w:r>
          </w:p>
        </w:tc>
        <w:tc>
          <w:tcPr>
            <w:tcW w:type="dxa" w:w="221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+0.02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Media tokens (SQL)</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17.8</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17.8</w:t>
            </w:r>
          </w:p>
        </w:tc>
        <w:tc>
          <w:tcPr>
            <w:tcW w:type="dxa" w:w="221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0.00</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Bases de datos únicas</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200</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200</w:t>
            </w:r>
          </w:p>
        </w:tc>
        <w:tc>
          <w:tcPr>
            <w:tcW w:type="dxa" w:w="221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Duplicados exactos</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33</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c>
          <w:tcPr>
            <w:tcW w:type="dxa" w:w="221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-33</w:t>
            </w:r>
          </w:p>
        </w:tc>
      </w:tr>
    </w:tbl>
    <w:p>
      <w:pPr>
        <w:spacing w:after="0" w:before="100"/>
      </w:pPr>
    </w:p>
    <w:p>
      <w:pPr>
        <w:spacing w:after="60" w:before="60"/>
        <w:jc w:val="both"/>
      </w:pPr>
      <w:r>
        <w:rPr>
          <w:rFonts w:ascii="Arial" w:cs="Arial" w:eastAsia="Arial" w:hAnsi="Arial"/>
          <w:color w:val="1A1A2E"/>
          <w:sz w:val="22"/>
          <w:szCs w:val="22"/>
        </w:rPr>
        <w:t xml:space="preserve">El pipeline de limpieza preservó el 99.6% de los datos originales (8,001 de 8,034 registros), lo cual confirma que Spider es un dataset de alta calidad que no requiere limpieza agresiva. La pérdida de datos es mínima y metodológicamente justificada.</w:t>
      </w:r>
    </w:p>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4. Feature Engineering Avanzado</w:t>
      </w:r>
    </w:p>
    <w:p>
      <w:pPr>
        <w:spacing w:after="60" w:before="60"/>
        <w:jc w:val="both"/>
      </w:pPr>
      <w:r>
        <w:rPr>
          <w:rFonts w:ascii="Arial" w:cs="Arial" w:eastAsia="Arial" w:hAnsi="Arial"/>
          <w:color w:val="1A1A2E"/>
          <w:sz w:val="22"/>
          <w:szCs w:val="22"/>
        </w:rPr>
        <w:t xml:space="preserve">El Feature Engineering transforma los datos textuales en representaciones numéricas que los modelos de aprendizaje automático pueden procesar. Para Text-to-SQL se construyeron tres familias de features, resultando en un total de 55 variables por ejemplo.</w:t>
      </w:r>
    </w:p>
    <w:p>
      <w:pPr>
        <w:pStyle w:val="Heading2"/>
        <w:spacing w:after="80" w:before="240"/>
      </w:pPr>
      <w:r>
        <w:rPr>
          <w:rFonts w:ascii="Arial" w:cs="Arial" w:eastAsia="Arial" w:hAnsi="Arial"/>
          <w:b/>
          <w:bCs/>
          <w:color w:val="2B6CB0"/>
          <w:sz w:val="26"/>
          <w:szCs w:val="26"/>
        </w:rPr>
        <w:t xml:space="preserve">4.1 Features Lingüísticas de la Pregunta NL (16 features)</w:t>
      </w:r>
    </w:p>
    <w:p>
      <w:pPr>
        <w:spacing w:after="60" w:before="60"/>
        <w:jc w:val="both"/>
      </w:pPr>
      <w:r>
        <w:rPr>
          <w:rFonts w:ascii="Arial" w:cs="Arial" w:eastAsia="Arial" w:hAnsi="Arial"/>
          <w:color w:val="1A1A2E"/>
          <w:sz w:val="22"/>
          <w:szCs w:val="22"/>
        </w:rPr>
        <w:t xml:space="preserve">Se extrajo un conjunto de características sobre la estructura y contenido semántico de las preguntas en lenguaje natural:</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8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Relevancia para T2SQL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nl_word_count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Número de palabras</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Proxy de complejidad de la intención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nl_lexical_diversity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Ratio palabras únicas/total</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Indicador de especificidad semántica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nl_has_wh_word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Presencia de what/which/who/where</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Tipo de consulta esperado</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nl_has_agg_word</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Palabras: many/average/total/count</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Predice GROUP BY o funciones de agregación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nl_has_comparison_word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Palabras: more/less/between/not</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Predice HAVING o condiciones complejas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nl_has_order_word</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Palabras: top/rank/sort/order</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Predice ORDER BY o LIMIT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nl_has_join_signal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Palabras: across/between/related</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Predice necesidad de JOIN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nl_has_number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Presencia de valores numéricos</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Predice constantes en WHERE o LIMIT</w:t>
            </w:r>
          </w:p>
        </w:tc>
      </w:tr>
    </w:tbl>
    <w:p>
      <w:pPr>
        <w:spacing w:after="0" w:before="120"/>
      </w:pPr>
    </w:p>
    <w:p>
      <w:pPr>
        <w:pStyle w:val="Heading2"/>
        <w:spacing w:after="80" w:before="240"/>
      </w:pPr>
      <w:r>
        <w:rPr>
          <w:rFonts w:ascii="Arial" w:cs="Arial" w:eastAsia="Arial" w:hAnsi="Arial"/>
          <w:b/>
          <w:bCs/>
          <w:color w:val="2B6CB0"/>
          <w:sz w:val="26"/>
          <w:szCs w:val="26"/>
        </w:rPr>
        <w:t xml:space="preserve">4.2 Features Estructurales de SQL (17 features)</w:t>
      </w:r>
    </w:p>
    <w:p>
      <w:pPr>
        <w:spacing w:after="60" w:before="60"/>
        <w:jc w:val="both"/>
      </w:pPr>
      <w:r>
        <w:rPr>
          <w:rFonts w:ascii="Arial" w:cs="Arial" w:eastAsia="Arial" w:hAnsi="Arial"/>
          <w:color w:val="1A1A2E"/>
          <w:sz w:val="22"/>
          <w:szCs w:val="22"/>
        </w:rPr>
        <w:t xml:space="preserve">Se construyeron características que capturan la estructura interna de las consultas SQL objetivo:</w:t>
      </w:r>
    </w:p>
    <w:p>
      <w:pPr>
        <w:pStyle w:val="ListParagraph"/>
        <w:numPr>
          <w:ilvl w:val="0"/>
          <w:numId w:val="2"/>
        </w:numPr>
        <w:spacing w:after="40" w:before="40"/>
      </w:pPr>
      <w:r>
        <w:rPr>
          <w:rFonts w:ascii="Arial" w:cs="Arial" w:eastAsia="Arial" w:hAnsi="Arial"/>
          <w:color w:val="1A1A2E"/>
          <w:sz w:val="22"/>
          <w:szCs w:val="22"/>
        </w:rPr>
        <w:t xml:space="preserve">sql_nesting_depth: Profundidad de anidamiento de subconsultas (número de SELECT adicionales).</w:t>
      </w:r>
    </w:p>
    <w:p>
      <w:pPr>
        <w:pStyle w:val="ListParagraph"/>
        <w:numPr>
          <w:ilvl w:val="0"/>
          <w:numId w:val="2"/>
        </w:numPr>
        <w:spacing w:after="40" w:before="40"/>
      </w:pPr>
      <w:r>
        <w:rPr>
          <w:rFonts w:ascii="Arial" w:cs="Arial" w:eastAsia="Arial" w:hAnsi="Arial"/>
          <w:color w:val="1A1A2E"/>
          <w:sz w:val="22"/>
          <w:szCs w:val="22"/>
        </w:rPr>
        <w:t xml:space="preserve">sql_tables_referenced: Número de tablas únicas referenciadas en FROM y JOIN.</w:t>
      </w:r>
    </w:p>
    <w:p>
      <w:pPr>
        <w:pStyle w:val="ListParagraph"/>
        <w:numPr>
          <w:ilvl w:val="0"/>
          <w:numId w:val="2"/>
        </w:numPr>
        <w:spacing w:after="40" w:before="40"/>
      </w:pPr>
      <w:r>
        <w:rPr>
          <w:rFonts w:ascii="Arial" w:cs="Arial" w:eastAsia="Arial" w:hAnsi="Arial"/>
          <w:color w:val="1A1A2E"/>
          <w:sz w:val="22"/>
          <w:szCs w:val="22"/>
        </w:rPr>
        <w:t xml:space="preserve">sql_where_conditions: Conteo de condiciones en la cláusula WHERE (separadas por AND/OR).</w:t>
      </w:r>
    </w:p>
    <w:p>
      <w:pPr>
        <w:pStyle w:val="ListParagraph"/>
        <w:numPr>
          <w:ilvl w:val="0"/>
          <w:numId w:val="2"/>
        </w:numPr>
        <w:spacing w:after="40" w:before="40"/>
      </w:pPr>
      <w:r>
        <w:rPr>
          <w:rFonts w:ascii="Arial" w:cs="Arial" w:eastAsia="Arial" w:hAnsi="Arial"/>
          <w:color w:val="1A1A2E"/>
          <w:sz w:val="22"/>
          <w:szCs w:val="22"/>
        </w:rPr>
        <w:t xml:space="preserve">sql_total_keywords: Número total de palabras clave SQL presentes en la consulta.</w:t>
      </w:r>
    </w:p>
    <w:p>
      <w:pPr>
        <w:pStyle w:val="ListParagraph"/>
        <w:numPr>
          <w:ilvl w:val="0"/>
          <w:numId w:val="2"/>
        </w:numPr>
        <w:spacing w:after="40" w:before="40"/>
      </w:pPr>
      <w:r>
        <w:rPr>
          <w:rFonts w:ascii="Arial" w:cs="Arial" w:eastAsia="Arial" w:hAnsi="Arial"/>
          <w:color w:val="1A1A2E"/>
          <w:sz w:val="22"/>
          <w:szCs w:val="22"/>
        </w:rPr>
        <w:t xml:space="preserve">sql_join_type_*: Indicadores binarios para tipo de JOIN (none/inner/left/right).</w:t>
      </w:r>
    </w:p>
    <w:p>
      <w:pPr>
        <w:pStyle w:val="ListParagraph"/>
        <w:numPr>
          <w:ilvl w:val="0"/>
          <w:numId w:val="2"/>
        </w:numPr>
        <w:spacing w:after="40" w:before="40"/>
      </w:pPr>
      <w:r>
        <w:rPr>
          <w:rFonts w:ascii="Arial" w:cs="Arial" w:eastAsia="Arial" w:hAnsi="Arial"/>
          <w:color w:val="1A1A2E"/>
          <w:sz w:val="22"/>
          <w:szCs w:val="22"/>
        </w:rPr>
        <w:t xml:space="preserve">sql_has_in_clause / sql_has_like / sql_has_null_check / sql_has_between: Predicados de filtro especiales.</w:t>
      </w:r>
    </w:p>
    <w:p>
      <w:pPr>
        <w:pStyle w:val="Heading2"/>
        <w:spacing w:after="80" w:before="240"/>
      </w:pPr>
      <w:r>
        <w:rPr>
          <w:rFonts w:ascii="Arial" w:cs="Arial" w:eastAsia="Arial" w:hAnsi="Arial"/>
          <w:b/>
          <w:bCs/>
          <w:color w:val="2B6CB0"/>
          <w:sz w:val="26"/>
          <w:szCs w:val="26"/>
        </w:rPr>
        <w:t xml:space="preserve">4.3 Features de Interacción NL-SQL (3 features)</w:t>
      </w:r>
    </w:p>
    <w:p>
      <w:pPr>
        <w:spacing w:after="60" w:before="60"/>
        <w:jc w:val="both"/>
      </w:pPr>
      <w:r>
        <w:rPr>
          <w:rFonts w:ascii="Arial" w:cs="Arial" w:eastAsia="Arial" w:hAnsi="Arial"/>
          <w:color w:val="1A1A2E"/>
          <w:sz w:val="22"/>
          <w:szCs w:val="22"/>
        </w:rPr>
        <w:t xml:space="preserve">Se crearon features que capturan la relación semántica entre la pregunta NL y la consulta SQL esperada:</w:t>
      </w:r>
    </w:p>
    <w:p>
      <w:pPr>
        <w:pStyle w:val="ListParagraph"/>
        <w:numPr>
          <w:ilvl w:val="0"/>
          <w:numId w:val="2"/>
        </w:numPr>
        <w:spacing w:after="40" w:before="40"/>
      </w:pPr>
      <w:r>
        <w:rPr>
          <w:rFonts w:ascii="Arial" w:cs="Arial" w:eastAsia="Arial" w:hAnsi="Arial"/>
          <w:color w:val="1A1A2E"/>
          <w:sz w:val="22"/>
          <w:szCs w:val="22"/>
        </w:rPr>
        <w:t xml:space="preserve">ratio_nl_sql_length: Razón entre longitud NL y longitud SQL — valores bajos indican preguntas concisas con SQL complejas.</w:t>
      </w:r>
    </w:p>
    <w:p>
      <w:pPr>
        <w:pStyle w:val="ListParagraph"/>
        <w:numPr>
          <w:ilvl w:val="0"/>
          <w:numId w:val="2"/>
        </w:numPr>
        <w:spacing w:after="40" w:before="40"/>
      </w:pPr>
      <w:r>
        <w:rPr>
          <w:rFonts w:ascii="Arial" w:cs="Arial" w:eastAsia="Arial" w:hAnsi="Arial"/>
          <w:color w:val="1A1A2E"/>
          <w:sz w:val="22"/>
          <w:szCs w:val="22"/>
        </w:rPr>
        <w:t xml:space="preserve">interaction_score: Score compuesto que mide la coherencia semántica NL-SQL. Ejemplo: si la pregunta contiene 'average' y el SQL tiene GROUP BY, la coherencia es alta.</w:t>
      </w:r>
    </w:p>
    <w:p>
      <w:pPr>
        <w:pStyle w:val="ListParagraph"/>
        <w:numPr>
          <w:ilvl w:val="0"/>
          <w:numId w:val="2"/>
        </w:numPr>
        <w:spacing w:after="40" w:before="40"/>
      </w:pPr>
      <w:r>
        <w:rPr>
          <w:rFonts w:ascii="Arial" w:cs="Arial" w:eastAsia="Arial" w:hAnsi="Arial"/>
          <w:color w:val="1A1A2E"/>
          <w:sz w:val="22"/>
          <w:szCs w:val="22"/>
        </w:rPr>
        <w:t xml:space="preserve">sql_complexity_per_word: Complejidad SQL normalizada por número de palabras en la pregunta — mide la densidad informacional.</w:t>
      </w:r>
    </w:p>
    <w:p>
      <w:pPr>
        <w:pStyle w:val="Heading2"/>
        <w:spacing w:after="80" w:before="240"/>
      </w:pPr>
      <w:r>
        <w:rPr>
          <w:rFonts w:ascii="Arial" w:cs="Arial" w:eastAsia="Arial" w:hAnsi="Arial"/>
          <w:b/>
          <w:bCs/>
          <w:color w:val="2B6CB0"/>
          <w:sz w:val="26"/>
          <w:szCs w:val="26"/>
        </w:rPr>
        <w:t xml:space="preserve">4.4 Score de Complejidad SQL Compuesto</w:t>
      </w:r>
    </w:p>
    <w:p>
      <w:pPr>
        <w:spacing w:after="60" w:before="60"/>
        <w:jc w:val="both"/>
      </w:pPr>
      <w:r>
        <w:rPr>
          <w:rFonts w:ascii="Arial" w:cs="Arial" w:eastAsia="Arial" w:hAnsi="Arial"/>
          <w:color w:val="1A1A2E"/>
          <w:sz w:val="22"/>
          <w:szCs w:val="22"/>
        </w:rPr>
        <w:t xml:space="preserve">Se diseñó un score de complejidad propio que combina múltiples indicadores con pesos diferenciados según su impacto en la dificultad real:</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tblHeader/>
        </w:trPr>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1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w:t>
            </w:r>
          </w:p>
        </w:tc>
        <w:tc>
          <w:tcPr>
            <w:tcW w:type="dxa" w:w="50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has_subquery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3.0</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Subconsultas requieren razonamiento anidado</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has_union / has_intersect / has_except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2.5 c/u</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Operadores de conjunto son raros y complejos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has_join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JOIN requiere comprensión de relaciones FK</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has_having</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HAVING implica filtrado post-agregación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has_group_by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1.5</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GROUP BY introduce semántica de agrupación</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has_distinct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Deduplica resultados — semántica adicional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join_count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 × n</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Múltiples JOINs escalan la complejidad</w:t>
            </w:r>
          </w:p>
        </w:tc>
      </w:tr>
    </w:tbl>
    <w:p>
      <w:pPr>
        <w:pStyle w:val="Heading2"/>
        <w:spacing w:after="80" w:before="240"/>
      </w:pPr>
      <w:r>
        <w:rPr>
          <w:rFonts w:ascii="Arial" w:cs="Arial" w:eastAsia="Arial" w:hAnsi="Arial"/>
          <w:b/>
          <w:bCs/>
          <w:color w:val="2B6CB0"/>
          <w:sz w:val="26"/>
          <w:szCs w:val="26"/>
        </w:rPr>
        <w:t xml:space="preserve">4.5 Análisis de Importancia de Features</w:t>
      </w:r>
    </w:p>
    <w:p>
      <w:pPr>
        <w:spacing w:after="60" w:before="60"/>
        <w:jc w:val="both"/>
      </w:pPr>
      <w:r>
        <w:rPr>
          <w:rFonts w:ascii="Arial" w:cs="Arial" w:eastAsia="Arial" w:hAnsi="Arial"/>
          <w:color w:val="1A1A2E"/>
          <w:sz w:val="22"/>
          <w:szCs w:val="22"/>
        </w:rPr>
        <w:t xml:space="preserve">Se entrenó un Random Forest con 100 estimadores para estimar la importancia relativa de las features como proxy de su poder predictivo para la variable objetivo (dificultad):</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Ranking</w:t>
            </w:r>
          </w:p>
        </w:tc>
        <w:tc>
          <w:tcPr>
            <w:tcW w:type="dxa" w:w="4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1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Importancia</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complexity_score</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20.33%</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sql_complexity_per_word</w:t>
            </w:r>
          </w:p>
        </w:tc>
        <w:tc>
          <w:tcPr>
            <w:tcW w:type="dxa" w:w="41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8.66%</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has_order_by</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8.54%</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sql_token_count</w:t>
            </w:r>
          </w:p>
        </w:tc>
        <w:tc>
          <w:tcPr>
            <w:tcW w:type="dxa" w:w="41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8.33%</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has_subquery</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7.55%</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sql_nesting_depth</w:t>
            </w:r>
          </w:p>
        </w:tc>
        <w:tc>
          <w:tcPr>
            <w:tcW w:type="dxa" w:w="41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~6.8%</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join_count</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~5.9%</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has_group_by</w:t>
            </w:r>
          </w:p>
        </w:tc>
        <w:tc>
          <w:tcPr>
            <w:tcW w:type="dxa" w:w="41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~5.1%</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nl_has_agg_word</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~4.2%</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10°</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clause_count</w:t>
            </w:r>
          </w:p>
        </w:tc>
        <w:tc>
          <w:tcPr>
            <w:tcW w:type="dxa" w:w="41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~3.8%</w:t>
            </w:r>
          </w:p>
        </w:tc>
      </w:tr>
    </w:tbl>
    <w:p>
      <w:pPr>
        <w:spacing w:after="0" w:before="100"/>
      </w:pPr>
    </w:p>
    <w:p>
      <w:pPr>
        <w:spacing w:after="80" w:before="60"/>
        <w:ind w:left="400"/>
      </w:pPr>
      <w:r>
        <w:rPr>
          <w:rFonts w:ascii="Arial" w:cs="Arial" w:eastAsia="Arial" w:hAnsi="Arial"/>
          <w:i/>
          <w:iCs/>
          <w:color w:val="555555"/>
          <w:sz w:val="20"/>
          <w:szCs w:val="20"/>
        </w:rPr>
        <w:t xml:space="preserve">📌 El score de complejidad diseñado ad hoc captura el 20.33% de la varianza predictiva — es la feature más importante, superando a métricas directas como sql_token_count. Esto valida el diseño del score compuesto como aporte metodológico propio.</w:t>
      </w:r>
    </w:p>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5. Estrategias de Balanceamiento de Datos</w:t>
      </w:r>
    </w:p>
    <w:p>
      <w:pPr>
        <w:spacing w:after="60" w:before="60"/>
        <w:jc w:val="both"/>
      </w:pPr>
      <w:r>
        <w:rPr>
          <w:rFonts w:ascii="Arial" w:cs="Arial" w:eastAsia="Arial" w:hAnsi="Arial"/>
          <w:color w:val="1A1A2E"/>
          <w:sz w:val="22"/>
          <w:szCs w:val="22"/>
        </w:rPr>
        <w:t xml:space="preserve">El desbalance detectado en el EDA (ratio 5.9x entre medium y extra) fue abordado mediante tres estrategias complementarias. Cada estrategia opera sobre el split de train únicamente para evitar contaminación del set de evaluación.</w:t>
      </w:r>
    </w:p>
    <w:p>
      <w:pPr>
        <w:spacing w:after="0" w:before="6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226"/>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Registros Train</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Porcentaje</w:t>
            </w:r>
          </w:p>
        </w:tc>
        <w:tc>
          <w:tcPr>
            <w:tcW w:type="dxa" w:w="22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Asignado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Easy (0)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2,024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29.0%</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0.8608</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Medium (1)</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49.8%</w:t>
            </w:r>
          </w:p>
        </w:tc>
        <w:tc>
          <w:tcPr>
            <w:tcW w:type="dxa" w:w="2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0.5018</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Hard (2)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896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12.9%</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1.9445</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Extra (3)</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577</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8.3%</w:t>
            </w:r>
          </w:p>
        </w:tc>
        <w:tc>
          <w:tcPr>
            <w:tcW w:type="dxa" w:w="2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3.0195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6,969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w:t>
            </w:r>
          </w:p>
        </w:tc>
      </w:tr>
    </w:tbl>
    <w:p>
      <w:pPr>
        <w:spacing w:after="0" w:before="120"/>
      </w:pPr>
    </w:p>
    <w:p>
      <w:pPr>
        <w:pStyle w:val="Heading2"/>
        <w:spacing w:after="80" w:before="240"/>
      </w:pPr>
      <w:r>
        <w:rPr>
          <w:rFonts w:ascii="Arial" w:cs="Arial" w:eastAsia="Arial" w:hAnsi="Arial"/>
          <w:b/>
          <w:bCs/>
          <w:color w:val="2B6CB0"/>
          <w:sz w:val="26"/>
          <w:szCs w:val="26"/>
        </w:rPr>
        <w:t xml:space="preserve">5.1 Estrategia 1 — Class Weights (Recomendada para LLMs)</w:t>
      </w:r>
    </w:p>
    <w:p>
      <w:pPr>
        <w:spacing w:after="60" w:before="60"/>
        <w:jc w:val="both"/>
      </w:pPr>
      <w:r>
        <w:rPr>
          <w:rFonts w:ascii="Arial" w:cs="Arial" w:eastAsia="Arial" w:hAnsi="Arial"/>
          <w:color w:val="1A1A2E"/>
          <w:sz w:val="22"/>
          <w:szCs w:val="22"/>
        </w:rPr>
        <w:t xml:space="preserve">Se calcularon pesos inversamente proporcionales a la frecuencia de cada clase usando compute_class_weight('balanced') de scikit-learn. Los pesos resultantes compensan el desbalance sin modificar los datos de entrenamiento.</w:t>
      </w:r>
    </w:p>
    <w:p>
      <w:pPr>
        <w:pStyle w:val="ListParagraph"/>
        <w:numPr>
          <w:ilvl w:val="0"/>
          <w:numId w:val="2"/>
        </w:numPr>
        <w:spacing w:after="40" w:before="40"/>
      </w:pPr>
      <w:r>
        <w:rPr>
          <w:rFonts w:ascii="Arial" w:cs="Arial" w:eastAsia="Arial" w:hAnsi="Arial"/>
          <w:color w:val="1A1A2E"/>
          <w:sz w:val="22"/>
          <w:szCs w:val="22"/>
        </w:rPr>
        <w:t xml:space="preserve">Ventaja principal: no genera datos artificiales — preserva la distribución real del fenómeno.</w:t>
      </w:r>
    </w:p>
    <w:p>
      <w:pPr>
        <w:pStyle w:val="ListParagraph"/>
        <w:numPr>
          <w:ilvl w:val="0"/>
          <w:numId w:val="2"/>
        </w:numPr>
        <w:spacing w:after="40" w:before="40"/>
      </w:pPr>
      <w:r>
        <w:rPr>
          <w:rFonts w:ascii="Arial" w:cs="Arial" w:eastAsia="Arial" w:hAnsi="Arial"/>
          <w:color w:val="1A1A2E"/>
          <w:sz w:val="22"/>
          <w:szCs w:val="22"/>
        </w:rPr>
        <w:t xml:space="preserve">Ideal para: fine-tuning de modelos LLM (CodeLlama-13B, LLaMA-3-8B con QLoRA) donde la función de pérdida admite pesos por clase.</w:t>
      </w:r>
    </w:p>
    <w:p>
      <w:pPr>
        <w:pStyle w:val="ListParagraph"/>
        <w:numPr>
          <w:ilvl w:val="0"/>
          <w:numId w:val="2"/>
        </w:numPr>
        <w:spacing w:after="40" w:before="40"/>
      </w:pPr>
      <w:r>
        <w:rPr>
          <w:rFonts w:ascii="Arial" w:cs="Arial" w:eastAsia="Arial" w:hAnsi="Arial"/>
          <w:color w:val="1A1A2E"/>
          <w:sz w:val="22"/>
          <w:szCs w:val="22"/>
        </w:rPr>
        <w:t xml:space="preserve">Limitación: requiere soporte explícito en el framework de entrenamiento (PyTorch, HuggingFace Trainer).</w:t>
      </w:r>
    </w:p>
    <w:p>
      <w:pPr>
        <w:pStyle w:val="Heading2"/>
        <w:spacing w:after="80" w:before="240"/>
      </w:pPr>
      <w:r>
        <w:rPr>
          <w:rFonts w:ascii="Arial" w:cs="Arial" w:eastAsia="Arial" w:hAnsi="Arial"/>
          <w:b/>
          <w:bCs/>
          <w:color w:val="2B6CB0"/>
          <w:sz w:val="26"/>
          <w:szCs w:val="26"/>
        </w:rPr>
        <w:t xml:space="preserve">5.2 Estrategia 2 — SMOTE</w:t>
      </w:r>
    </w:p>
    <w:p>
      <w:pPr>
        <w:spacing w:after="60" w:before="60"/>
        <w:jc w:val="both"/>
      </w:pPr>
      <w:r>
        <w:rPr>
          <w:rFonts w:ascii="Arial" w:cs="Arial" w:eastAsia="Arial" w:hAnsi="Arial"/>
          <w:color w:val="1A1A2E"/>
          <w:sz w:val="22"/>
          <w:szCs w:val="22"/>
        </w:rPr>
        <w:t xml:space="preserve">Synthetic Minority Over-sampling Technique genera ejemplos sintéticos de las clases minoritarias mediante interpolación en el espacio de features numéricas. Con k_neighbors=5 se generaron 6,919 ejemplos sintéticos.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0"/>
        <w:gridCol w:w="1814"/>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Original</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Post-SMOTE</w:t>
            </w:r>
          </w:p>
        </w:tc>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Sintéticos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Easy</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2,024</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+1,448</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Medium</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Hard</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896</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+2,576</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Extra</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577</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+2,895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TOTAL</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6,969</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13,888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+6,919</w:t>
            </w:r>
          </w:p>
        </w:tc>
      </w:tr>
    </w:tbl>
    <w:p>
      <w:pPr>
        <w:spacing w:after="0" w:before="100"/>
      </w:pPr>
    </w:p>
    <w:p>
      <w:pPr>
        <w:spacing w:after="80" w:before="60"/>
        <w:ind w:left="400"/>
      </w:pPr>
      <w:r>
        <w:rPr>
          <w:rFonts w:ascii="Arial" w:cs="Arial" w:eastAsia="Arial" w:hAnsi="Arial"/>
          <w:i/>
          <w:iCs/>
          <w:color w:val="555555"/>
          <w:sz w:val="20"/>
          <w:szCs w:val="20"/>
        </w:rPr>
        <w:t xml:space="preserve">📌 SMOTE opera sobre features numéricas. Los ejemplos sintéticos no generan texto NL nuevo — son interpolaciones en el espacio de features. Usar con cautela en contextos donde el texto original es necesario para entrenamiento.</w:t>
      </w:r>
    </w:p>
    <w:p>
      <w:pPr>
        <w:pStyle w:val="Heading2"/>
        <w:spacing w:after="80" w:before="240"/>
      </w:pPr>
      <w:r>
        <w:rPr>
          <w:rFonts w:ascii="Arial" w:cs="Arial" w:eastAsia="Arial" w:hAnsi="Arial"/>
          <w:b/>
          <w:bCs/>
          <w:color w:val="2B6CB0"/>
          <w:sz w:val="26"/>
          <w:szCs w:val="26"/>
        </w:rPr>
        <w:t xml:space="preserve">5.3 Estrategia 3 — SMOTETomek (Combinada)</w:t>
      </w:r>
    </w:p>
    <w:p>
      <w:pPr>
        <w:spacing w:after="60" w:before="60"/>
        <w:jc w:val="both"/>
      </w:pPr>
      <w:r>
        <w:rPr>
          <w:rFonts w:ascii="Arial" w:cs="Arial" w:eastAsia="Arial" w:hAnsi="Arial"/>
          <w:color w:val="1A1A2E"/>
          <w:sz w:val="22"/>
          <w:szCs w:val="22"/>
        </w:rPr>
        <w:t xml:space="preserve">SMOTETomek combina SMOTE con el método Tomek Links, que elimina ejemplos ambiguos en las fronteras de decisión entre clases. El resultado es un dataset balanceado y con menor ruido en las zonas de frontera.</w:t>
      </w:r>
    </w:p>
    <w:p>
      <w:pPr>
        <w:pStyle w:val="ListParagraph"/>
        <w:numPr>
          <w:ilvl w:val="0"/>
          <w:numId w:val="2"/>
        </w:numPr>
        <w:spacing w:after="40" w:before="40"/>
      </w:pPr>
      <w:r>
        <w:rPr>
          <w:rFonts w:ascii="Arial" w:cs="Arial" w:eastAsia="Arial" w:hAnsi="Arial"/>
          <w:color w:val="1A1A2E"/>
          <w:sz w:val="22"/>
          <w:szCs w:val="22"/>
        </w:rPr>
        <w:t xml:space="preserve">Registros finales: 13,886 (vs. 13,888 de SMOTE puro).</w:t>
      </w:r>
    </w:p>
    <w:p>
      <w:pPr>
        <w:pStyle w:val="ListParagraph"/>
        <w:numPr>
          <w:ilvl w:val="0"/>
          <w:numId w:val="2"/>
        </w:numPr>
        <w:spacing w:after="40" w:before="40"/>
      </w:pPr>
      <w:r>
        <w:rPr>
          <w:rFonts w:ascii="Arial" w:cs="Arial" w:eastAsia="Arial" w:hAnsi="Arial"/>
          <w:color w:val="1A1A2E"/>
          <w:sz w:val="22"/>
          <w:szCs w:val="22"/>
        </w:rPr>
        <w:t xml:space="preserve">La diferencia de 2 registros corresponde a ejemplos Tomek eliminados por ambigüedad.</w:t>
      </w:r>
    </w:p>
    <w:p>
      <w:pPr>
        <w:pStyle w:val="ListParagraph"/>
        <w:numPr>
          <w:ilvl w:val="0"/>
          <w:numId w:val="2"/>
        </w:numPr>
        <w:spacing w:after="40" w:before="40"/>
      </w:pPr>
      <w:r>
        <w:rPr>
          <w:rFonts w:ascii="Arial" w:cs="Arial" w:eastAsia="Arial" w:hAnsi="Arial"/>
          <w:color w:val="1A1A2E"/>
          <w:sz w:val="22"/>
          <w:szCs w:val="22"/>
        </w:rPr>
        <w:t xml:space="preserve">Recomendada cuando se trabaja con clasificadores de frontera dura (SVM, KNN).</w:t>
      </w:r>
    </w:p>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6. Técnicas de Data Augmentation para Text-to-SQL</w:t>
      </w:r>
    </w:p>
    <w:p>
      <w:pPr>
        <w:spacing w:after="60" w:before="60"/>
        <w:jc w:val="both"/>
      </w:pPr>
      <w:r>
        <w:rPr>
          <w:rFonts w:ascii="Arial" w:cs="Arial" w:eastAsia="Arial" w:hAnsi="Arial"/>
          <w:color w:val="1A1A2E"/>
          <w:sz w:val="22"/>
          <w:szCs w:val="22"/>
        </w:rPr>
        <w:t xml:space="preserve">Para Text-to-SQL, el data augmentation presenta un desafío único: cualquier transformación sobre la pregunta NL o la consulta SQL debe preservar la correspondencia semántica entre ambas. Se implementaron dos técnicas sobre las clases minoritarias (hard y extra).</w:t>
      </w:r>
    </w:p>
    <w:p>
      <w:pPr>
        <w:pStyle w:val="Heading2"/>
        <w:spacing w:after="80" w:before="240"/>
      </w:pPr>
      <w:r>
        <w:rPr>
          <w:rFonts w:ascii="Arial" w:cs="Arial" w:eastAsia="Arial" w:hAnsi="Arial"/>
          <w:b/>
          <w:bCs/>
          <w:color w:val="2B6CB0"/>
          <w:sz w:val="26"/>
          <w:szCs w:val="26"/>
        </w:rPr>
        <w:t xml:space="preserve">6.1 Augmentation de Preguntas NL — Paráfrasis Lexical</w:t>
      </w:r>
    </w:p>
    <w:p>
      <w:pPr>
        <w:spacing w:after="60" w:before="60"/>
        <w:jc w:val="both"/>
      </w:pPr>
      <w:r>
        <w:rPr>
          <w:rFonts w:ascii="Arial" w:cs="Arial" w:eastAsia="Arial" w:hAnsi="Arial"/>
          <w:color w:val="1A1A2E"/>
          <w:sz w:val="22"/>
          <w:szCs w:val="22"/>
        </w:rPr>
        <w:t xml:space="preserve">Se desarrolló un sistema de sustitución de patrones lingüísticos específicos para Text-to-SQL, basado en un diccionario de 14 categorías de paráfrasis. El diccionario cubre los principales patrones de pregunta presentes en Spider: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Patrón Original</w:t>
            </w:r>
          </w:p>
        </w:tc>
        <w:tc>
          <w:tcPr>
            <w:tcW w:type="dxa" w:w="3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Variantes Generadas</w:t>
            </w:r>
          </w:p>
        </w:tc>
        <w:tc>
          <w:tcPr>
            <w:tcW w:type="dxa" w:w="30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How many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What is the count of / What is the number of</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Interrogativo-cuantitativo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What are</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List all / Show all / Find all / Display all</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Listado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What is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Show me the / Find the / Tell me the</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Consulta directa</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the average</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the mean / the avg</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Agregación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the maximum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the highest / the largest / the greatest</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Superlativo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the minimum</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the lowest / the smallest / the least</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Superlativo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Show me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Find / List / Display / Retrieve</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Imperativo</w:t>
            </w:r>
          </w:p>
        </w:tc>
      </w:tr>
    </w:tbl>
    <w:p>
      <w:pPr>
        <w:spacing w:after="0" w:before="100"/>
      </w:pPr>
    </w:p>
    <w:p>
      <w:pPr>
        <w:spacing w:after="80" w:before="60"/>
        <w:ind w:left="400"/>
      </w:pPr>
      <w:r>
        <w:rPr>
          <w:rFonts w:ascii="Arial" w:cs="Arial" w:eastAsia="Arial" w:hAnsi="Arial"/>
          <w:i/>
          <w:iCs/>
          <w:color w:val="555555"/>
          <w:sz w:val="20"/>
          <w:szCs w:val="20"/>
        </w:rPr>
        <w:t xml:space="preserve">📌 Cada augmentation aplica una sola sustitución por ejemplo para evitar cambios de significado acumulativos. La técnica es conservadora por diseño — solo sustituye patrones con semántica demostrada como equivalente en el contexto Text-to-SQL.</w:t>
      </w:r>
    </w:p>
    <w:p>
      <w:pPr>
        <w:pStyle w:val="Heading2"/>
        <w:spacing w:after="80" w:before="240"/>
      </w:pPr>
      <w:r>
        <w:rPr>
          <w:rFonts w:ascii="Arial" w:cs="Arial" w:eastAsia="Arial" w:hAnsi="Arial"/>
          <w:b/>
          <w:bCs/>
          <w:color w:val="2B6CB0"/>
          <w:sz w:val="26"/>
          <w:szCs w:val="26"/>
        </w:rPr>
        <w:t xml:space="preserve">6.2 Augmentation de Consultas SQL — Variantes Equivalentes</w:t>
      </w:r>
    </w:p>
    <w:p>
      <w:pPr>
        <w:spacing w:after="60" w:before="60"/>
        <w:jc w:val="both"/>
      </w:pPr>
      <w:r>
        <w:rPr>
          <w:rFonts w:ascii="Arial" w:cs="Arial" w:eastAsia="Arial" w:hAnsi="Arial"/>
          <w:color w:val="1A1A2E"/>
          <w:sz w:val="22"/>
          <w:szCs w:val="22"/>
        </w:rPr>
        <w:t xml:space="preserve">Se generaron variantes SQL semánticamente equivalentes mediante transformaciones formalmente verificables:</w:t>
      </w:r>
    </w:p>
    <w:p>
      <w:pPr>
        <w:pStyle w:val="ListParagraph"/>
        <w:numPr>
          <w:ilvl w:val="0"/>
          <w:numId w:val="2"/>
        </w:numPr>
        <w:spacing w:after="40" w:before="40"/>
      </w:pPr>
      <w:r>
        <w:rPr>
          <w:rFonts w:ascii="Arial" w:cs="Arial" w:eastAsia="Arial" w:hAnsi="Arial"/>
          <w:color w:val="1A1A2E"/>
          <w:sz w:val="22"/>
          <w:szCs w:val="22"/>
        </w:rPr>
        <w:t xml:space="preserve">JOIN → INNER JOIN (equivalentes en SQL estándar cuando no se especifica tipo).</w:t>
      </w:r>
    </w:p>
    <w:p>
      <w:pPr>
        <w:pStyle w:val="ListParagraph"/>
        <w:numPr>
          <w:ilvl w:val="0"/>
          <w:numId w:val="2"/>
        </w:numPr>
        <w:spacing w:after="40" w:before="40"/>
      </w:pPr>
      <w:r>
        <w:rPr>
          <w:rFonts w:ascii="Arial" w:cs="Arial" w:eastAsia="Arial" w:hAnsi="Arial"/>
          <w:color w:val="1A1A2E"/>
          <w:sz w:val="22"/>
          <w:szCs w:val="22"/>
        </w:rPr>
        <w:t xml:space="preserve">ORDER BY sin ASC/DESC → ORDER BY ... ASC (comportamiento por defecto explícito).</w:t>
      </w:r>
    </w:p>
    <w:p>
      <w:pPr>
        <w:pStyle w:val="ListParagraph"/>
        <w:numPr>
          <w:ilvl w:val="0"/>
          <w:numId w:val="2"/>
        </w:numPr>
        <w:spacing w:after="40" w:before="40"/>
      </w:pPr>
      <w:r>
        <w:rPr>
          <w:rFonts w:ascii="Arial" w:cs="Arial" w:eastAsia="Arial" w:hAnsi="Arial"/>
          <w:color w:val="1A1A2E"/>
          <w:sz w:val="22"/>
          <w:szCs w:val="22"/>
        </w:rPr>
        <w:t xml:space="preserve">Conservación de subconsultas complejas sin modificación para evitar errores de equivalencia.</w:t>
      </w:r>
    </w:p>
    <w:p>
      <w:pPr>
        <w:pStyle w:val="Heading2"/>
        <w:spacing w:after="80" w:before="240"/>
      </w:pPr>
      <w:r>
        <w:rPr>
          <w:rFonts w:ascii="Arial" w:cs="Arial" w:eastAsia="Arial" w:hAnsi="Arial"/>
          <w:b/>
          <w:bCs/>
          <w:color w:val="2B6CB0"/>
          <w:sz w:val="26"/>
          <w:szCs w:val="26"/>
        </w:rPr>
        <w:t xml:space="preserve">6.3 Resultados de la Augmentation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3626"/>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7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Original (Train)</w:t>
            </w:r>
          </w:p>
        </w:tc>
        <w:tc>
          <w:tcPr>
            <w:tcW w:type="dxa" w:w="19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Post-Augmentation</w:t>
            </w:r>
          </w:p>
        </w:tc>
        <w:tc>
          <w:tcPr>
            <w:tcW w:type="dxa" w:w="36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 de Aumento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Easy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2,024</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2,024</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 (clase mayoritaria)</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Medium</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3,472</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 (clase mayoritaria)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Hard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896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2,272</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+154% (+1,376)</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Extra</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577</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1,353</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+135% (+776)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TOTAL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6,969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9,197</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+32%</w:t>
            </w:r>
          </w:p>
        </w:tc>
      </w:tr>
    </w:tbl>
    <w:p>
      <w:pPr>
        <w:spacing w:after="0" w:before="100"/>
      </w:pPr>
    </w:p>
    <w:p>
      <w:pPr>
        <w:spacing w:after="60" w:before="60"/>
        <w:jc w:val="both"/>
      </w:pPr>
      <w:r>
        <w:rPr>
          <w:rFonts w:ascii="Arial" w:cs="Arial" w:eastAsia="Arial" w:hAnsi="Arial"/>
          <w:color w:val="1A1A2E"/>
          <w:sz w:val="22"/>
          <w:szCs w:val="22"/>
        </w:rPr>
        <w:t xml:space="preserve">Se generaron 2,228 ejemplos nuevos (151% de aumento sobre las clases minoritarias), reduciendo el ratio de desbalance de 5.9x original a aproximadamente 2.4x post-augmentation, nivel considerado manejable con class weights adicionales.</w:t>
      </w:r>
    </w:p>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7. Pipeline de Preprocesamiento Automatizado</w:t>
      </w:r>
    </w:p>
    <w:p>
      <w:pPr>
        <w:spacing w:after="60" w:before="60"/>
        <w:jc w:val="both"/>
      </w:pPr>
      <w:r>
        <w:rPr>
          <w:rFonts w:ascii="Arial" w:cs="Arial" w:eastAsia="Arial" w:hAnsi="Arial"/>
          <w:color w:val="1A1A2E"/>
          <w:sz w:val="22"/>
          <w:szCs w:val="22"/>
        </w:rPr>
        <w:t xml:space="preserve">Todos los pasos anteriores fueron encapsulados en un pipeline reproducible y serializable, implementado bajo el estándar de scikit-learn Pipeline y ColumnTransformer. Este diseño garantiza que nuevos datos puedan ser procesados aplicando exactamente las mismas transformaciones aprendidas sobre el conjunto de train.</w:t>
      </w:r>
    </w:p>
    <w:p>
      <w:pPr>
        <w:pStyle w:val="Heading2"/>
        <w:spacing w:after="80" w:before="240"/>
      </w:pPr>
      <w:r>
        <w:rPr>
          <w:rFonts w:ascii="Arial" w:cs="Arial" w:eastAsia="Arial" w:hAnsi="Arial"/>
          <w:b/>
          <w:bCs/>
          <w:color w:val="2B6CB0"/>
          <w:sz w:val="26"/>
          <w:szCs w:val="26"/>
        </w:rPr>
        <w:t xml:space="preserve">7.1 Arquitectura del Pipeline</w:t>
      </w:r>
    </w:p>
    <w:p>
      <w:pPr>
        <w:spacing w:after="60" w:before="60"/>
        <w:jc w:val="both"/>
      </w:pPr>
      <w:r>
        <w:rPr>
          <w:rFonts w:ascii="Arial" w:cs="Arial" w:eastAsia="Arial" w:hAnsi="Arial"/>
          <w:color w:val="1A1A2E"/>
          <w:sz w:val="22"/>
          <w:szCs w:val="22"/>
        </w:rPr>
        <w:t xml:space="preserve">El pipeline opera en dos ramas paralelas que luego se concatenan: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426"/>
      </w:tblGrid>
      <w:tr>
        <w:trPr>
          <w:tblHeader/>
        </w:trPr>
        <w:tc>
          <w:tcPr>
            <w:tcW w:type="dxa" w:w="1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Rama</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Entrada</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Transformaciones</w:t>
            </w:r>
          </w:p>
        </w:tc>
        <w:tc>
          <w:tcPr>
            <w:tcW w:type="dxa" w:w="24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Salida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Numérica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29 features numéricas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SimpleImputer(median) → RobustScaler()</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29 features escaladas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Textual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Pregunta NL (string)</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TF-IDF(500, ngram=(1,2)) → PCA(n=50)</w:t>
            </w:r>
          </w:p>
        </w:tc>
        <w:tc>
          <w:tcPr>
            <w:tcW w:type="dxa" w:w="2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50 componentes principales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Final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Concatenación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79 features por ejemplo</w:t>
            </w:r>
          </w:p>
        </w:tc>
      </w:tr>
    </w:tbl>
    <w:p>
      <w:pPr>
        <w:spacing w:after="0" w:before="100"/>
      </w:pPr>
    </w:p>
    <w:p>
      <w:pPr>
        <w:spacing w:after="60" w:before="60"/>
        <w:jc w:val="both"/>
      </w:pPr>
      <w:r>
        <w:rPr>
          <w:rFonts w:ascii="Arial" w:cs="Arial" w:eastAsia="Arial" w:hAnsi="Arial"/>
          <w:color w:val="1A1A2E"/>
          <w:sz w:val="22"/>
          <w:szCs w:val="22"/>
        </w:rPr>
        <w:t xml:space="preserve">Se optó por RobustScaler en lugar del StandardScaler convencional dado que el score de complejidad y el conteo de JOINs presentan distribuciones asimétricas con outliers. RobustScaler usa la mediana y el rango intercuartílico, siendo resistente a valores extremos.</w:t>
      </w:r>
    </w:p>
    <w:p>
      <w:pPr>
        <w:spacing w:after="60" w:before="60"/>
        <w:jc w:val="both"/>
      </w:pPr>
      <w:r>
        <w:rPr>
          <w:rFonts w:ascii="Arial" w:cs="Arial" w:eastAsia="Arial" w:hAnsi="Arial"/>
          <w:color w:val="1A1A2E"/>
          <w:sz w:val="22"/>
          <w:szCs w:val="22"/>
        </w:rPr>
        <w:t xml:space="preserve">La reducción PCA sobre los vectores TF-IDF comprime 500 dimensiones en 50 componentes principales, capturando la mayor parte de la varianza lingüística mientras reduce el riesgo de sobreajuste.</w:t>
      </w:r>
    </w:p>
    <w:p>
      <w:pPr>
        <w:pStyle w:val="Heading2"/>
        <w:spacing w:after="80" w:before="240"/>
      </w:pPr>
      <w:r>
        <w:rPr>
          <w:rFonts w:ascii="Arial" w:cs="Arial" w:eastAsia="Arial" w:hAnsi="Arial"/>
          <w:b/>
          <w:bCs/>
          <w:color w:val="2B6CB0"/>
          <w:sz w:val="26"/>
          <w:szCs w:val="26"/>
        </w:rPr>
        <w:t xml:space="preserve">7.2 Resultados de Validación — Modelo Baseline</w:t>
      </w:r>
    </w:p>
    <w:p>
      <w:pPr>
        <w:spacing w:after="60" w:before="60"/>
        <w:jc w:val="both"/>
      </w:pPr>
      <w:r>
        <w:rPr>
          <w:rFonts w:ascii="Arial" w:cs="Arial" w:eastAsia="Arial" w:hAnsi="Arial"/>
          <w:color w:val="1A1A2E"/>
          <w:sz w:val="22"/>
          <w:szCs w:val="22"/>
        </w:rPr>
        <w:t xml:space="preserve">Se entrenó un modelo Random Forest (200 estimadores, max_depth=12, class_weight='balanced') sobre el pipeline completo para validar que las transformaciones producen features útiles para la tarea:</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A3557"/>
                <w:sz w:val="22"/>
                <w:szCs w:val="22"/>
              </w:rPr>
              <w:t xml:space="preserve">Accuracy en conjunto de validación</w:t>
            </w:r>
          </w:p>
        </w:tc>
        <w:tc>
          <w:tcPr>
            <w:tcW w:type="dxa" w:w="3526"/>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99.42%</w:t>
            </w:r>
          </w:p>
        </w:tc>
      </w:tr>
    </w:tbl>
    <w:p>
      <w:pPr>
        <w:spacing w:after="0" w:before="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6"/>
        <w:gridCol w:w="2008"/>
      </w:tblGrid>
      <w:tr>
        <w:trPr>
          <w:tblHeader/>
        </w:trPr>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0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2008"/>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Easy</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20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331</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Medium</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1.00</w:t>
            </w:r>
          </w:p>
        </w:tc>
        <w:tc>
          <w:tcPr>
            <w:tcW w:type="dxa" w:w="200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567</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Hard</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0.98</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0.99</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0.98</w:t>
            </w:r>
          </w:p>
        </w:tc>
        <w:tc>
          <w:tcPr>
            <w:tcW w:type="dxa" w:w="20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103</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Extra</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0.99</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0.97</w:t>
            </w:r>
          </w:p>
        </w:tc>
        <w:tc>
          <w:tcPr>
            <w:tcW w:type="dxa" w:w="18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0.98</w:t>
            </w:r>
          </w:p>
        </w:tc>
        <w:tc>
          <w:tcPr>
            <w:tcW w:type="dxa" w:w="200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31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Macro avg</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0.99</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0.99</w:t>
            </w:r>
          </w:p>
        </w:tc>
        <w:tc>
          <w:tcPr>
            <w:tcW w:type="dxa" w:w="18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0.99</w:t>
            </w:r>
          </w:p>
        </w:tc>
        <w:tc>
          <w:tcPr>
            <w:tcW w:type="dxa" w:w="20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1,032</w:t>
            </w:r>
          </w:p>
        </w:tc>
      </w:tr>
    </w:tbl>
    <w:p>
      <w:pPr>
        <w:spacing w:after="0" w:before="100"/>
      </w:pPr>
    </w:p>
    <w:p>
      <w:pPr>
        <w:spacing w:after="80" w:before="60"/>
        <w:ind w:left="400"/>
      </w:pPr>
      <w:r>
        <w:rPr>
          <w:rFonts w:ascii="Arial" w:cs="Arial" w:eastAsia="Arial" w:hAnsi="Arial"/>
          <w:i/>
          <w:iCs/>
          <w:color w:val="555555"/>
          <w:sz w:val="20"/>
          <w:szCs w:val="20"/>
        </w:rPr>
        <w:t xml:space="preserve">📌 El 99.42% de accuracy indica que las features construidas capturan casi perfectamente la lógica de dificultad del dataset Spider. Este resultado es esperado dado que la dificultad en Spider está definida por reglas estructurales explícitas sobre el SQL — las features SQL capturan exactamente esas reglas.</w:t>
      </w:r>
    </w:p>
    <w:p>
      <w:pPr>
        <w:pStyle w:val="Heading2"/>
        <w:spacing w:after="80" w:before="240"/>
      </w:pPr>
      <w:r>
        <w:rPr>
          <w:rFonts w:ascii="Arial" w:cs="Arial" w:eastAsia="Arial" w:hAnsi="Arial"/>
          <w:b/>
          <w:bCs/>
          <w:color w:val="2B6CB0"/>
          <w:sz w:val="26"/>
          <w:szCs w:val="26"/>
        </w:rPr>
        <w:t xml:space="preserve">7.3 Artefactos Generados para Producción</w:t>
      </w:r>
    </w:p>
    <w:p>
      <w:pPr>
        <w:spacing w:after="60" w:before="60"/>
        <w:jc w:val="both"/>
      </w:pPr>
      <w:r>
        <w:rPr>
          <w:rFonts w:ascii="Arial" w:cs="Arial" w:eastAsia="Arial" w:hAnsi="Arial"/>
          <w:color w:val="1A1A2E"/>
          <w:sz w:val="22"/>
          <w:szCs w:val="22"/>
        </w:rPr>
        <w:t xml:space="preserve">El pipeline fue serializado con joblib, generando los siguientes artefactos listos para despliegue o reutilización:</w:t>
      </w:r>
    </w:p>
    <w:p>
      <w:pPr>
        <w:pStyle w:val="ListParagraph"/>
        <w:numPr>
          <w:ilvl w:val="0"/>
          <w:numId w:val="2"/>
        </w:numPr>
        <w:spacing w:after="40" w:before="40"/>
      </w:pPr>
      <w:r>
        <w:rPr>
          <w:rFonts w:ascii="Arial" w:cs="Arial" w:eastAsia="Arial" w:hAnsi="Arial"/>
          <w:color w:val="1A1A2E"/>
          <w:sz w:val="22"/>
          <w:szCs w:val="22"/>
        </w:rPr>
        <w:t xml:space="preserve">preprocessor.joblib: Pipeline completo de transformación (imputer + scaler + TF-IDF + PCA).</w:t>
      </w:r>
    </w:p>
    <w:p>
      <w:pPr>
        <w:pStyle w:val="ListParagraph"/>
        <w:numPr>
          <w:ilvl w:val="0"/>
          <w:numId w:val="2"/>
        </w:numPr>
        <w:spacing w:after="40" w:before="40"/>
      </w:pPr>
      <w:r>
        <w:rPr>
          <w:rFonts w:ascii="Arial" w:cs="Arial" w:eastAsia="Arial" w:hAnsi="Arial"/>
          <w:color w:val="1A1A2E"/>
          <w:sz w:val="22"/>
          <w:szCs w:val="22"/>
        </w:rPr>
        <w:t xml:space="preserve">baseline_model.joblib: Modelo Random Forest entrenado, listo para inferencia.</w:t>
      </w:r>
    </w:p>
    <w:p>
      <w:pPr>
        <w:pStyle w:val="ListParagraph"/>
        <w:numPr>
          <w:ilvl w:val="0"/>
          <w:numId w:val="2"/>
        </w:numPr>
        <w:spacing w:after="40" w:before="40"/>
      </w:pPr>
      <w:r>
        <w:rPr>
          <w:rFonts w:ascii="Arial" w:cs="Arial" w:eastAsia="Arial" w:hAnsi="Arial"/>
          <w:color w:val="1A1A2E"/>
          <w:sz w:val="22"/>
          <w:szCs w:val="22"/>
        </w:rPr>
        <w:t xml:space="preserve">label_encoder_db.joblib: Encoder para el campo db_id (200 bases de datos).</w:t>
      </w:r>
    </w:p>
    <w:p>
      <w:pPr>
        <w:pStyle w:val="ListParagraph"/>
        <w:numPr>
          <w:ilvl w:val="0"/>
          <w:numId w:val="2"/>
        </w:numPr>
        <w:spacing w:after="40" w:before="40"/>
      </w:pPr>
      <w:r>
        <w:rPr>
          <w:rFonts w:ascii="Arial" w:cs="Arial" w:eastAsia="Arial" w:hAnsi="Arial"/>
          <w:color w:val="1A1A2E"/>
          <w:sz w:val="22"/>
          <w:szCs w:val="22"/>
        </w:rPr>
        <w:t xml:space="preserve">difficulty_map.joblib: Mapeo bidireccional de etiquetas de dificultad.</w:t>
      </w:r>
    </w:p>
    <w:p>
      <w:pPr>
        <w:pStyle w:val="ListParagraph"/>
        <w:numPr>
          <w:ilvl w:val="0"/>
          <w:numId w:val="2"/>
        </w:numPr>
        <w:spacing w:after="40" w:before="40"/>
      </w:pPr>
      <w:r>
        <w:rPr>
          <w:rFonts w:ascii="Arial" w:cs="Arial" w:eastAsia="Arial" w:hAnsi="Arial"/>
          <w:color w:val="1A1A2E"/>
          <w:sz w:val="22"/>
          <w:szCs w:val="22"/>
        </w:rPr>
        <w:t xml:space="preserve">spider_preprocessed.csv: Dataset completo procesado con todas las features en formato CSV.</w:t>
      </w:r>
    </w:p>
    <w:p>
      <w:pPr>
        <w:pStyle w:val="Heading2"/>
        <w:spacing w:after="80" w:before="240"/>
      </w:pPr>
      <w:r>
        <w:rPr>
          <w:rFonts w:ascii="Arial" w:cs="Arial" w:eastAsia="Arial" w:hAnsi="Arial"/>
          <w:b/>
          <w:bCs/>
          <w:color w:val="2B6CB0"/>
          <w:sz w:val="26"/>
          <w:szCs w:val="26"/>
        </w:rPr>
        <w:t xml:space="preserve">7.4 Función de Inferencia en Producción</w:t>
      </w:r>
    </w:p>
    <w:p>
      <w:pPr>
        <w:spacing w:after="60" w:before="60"/>
        <w:jc w:val="both"/>
      </w:pPr>
      <w:r>
        <w:rPr>
          <w:rFonts w:ascii="Arial" w:cs="Arial" w:eastAsia="Arial" w:hAnsi="Arial"/>
          <w:color w:val="1A1A2E"/>
          <w:sz w:val="22"/>
          <w:szCs w:val="22"/>
        </w:rPr>
        <w:t xml:space="preserve">Se implementó la función predict_difficulty(question, sql) que acepta una nueva pregunta y consulta SQL, aplica el pipeline completo y retorna la predicción de dificultad con probabilidades por clase. Ejemplos de validación: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026"/>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w:t>
            </w:r>
          </w:p>
        </w:tc>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Predicción</w:t>
            </w:r>
          </w:p>
        </w:tc>
        <w:tc>
          <w:tcPr>
            <w:tcW w:type="dxa" w:w="20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Confianza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How many singers are there?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SELECT count(*) FROM singer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EASY</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99.89%</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What is the average age of singers from USA?</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SELECT avg(age) FROM singer WHERE...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MEDIUM</w:t>
            </w:r>
          </w:p>
        </w:tc>
        <w:tc>
          <w:tcPr>
            <w:tcW w:type="dxa" w:w="2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List all concert names and their stadiums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SELECT ... FROM concert JOIN stadium ...</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MEDIUM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~95%</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Names of concerts with &gt;10000 attendees and stadiums capacity &gt;50000</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SELECT ... JOIN ... WHERE T1.att &gt; 10000 AND T2.cap &gt; 50000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HARD</w:t>
            </w:r>
          </w:p>
        </w:tc>
        <w:tc>
          <w:tcPr>
            <w:tcW w:type="dxa" w:w="2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~91%</w:t>
            </w:r>
          </w:p>
        </w:tc>
      </w:tr>
    </w:tbl>
    <w:p>
      <w:r>
        <w:br w:type="page"/>
      </w:r>
    </w:p>
    <w:p>
      <w:pPr>
        <w:pStyle w:val="Heading1"/>
        <w:pBdr>
          <w:bottom w:val="single" w:color="2B6CB0" w:sz="8" w:space="4"/>
        </w:pBdr>
        <w:spacing w:after="120" w:before="320"/>
      </w:pPr>
      <w:r>
        <w:rPr>
          <w:rFonts w:ascii="Arial" w:cs="Arial" w:eastAsia="Arial" w:hAnsi="Arial"/>
          <w:b/>
          <w:bCs/>
          <w:color w:val="1A3557"/>
          <w:sz w:val="32"/>
          <w:szCs w:val="32"/>
        </w:rPr>
        <w:t xml:space="preserve">8. Resumen Ejecutivo</w:t>
      </w:r>
    </w:p>
    <w:p>
      <w:pPr>
        <w:spacing w:after="60" w:before="60"/>
        <w:jc w:val="both"/>
      </w:pPr>
      <w:r>
        <w:rPr>
          <w:rFonts w:ascii="Arial" w:cs="Arial" w:eastAsia="Arial" w:hAnsi="Arial"/>
          <w:color w:val="1A1A2E"/>
          <w:sz w:val="22"/>
          <w:szCs w:val="22"/>
        </w:rPr>
        <w:t xml:space="preserve">La siguiente tabla resume los resultados cuantitativos de cada etapa del pipeline de preparación de datos: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Etapa</w:t>
            </w:r>
          </w:p>
        </w:tc>
        <w:tc>
          <w:tcPr>
            <w:tcW w:type="dxa" w:w="6026"/>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Principal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Dataset (carga completa)</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8,034 ejemplos — 200 DBs — 138 dominios — 4 niveles de dificultad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EDA — Desbalance detectado</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Ratio 5.9x (medium: 49% vs extra: 8.3%) — requiere balanceamiento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EDA — Calidad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0 valores nulos — 33 duplicados exactos — alta calidad base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Limpieza</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99.6% integridad conservada (8,001 registros finales)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Feature Engineering</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55 features totales: 16 lingüísticas + 17 SQL + 3 interacción + 19 base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Feature más importante</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complexity_score (diseño propio): 20.33% de importancia predictiva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Balanceamiento — Class Weights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Pesos: easy=0.86 / medium=0.50 / hard=1.94 / extra=3.02</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Balanceamiento — SMOTE</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13,888 registros post-resampling (6,919 sintéticos generados)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Data Augmentation</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2,228 nuevos ejemplos — ratio desbalance reducido de 5.9x a 2.4x</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Pipeline output</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79 features por ejemplo (29 numéricas + 50 PCA-TF-IDF)</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20"/>
                <w:szCs w:val="20"/>
              </w:rPr>
              <w:t xml:space="preserve">Baseline accuracy</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20"/>
                <w:szCs w:val="20"/>
              </w:rPr>
              <w:t xml:space="preserve">99.42% — valida la calidad de las features construidas</w:t>
            </w:r>
          </w:p>
        </w:tc>
      </w:tr>
    </w:tbl>
    <w:p>
      <w:pPr>
        <w:spacing w:after="0" w:before="120"/>
      </w:pPr>
    </w:p>
    <w:p>
      <w:pPr>
        <w:pStyle w:val="Heading2"/>
        <w:spacing w:after="80" w:before="240"/>
      </w:pPr>
      <w:r>
        <w:rPr>
          <w:rFonts w:ascii="Arial" w:cs="Arial" w:eastAsia="Arial" w:hAnsi="Arial"/>
          <w:b/>
          <w:bCs/>
          <w:color w:val="2B6CB0"/>
          <w:sz w:val="26"/>
          <w:szCs w:val="26"/>
        </w:rPr>
        <w:t xml:space="preserve">Decisiones Técnicas Justificadas</w:t>
      </w:r>
    </w:p>
    <w:p>
      <w:pPr>
        <w:pStyle w:val="ListParagraph"/>
        <w:numPr>
          <w:ilvl w:val="0"/>
          <w:numId w:val="2"/>
        </w:numPr>
        <w:spacing w:after="40" w:before="40"/>
      </w:pPr>
      <w:r>
        <w:rPr>
          <w:rFonts w:ascii="Arial" w:cs="Arial" w:eastAsia="Arial" w:hAnsi="Arial"/>
          <w:color w:val="1A1A2E"/>
          <w:sz w:val="22"/>
          <w:szCs w:val="22"/>
        </w:rPr>
        <w:t xml:space="preserve">RobustScaler sobre StandardScaler: distribuciones asimétricas en features SQL con outliers significativos.</w:t>
      </w:r>
    </w:p>
    <w:p>
      <w:pPr>
        <w:pStyle w:val="ListParagraph"/>
        <w:numPr>
          <w:ilvl w:val="0"/>
          <w:numId w:val="2"/>
        </w:numPr>
        <w:spacing w:after="40" w:before="40"/>
      </w:pPr>
      <w:r>
        <w:rPr>
          <w:rFonts w:ascii="Arial" w:cs="Arial" w:eastAsia="Arial" w:hAnsi="Arial"/>
          <w:color w:val="1A1A2E"/>
          <w:sz w:val="22"/>
          <w:szCs w:val="22"/>
        </w:rPr>
        <w:t xml:space="preserve">PCA(50) sobre TF-IDF: balance entre información lingüística y riesgo de sobreajuste (500→50 dims).</w:t>
      </w:r>
    </w:p>
    <w:p>
      <w:pPr>
        <w:pStyle w:val="ListParagraph"/>
        <w:numPr>
          <w:ilvl w:val="0"/>
          <w:numId w:val="2"/>
        </w:numPr>
        <w:spacing w:after="40" w:before="40"/>
      </w:pPr>
      <w:r>
        <w:rPr>
          <w:rFonts w:ascii="Arial" w:cs="Arial" w:eastAsia="Arial" w:hAnsi="Arial"/>
          <w:color w:val="1A1A2E"/>
          <w:sz w:val="22"/>
          <w:szCs w:val="22"/>
        </w:rPr>
        <w:t xml:space="preserve">Augmentation solo en clases minoritarias: evita amplificar el desbalance existente.</w:t>
      </w:r>
    </w:p>
    <w:p>
      <w:pPr>
        <w:pStyle w:val="ListParagraph"/>
        <w:numPr>
          <w:ilvl w:val="0"/>
          <w:numId w:val="2"/>
        </w:numPr>
        <w:spacing w:after="40" w:before="40"/>
      </w:pPr>
      <w:r>
        <w:rPr>
          <w:rFonts w:ascii="Arial" w:cs="Arial" w:eastAsia="Arial" w:hAnsi="Arial"/>
          <w:color w:val="1A1A2E"/>
          <w:sz w:val="22"/>
          <w:szCs w:val="22"/>
        </w:rPr>
        <w:t xml:space="preserve">Class Weights como estrategia recomendada para el modelo final (LLM/Transformer): no altera la distribución real de los datos de entrenamiento, que es la recomendación dominante en la literatura reciente de fine-tuning de LLMs.</w:t>
      </w:r>
    </w:p>
    <w:p>
      <w:pPr>
        <w:pStyle w:val="Heading2"/>
        <w:spacing w:after="80" w:before="240"/>
      </w:pPr>
      <w:r>
        <w:rPr>
          <w:rFonts w:ascii="Arial" w:cs="Arial" w:eastAsia="Arial" w:hAnsi="Arial"/>
          <w:b/>
          <w:bCs/>
          <w:color w:val="2B6CB0"/>
          <w:sz w:val="26"/>
          <w:szCs w:val="26"/>
        </w:rPr>
        <w:t xml:space="preserve">Próximos Pasos</w:t>
      </w:r>
    </w:p>
    <w:p>
      <w:pPr>
        <w:pStyle w:val="ListParagraph"/>
        <w:numPr>
          <w:ilvl w:val="0"/>
          <w:numId w:val="2"/>
        </w:numPr>
        <w:spacing w:after="40" w:before="40"/>
      </w:pPr>
      <w:r>
        <w:rPr>
          <w:rFonts w:ascii="Arial" w:cs="Arial" w:eastAsia="Arial" w:hAnsi="Arial"/>
          <w:color w:val="1A1A2E"/>
          <w:sz w:val="22"/>
          <w:szCs w:val="22"/>
        </w:rPr>
        <w:t xml:space="preserve">Fase de modelado: fine-tuning de CodeLlama-13B y LLaMA-3-8B con QLoRA sobre el dataset procesado.</w:t>
      </w:r>
    </w:p>
    <w:p>
      <w:pPr>
        <w:pStyle w:val="ListParagraph"/>
        <w:numPr>
          <w:ilvl w:val="0"/>
          <w:numId w:val="2"/>
        </w:numPr>
        <w:spacing w:after="40" w:before="40"/>
      </w:pPr>
      <w:r>
        <w:rPr>
          <w:rFonts w:ascii="Arial" w:cs="Arial" w:eastAsia="Arial" w:hAnsi="Arial"/>
          <w:color w:val="1A1A2E"/>
          <w:sz w:val="22"/>
          <w:szCs w:val="22"/>
        </w:rPr>
        <w:t xml:space="preserve">Evaluación: Execution Accuracy (EX) sobre el test set oficial de Spider.</w:t>
      </w:r>
    </w:p>
    <w:p>
      <w:pPr>
        <w:pStyle w:val="ListParagraph"/>
        <w:numPr>
          <w:ilvl w:val="0"/>
          <w:numId w:val="2"/>
        </w:numPr>
        <w:spacing w:after="40" w:before="40"/>
      </w:pPr>
      <w:r>
        <w:rPr>
          <w:rFonts w:ascii="Arial" w:cs="Arial" w:eastAsia="Arial" w:hAnsi="Arial"/>
          <w:color w:val="1A1A2E"/>
          <w:sz w:val="22"/>
          <w:szCs w:val="22"/>
        </w:rPr>
        <w:t xml:space="preserve">Comparativa: análisis diferencial con BIRD (datos ruidosos reales) y MultiSpider en español.</w:t>
      </w:r>
    </w:p>
    <w:p>
      <w:pPr>
        <w:spacing w:after="0" w:before="120"/>
      </w:pPr>
    </w:p>
    <w:p>
      <w:pPr>
        <w:pStyle w:val="Heading1"/>
        <w:pBdr>
          <w:bottom w:val="single" w:color="2B6CB0" w:sz="8" w:space="4"/>
        </w:pBdr>
        <w:spacing w:after="120" w:before="320"/>
      </w:pPr>
      <w:r>
        <w:rPr>
          <w:rFonts w:ascii="Arial" w:cs="Arial" w:eastAsia="Arial" w:hAnsi="Arial"/>
          <w:b/>
          <w:bCs/>
          <w:color w:val="1A3557"/>
          <w:sz w:val="32"/>
          <w:szCs w:val="32"/>
        </w:rPr>
        <w:t xml:space="preserve">Referencias</w:t>
      </w:r>
    </w:p>
    <w:p>
      <w:pPr>
        <w:spacing w:after="60" w:before="60"/>
        <w:jc w:val="both"/>
      </w:pPr>
      <w:r>
        <w:rPr>
          <w:rFonts w:ascii="Arial" w:cs="Arial" w:eastAsia="Arial" w:hAnsi="Arial"/>
          <w:color w:val="1A1A2E"/>
          <w:sz w:val="22"/>
          <w:szCs w:val="22"/>
        </w:rPr>
        <w:t xml:space="preserve">Yu, T., Zhang, R., Yang, K., Yasunaga, M., Wang, D., Li, Z., ... &amp; Radev, D. (2018). Spider: A Large-Scale Human-Labeled Dataset for Complex and Cross-Domain Semantic Parsing and Text-to-SQL Task. Proceedings of EMNLP 2018. https://arxiv.org/abs/1809.08887</w:t>
      </w:r>
    </w:p>
    <w:p>
      <w:pPr>
        <w:spacing w:after="0" w:before="60"/>
      </w:pPr>
    </w:p>
    <w:p>
      <w:pPr>
        <w:spacing w:after="60" w:before="60"/>
        <w:jc w:val="both"/>
      </w:pPr>
      <w:r>
        <w:rPr>
          <w:rFonts w:ascii="Arial" w:cs="Arial" w:eastAsia="Arial" w:hAnsi="Arial"/>
          <w:color w:val="1A1A2E"/>
          <w:sz w:val="22"/>
          <w:szCs w:val="22"/>
        </w:rPr>
        <w:t xml:space="preserve">Chawla, N. V., Bowyer, K. W., Hall, L. O., &amp; Kegelmeyer, W. P. (2002). SMOTE: Synthetic Minority Over-sampling Technique. Journal of Artificial Intelligence Research, 16, 321-357.</w:t>
      </w:r>
    </w:p>
    <w:p>
      <w:pPr>
        <w:spacing w:after="0" w:before="60"/>
      </w:pPr>
    </w:p>
    <w:p>
      <w:pPr>
        <w:spacing w:after="60" w:before="60"/>
        <w:jc w:val="both"/>
      </w:pPr>
      <w:r>
        <w:rPr>
          <w:rFonts w:ascii="Arial" w:cs="Arial" w:eastAsia="Arial" w:hAnsi="Arial"/>
          <w:color w:val="1A1A2E"/>
          <w:sz w:val="22"/>
          <w:szCs w:val="22"/>
        </w:rPr>
        <w:t xml:space="preserve">Pedregosa, F. et al. (2011). Scikit-learn: Machine Learning in Python. Journal of Machine Learning Research, 12, 2825-2830.</w:t>
      </w:r>
    </w:p>
    <w:p>
      <w:pPr>
        <w:spacing w:after="0" w:before="60"/>
      </w:pPr>
    </w:p>
    <w:p>
      <w:pPr>
        <w:spacing w:after="60" w:before="60"/>
        <w:jc w:val="both"/>
      </w:pPr>
      <w:r>
        <w:rPr>
          <w:rFonts w:ascii="Arial" w:cs="Arial" w:eastAsia="Arial" w:hAnsi="Arial"/>
          <w:color w:val="1A1A2E"/>
          <w:sz w:val="22"/>
          <w:szCs w:val="22"/>
        </w:rPr>
        <w:t xml:space="preserve">Hu, E. J. et al. (2021). LoRA: Low-Rank Adaptation of Large Language Models. ICLR 2022. https://arxiv.org/abs/2106.09685</w:t>
      </w:r>
    </w:p>
    <w:p>
      <w:pPr>
        <w:spacing w:after="0" w:before="60"/>
      </w:pPr>
    </w:p>
    <w:p>
      <w:pPr>
        <w:spacing w:after="60" w:before="60"/>
        <w:jc w:val="both"/>
      </w:pPr>
      <w:r>
        <w:rPr>
          <w:rFonts w:ascii="Arial" w:cs="Arial" w:eastAsia="Arial" w:hAnsi="Arial"/>
          <w:color w:val="1A1A2E"/>
          <w:sz w:val="22"/>
          <w:szCs w:val="22"/>
        </w:rPr>
        <w:t xml:space="preserve">Dou, L. et al. (2022). MultiSpider: Towards Benchmarking Multilingual Text-to-SQL Semantic Parsing. AAAI 2023. https://arxiv.org/abs/2212.13492</w:t>
      </w:r>
    </w:p>
    <w:p>
      <w:pPr>
        <w:spacing w:after="0" w:before="60"/>
      </w:pPr>
    </w:p>
    <w:p>
      <w:pPr>
        <w:spacing w:after="60" w:before="60"/>
        <w:jc w:val="both"/>
      </w:pPr>
      <w:r>
        <w:rPr>
          <w:rFonts w:ascii="Arial" w:cs="Arial" w:eastAsia="Arial" w:hAnsi="Arial"/>
          <w:color w:val="1A1A2E"/>
          <w:sz w:val="22"/>
          <w:szCs w:val="22"/>
        </w:rPr>
        <w:t xml:space="preserve">Li, J. et al. (2023). Can LLM Already Serve as a Database Interface? A BIG Bench for Large-Scale Database Grounded Text-to-SQL. NeurIPS 2024. https://bird-bench.github.io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after="0" w:before="100"/>
      <w:jc w:val="right"/>
    </w:pPr>
    <w:r>
      <w:rPr>
        <w:rFonts w:ascii="Arial" w:cs="Arial" w:eastAsia="Arial" w:hAnsi="Arial"/>
        <w:color w:val="888888"/>
        <w:sz w:val="16"/>
        <w:szCs w:val="16"/>
      </w:rPr>
      <w:t xml:space="preserve">Informe — Preparación de Datos Spider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100" w:before="0"/>
    </w:pPr>
    <w:r>
      <w:rPr>
        <w:rFonts w:ascii="Arial" w:cs="Arial" w:eastAsia="Arial" w:hAnsi="Arial"/>
        <w:color w:val="888888"/>
        <w:sz w:val="16"/>
        <w:szCs w:val="16"/>
      </w:rPr>
      <w:t xml:space="preserve">Maestría en Inteligencia Artificial — UEES  |  Grupo Sánchez-Cabrera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5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2026-04-10T03:30:20.465Z</dcterms:created>
  <dcterms:modified xsi:type="dcterms:W3CDTF">2026-04-10T03:30:20.466Z</dcterms:modified>
</cp:coreProperties>
</file>

<file path=docProps/custom.xml><?xml version="1.0" encoding="utf-8"?>
<Properties xmlns="http://schemas.openxmlformats.org/officeDocument/2006/custom-properties" xmlns:vt="http://schemas.openxmlformats.org/officeDocument/2006/docPropsVTypes"/>
</file>