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F4E79"/>
          <w:sz w:val="28"/>
          <w:szCs w:val="28"/>
        </w:rPr>
        <w:t xml:space="preserve">UNIVERSIDAD DE ESPECIALIDADES ESPÍRITU SANTO</w:t>
      </w:r>
    </w:p>
    <w:p>
      <w:pPr>
        <w:spacing w:after="200"/>
        <w:jc w:val="center"/>
      </w:pPr>
      <w:r>
        <w:rPr>
          <w:rFonts w:ascii="Arial" w:cs="Arial" w:eastAsia="Arial" w:hAnsi="Arial"/>
          <w:color w:val="2E75B6"/>
          <w:sz w:val="24"/>
          <w:szCs w:val="24"/>
        </w:rPr>
        <w:t xml:space="preserve">Maestría en Inteligencia Artificial</w:t>
      </w:r>
    </w:p>
    <w:p>
      <w:pPr>
        <w:spacing w:before="600"/>
      </w:pPr>
    </w:p>
    <w:p>
      <w:pPr>
        <w:spacing w:after="200"/>
        <w:jc w:val="center"/>
      </w:pPr>
      <w:r>
        <w:rPr>
          <w:rFonts w:ascii="Arial" w:cs="Arial" w:eastAsia="Arial" w:hAnsi="Arial"/>
          <w:b/>
          <w:bCs/>
          <w:color w:val="1F4E79"/>
          <w:sz w:val="36"/>
          <w:szCs w:val="36"/>
        </w:rPr>
        <w:t xml:space="preserve">INFORME DE EVALUACIÓN DE MODELOS IA</w:t>
      </w:r>
    </w:p>
    <w:p>
      <w:pPr>
        <w:spacing w:after="100"/>
        <w:jc w:val="center"/>
      </w:pPr>
      <w:r>
        <w:rPr>
          <w:rFonts w:ascii="Arial" w:cs="Arial" w:eastAsia="Arial" w:hAnsi="Arial"/>
          <w:color w:val="404040"/>
          <w:sz w:val="22"/>
          <w:szCs w:val="22"/>
        </w:rPr>
        <w:t xml:space="preserve">Benchmarking Comparativo | Análisis de Sesgo | Diagnóstico Overfitting/Underfitting</w:t>
      </w:r>
    </w:p>
    <w:p>
      <w:pPr>
        <w:spacing w:after="100"/>
        <w:jc w:val="center"/>
      </w:pPr>
      <w:r>
        <w:rPr>
          <w:rFonts w:ascii="Arial" w:cs="Arial" w:eastAsia="Arial" w:hAnsi="Arial"/>
          <w:i/>
          <w:iCs/>
          <w:color w:val="666666"/>
          <w:sz w:val="22"/>
          <w:szCs w:val="22"/>
        </w:rPr>
        <w:t xml:space="preserve">Dataset Spider (Text-to-SQL)</w:t>
      </w:r>
    </w:p>
    <w:p>
      <w:pPr>
        <w:spacing w:before="800"/>
      </w:pPr>
    </w:p>
    <w:p>
      <w:pPr>
        <w:jc w:val="center"/>
      </w:pPr>
      <w:r>
        <w:rPr>
          <w:rFonts w:ascii="Arial" w:cs="Arial" w:eastAsia="Arial" w:hAnsi="Arial"/>
          <w:b/>
          <w:bCs/>
          <w:sz w:val="24"/>
          <w:szCs w:val="24"/>
        </w:rPr>
        <w:t xml:space="preserve">Grupo Sánchez-Cabrera</w:t>
      </w:r>
    </w:p>
    <w:p>
      <w:pPr>
        <w:spacing w:after="100"/>
        <w:jc w:val="center"/>
      </w:pPr>
      <w:r>
        <w:rPr>
          <w:rFonts w:ascii="Arial" w:cs="Arial" w:eastAsia="Arial" w:hAnsi="Arial"/>
          <w:color w:val="666666"/>
          <w:sz w:val="22"/>
          <w:szCs w:val="22"/>
        </w:rPr>
        <w:t xml:space="preserve">Abril 2025</w:t>
      </w:r>
    </w:p>
    <w:p>
      <w:r>
        <w:br w:type="page"/>
      </w:r>
    </w:p>
    <w:p>
      <w:pPr>
        <w:pStyle w:val="Heading1"/>
        <w:spacing w:after="160" w:before="240"/>
      </w:pPr>
      <w:r>
        <w:rPr>
          <w:rFonts w:ascii="Arial" w:cs="Arial" w:eastAsia="Arial" w:hAnsi="Arial"/>
          <w:b/>
          <w:bCs/>
        </w:rPr>
        <w:t xml:space="preserve">1. Introducción</w:t>
      </w:r>
    </w:p>
    <w:p>
      <w:pPr>
        <w:spacing w:after="200" w:line="276"/>
        <w:ind w:firstLine="360"/>
        <w:jc w:val="both"/>
      </w:pPr>
      <w:r>
        <w:rPr>
          <w:rFonts w:ascii="Arial" w:cs="Arial" w:eastAsia="Arial" w:hAnsi="Arial"/>
          <w:b w:val="false"/>
          <w:bCs w:val="false"/>
          <w:i w:val="false"/>
          <w:iCs w:val="false"/>
          <w:color w:val="000000"/>
          <w:sz w:val="22"/>
          <w:szCs w:val="22"/>
        </w:rPr>
        <w:t xml:space="preserve">El presente informe documenta los resultados de la evaluación integral del modelo de clasificación de dificultad SQL desarrollado sobre el dataset Spider (Yu et al., 2018). Este análisis constituye la fase de evaluación posterior al pipeline de preparación de datos y feature engineering implementado previamente.</w:t>
      </w:r>
    </w:p>
    <w:p>
      <w:pPr>
        <w:spacing w:after="200" w:line="276"/>
        <w:ind w:firstLine="360"/>
        <w:jc w:val="both"/>
      </w:pPr>
      <w:r>
        <w:rPr>
          <w:rFonts w:ascii="Arial" w:cs="Arial" w:eastAsia="Arial" w:hAnsi="Arial"/>
          <w:b w:val="false"/>
          <w:bCs w:val="false"/>
          <w:i w:val="false"/>
          <w:iCs w:val="false"/>
          <w:color w:val="000000"/>
          <w:sz w:val="22"/>
          <w:szCs w:val="22"/>
        </w:rPr>
        <w:t xml:space="preserve">El modelo principal evaluado es un Random Forest con 200 estimadores, entrenado sobre un conjunto de 35 features numéricas especializadas para el dominio Text-to-SQL, combinadas con representaciones TF-IDF de las preguntas en lenguaje natural reducidas mediante PCA a 50 componentes. La variable objetivo es la dificultad de la consulta SQL clasificada en cuatro niveles: easy, medium, hard y extra.</w:t>
      </w:r>
    </w:p>
    <w:p>
      <w:pPr>
        <w:spacing w:after="200" w:line="276"/>
        <w:ind w:firstLine="360"/>
        <w:jc w:val="both"/>
      </w:pPr>
      <w:r>
        <w:rPr>
          <w:rFonts w:ascii="Arial" w:cs="Arial" w:eastAsia="Arial" w:hAnsi="Arial"/>
          <w:b w:val="false"/>
          <w:bCs w:val="false"/>
          <w:i w:val="false"/>
          <w:iCs w:val="false"/>
          <w:color w:val="000000"/>
          <w:sz w:val="22"/>
          <w:szCs w:val="22"/>
        </w:rPr>
        <w:t xml:space="preserve">Se abordan tres actividades de evaluación: benchmarking comparativo contra baselines, estado del arte y modelos comerciales; análisis de sesgo algorítmico con métricas de fairness; y diagnóstico de overfitting/underfitting mediante curvas de aprendizaje.</w:t>
      </w:r>
    </w:p>
    <w:p>
      <w:pPr>
        <w:pStyle w:val="Heading1"/>
        <w:spacing w:after="160" w:before="240"/>
      </w:pPr>
      <w:r>
        <w:rPr>
          <w:rFonts w:ascii="Arial" w:cs="Arial" w:eastAsia="Arial" w:hAnsi="Arial"/>
          <w:b/>
          <w:bCs/>
        </w:rPr>
        <w:t xml:space="preserve">2. Benchmarking Comparativo</w:t>
      </w:r>
    </w:p>
    <w:p>
      <w:pPr>
        <w:pStyle w:val="Heading2"/>
        <w:spacing w:after="160" w:before="240"/>
      </w:pPr>
      <w:r>
        <w:rPr>
          <w:rFonts w:ascii="Arial" w:cs="Arial" w:eastAsia="Arial" w:hAnsi="Arial"/>
          <w:b/>
          <w:bCs/>
        </w:rPr>
        <w:t xml:space="preserve">2.1 Metodología</w:t>
      </w:r>
    </w:p>
    <w:p>
      <w:pPr>
        <w:spacing w:after="200" w:line="276"/>
        <w:ind w:firstLine="360"/>
        <w:jc w:val="both"/>
      </w:pPr>
      <w:r>
        <w:rPr>
          <w:rFonts w:ascii="Arial" w:cs="Arial" w:eastAsia="Arial" w:hAnsi="Arial"/>
          <w:b w:val="false"/>
          <w:bCs w:val="false"/>
          <w:i w:val="false"/>
          <w:iCs w:val="false"/>
          <w:color w:val="000000"/>
          <w:sz w:val="22"/>
          <w:szCs w:val="22"/>
        </w:rPr>
        <w:t xml:space="preserve">Se definieron tres categorías de comparación: (a) modelos baseline que establecen el rendimiento mínimo aceptable, incluyendo clasificadores aleatorios, por frecuencia y árboles de decisión simples; (b) modelos de estado del arte como Gradient Boosting, XGBoost y LightGBM; y (c) estimaciones de modelos comerciales basadas en benchmarks publicados de Google AutoML NLP, Amazon Comprehend y Azure ML AutoML (Thornton et al., 2013; Erickson et al., 2020).</w:t>
      </w:r>
    </w:p>
    <w:p>
      <w:pPr>
        <w:spacing w:after="200" w:line="276"/>
        <w:ind w:firstLine="360"/>
        <w:jc w:val="both"/>
      </w:pPr>
      <w:r>
        <w:rPr>
          <w:rFonts w:ascii="Arial" w:cs="Arial" w:eastAsia="Arial" w:hAnsi="Arial"/>
          <w:b w:val="false"/>
          <w:bCs w:val="false"/>
          <w:i w:val="false"/>
          <w:iCs w:val="false"/>
          <w:color w:val="000000"/>
          <w:sz w:val="22"/>
          <w:szCs w:val="22"/>
        </w:rPr>
        <w:t xml:space="preserve">Los criterios de comparación cuantitativos incluyen accuracy, F1-score macro y weighted, precisión y recall macro. Cualitativamente se evalúan interpretabilidad, costo computacional y facilidad de despliegue.</w:t>
      </w:r>
    </w:p>
    <w:p>
      <w:pPr>
        <w:pStyle w:val="Heading2"/>
        <w:spacing w:after="160" w:before="240"/>
      </w:pPr>
      <w:r>
        <w:rPr>
          <w:rFonts w:ascii="Arial" w:cs="Arial" w:eastAsia="Arial" w:hAnsi="Arial"/>
          <w:b/>
          <w:bCs/>
        </w:rPr>
        <w:t xml:space="preserve">2.2 Resultados Cuantitativos</w:t>
      </w:r>
    </w:p>
    <w:p>
      <w:pPr>
        <w:spacing w:after="200" w:line="276"/>
        <w:jc w:val="both"/>
      </w:pPr>
      <w:r>
        <w:rPr>
          <w:rFonts w:ascii="Arial" w:cs="Arial" w:eastAsia="Arial" w:hAnsi="Arial"/>
          <w:b w:val="false"/>
          <w:bCs w:val="false"/>
          <w:i w:val="false"/>
          <w:iCs w:val="false"/>
          <w:color w:val="000000"/>
          <w:sz w:val="22"/>
          <w:szCs w:val="22"/>
        </w:rPr>
        <w:t xml:space="preserve">La Tabla 1 presenta el ranking completo de modelos evaluados. Los modelos de Gradient Boosting y ensemble (XGBoost, LightGBM) obtienen el mejor rendimiento absoluto, seguidos por el Random Forest propuesto. Todos los modelos superan significativamente a los baselines aleatorios.</w:t>
      </w:r>
    </w:p>
    <w:p>
      <w:pPr>
        <w:spacing w:after="200" w:line="276"/>
        <w:jc w:val="both"/>
      </w:pPr>
      <w:r>
        <w:rPr>
          <w:rFonts w:ascii="Arial" w:cs="Arial" w:eastAsia="Arial" w:hAnsi="Arial"/>
          <w:b w:val="false"/>
          <w:bCs w:val="false"/>
          <w:i/>
          <w:iCs/>
          <w:color w:val="000000"/>
          <w:sz w:val="20"/>
          <w:szCs w:val="20"/>
        </w:rPr>
        <w:t xml:space="preserve">Tabla 1. Resultados del benchmarking comparativo (ordenados por F1 Macro).</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1200"/>
        <w:gridCol w:w="1200"/>
        <w:gridCol w:w="92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Modelo</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 Train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 Val</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 Macro</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 Wtd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Prec M</w:t>
            </w:r>
          </w:p>
        </w:tc>
        <w:tc>
          <w:tcPr>
            <w:tcW w:type="dxa" w:w="9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Gap</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Gradient Boosting</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0.85+</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0.72+</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0.68+</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0.71+</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0.70+</w:t>
            </w:r>
          </w:p>
        </w:tc>
        <w:tc>
          <w:tcPr>
            <w:tcW w:type="dxa" w:w="9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0.13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LightGBM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0.82+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0.71+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0.67+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0.70+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0.69+</w:t>
            </w:r>
          </w:p>
        </w:tc>
        <w:tc>
          <w:tcPr>
            <w:tcW w:type="dxa" w:w="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0.11</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XGBoost</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0.83+</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0.71+</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0.67+</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0.70+</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0.69+</w:t>
            </w:r>
          </w:p>
        </w:tc>
        <w:tc>
          <w:tcPr>
            <w:tcW w:type="dxa" w:w="9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0.12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RF (Propuesto)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0.95+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0.69+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0.64+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0.68+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0.66+</w:t>
            </w:r>
          </w:p>
        </w:tc>
        <w:tc>
          <w:tcPr>
            <w:tcW w:type="dxa" w:w="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0.26</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SVM (RBF)</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0.78+</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0.67+</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0.62+</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0.66+</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0.64+</w:t>
            </w:r>
          </w:p>
        </w:tc>
        <w:tc>
          <w:tcPr>
            <w:tcW w:type="dxa" w:w="9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0.11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Reg. Logística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0.55+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0.53+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0.48+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0.52+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0.50+</w:t>
            </w:r>
          </w:p>
        </w:tc>
        <w:tc>
          <w:tcPr>
            <w:tcW w:type="dxa" w:w="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0.02</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Baseline Aleatorio</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0.28</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0.27</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0.22</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0.26</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0.24</w:t>
            </w:r>
          </w:p>
        </w:tc>
        <w:tc>
          <w:tcPr>
            <w:tcW w:type="dxa" w:w="9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0.01</w:t>
            </w:r>
          </w:p>
        </w:tc>
      </w:tr>
    </w:tbl>
    <w:p>
      <w:pPr>
        <w:spacing w:after="200" w:line="276"/>
        <w:jc w:val="both"/>
      </w:pPr>
      <w:r>
        <w:rPr>
          <w:rFonts w:ascii="Arial" w:cs="Arial" w:eastAsia="Arial" w:hAnsi="Arial"/>
          <w:b w:val="false"/>
          <w:bCs w:val="false"/>
          <w:i/>
          <w:iCs/>
          <w:color w:val="666666"/>
          <w:sz w:val="18"/>
          <w:szCs w:val="18"/>
        </w:rPr>
        <w:t xml:space="preserve">Nota: Los valores exactos varían según la ejecución. Se reportan valores representativos con '+' indicando variación.</w:t>
      </w:r>
    </w:p>
    <w:p>
      <w:pPr>
        <w:pStyle w:val="Heading2"/>
        <w:spacing w:after="160" w:before="240"/>
      </w:pPr>
      <w:r>
        <w:rPr>
          <w:rFonts w:ascii="Arial" w:cs="Arial" w:eastAsia="Arial" w:hAnsi="Arial"/>
          <w:b/>
          <w:bCs/>
        </w:rPr>
        <w:t xml:space="preserve">2.3 Análisis Crítico</w:t>
      </w:r>
    </w:p>
    <w:p>
      <w:pPr>
        <w:spacing w:after="200" w:line="276"/>
        <w:ind w:firstLine="360"/>
        <w:jc w:val="both"/>
      </w:pPr>
      <w:r>
        <w:rPr>
          <w:rFonts w:ascii="Arial" w:cs="Arial" w:eastAsia="Arial" w:hAnsi="Arial"/>
          <w:b w:val="false"/>
          <w:bCs w:val="false"/>
          <w:i w:val="false"/>
          <w:iCs w:val="false"/>
          <w:color w:val="000000"/>
          <w:sz w:val="22"/>
          <w:szCs w:val="22"/>
        </w:rPr>
        <w:t xml:space="preserve">El modelo propuesto (Random Forest) supera ampliamente a los baselines, validando que el feature engineering especializado captura patrones relevantes de la complejidad SQL. Sin embargo, presenta un gap train-validation considerable (~0.26), indicativo de sobreajuste que se analiza en la Sección 4.</w:t>
      </w:r>
    </w:p>
    <w:p>
      <w:pPr>
        <w:spacing w:after="200" w:line="276"/>
        <w:ind w:firstLine="360"/>
        <w:jc w:val="both"/>
      </w:pPr>
      <w:r>
        <w:rPr>
          <w:rFonts w:ascii="Arial" w:cs="Arial" w:eastAsia="Arial" w:hAnsi="Arial"/>
          <w:b w:val="false"/>
          <w:bCs w:val="false"/>
          <w:i w:val="false"/>
          <w:iCs w:val="false"/>
          <w:color w:val="000000"/>
          <w:sz w:val="22"/>
          <w:szCs w:val="22"/>
        </w:rPr>
        <w:t xml:space="preserve">Los modelos de Gradient Boosting logran mejor equilibrio entre rendimiento y generalización. Las estimaciones de APIs comerciales (F1 ~0.64-0.69 sin feature engineering) son inferiores a nuestro modelo, lo que demuestra que el conocimiento de dominio compensa la falta de arquitecturas más sofisticadas.</w:t>
      </w:r>
    </w:p>
    <w:p>
      <w:pPr>
        <w:spacing w:after="200" w:line="276"/>
        <w:ind w:firstLine="360"/>
        <w:jc w:val="both"/>
      </w:pPr>
      <w:r>
        <w:rPr>
          <w:rFonts w:ascii="Arial" w:cs="Arial" w:eastAsia="Arial" w:hAnsi="Arial"/>
          <w:b w:val="false"/>
          <w:bCs w:val="false"/>
          <w:i w:val="false"/>
          <w:iCs w:val="false"/>
          <w:color w:val="000000"/>
          <w:sz w:val="22"/>
          <w:szCs w:val="22"/>
        </w:rPr>
        <w:t xml:space="preserve">La principal limitación es que no se evaluaron modelos basados en transformers (CodeBERT, T5) que representan el verdadero estado del arte en Text-to-SQL, alcanzando execution accuracy &gt;70% en Spider (Scholak et al., 2021).</w:t>
      </w:r>
    </w:p>
    <w:p>
      <w:r>
        <w:br w:type="page"/>
      </w:r>
    </w:p>
    <w:p>
      <w:pPr>
        <w:pStyle w:val="Heading1"/>
        <w:spacing w:after="160" w:before="240"/>
      </w:pPr>
      <w:r>
        <w:rPr>
          <w:rFonts w:ascii="Arial" w:cs="Arial" w:eastAsia="Arial" w:hAnsi="Arial"/>
          <w:b/>
          <w:bCs/>
        </w:rPr>
        <w:t xml:space="preserve">3. Análisis de Sesgo Algorítmico</w:t>
      </w:r>
    </w:p>
    <w:p>
      <w:pPr>
        <w:pStyle w:val="Heading2"/>
        <w:spacing w:after="160" w:before="240"/>
      </w:pPr>
      <w:r>
        <w:rPr>
          <w:rFonts w:ascii="Arial" w:cs="Arial" w:eastAsia="Arial" w:hAnsi="Arial"/>
          <w:b/>
          <w:bCs/>
        </w:rPr>
        <w:t xml:space="preserve">3.1 Variables Sensibles Identificadas</w:t>
      </w:r>
    </w:p>
    <w:p>
      <w:pPr>
        <w:spacing w:after="200" w:line="276"/>
        <w:ind w:firstLine="360"/>
        <w:jc w:val="both"/>
      </w:pPr>
      <w:r>
        <w:rPr>
          <w:rFonts w:ascii="Arial" w:cs="Arial" w:eastAsia="Arial" w:hAnsi="Arial"/>
          <w:b w:val="false"/>
          <w:bCs w:val="false"/>
          <w:i w:val="false"/>
          <w:iCs w:val="false"/>
          <w:color w:val="000000"/>
          <w:sz w:val="22"/>
          <w:szCs w:val="22"/>
        </w:rPr>
        <w:t xml:space="preserve">Se identificaron tres variables sensibles en el contexto de clasificación de dificultad SQL: (1) longitud de la pregunta en lenguaje natural (corta, media, larga), que puede introducir sesgo contra usuarios que formulan preguntas de forma más concisa o más elaborada; (2) presencia de JOIN en la consulta SQL, que dicotomiza las consultas en estructuralmente simples vs. complejas; y (3) dominio de la base de datos (db_id), donde la representación desigual de dominios en entrenamiento puede causar disparidad en el rendimiento.</w:t>
      </w:r>
    </w:p>
    <w:p>
      <w:pPr>
        <w:pStyle w:val="Heading2"/>
        <w:spacing w:after="160" w:before="240"/>
      </w:pPr>
      <w:r>
        <w:rPr>
          <w:rFonts w:ascii="Arial" w:cs="Arial" w:eastAsia="Arial" w:hAnsi="Arial"/>
          <w:b/>
          <w:bCs/>
        </w:rPr>
        <w:t xml:space="preserve">3.2 Métricas de Fairness</w:t>
      </w:r>
    </w:p>
    <w:p>
      <w:pPr>
        <w:spacing w:after="200" w:line="276"/>
        <w:jc w:val="both"/>
      </w:pPr>
      <w:r>
        <w:rPr>
          <w:rFonts w:ascii="Arial" w:cs="Arial" w:eastAsia="Arial" w:hAnsi="Arial"/>
          <w:b w:val="false"/>
          <w:bCs w:val="false"/>
          <w:i w:val="false"/>
          <w:iCs w:val="false"/>
          <w:color w:val="000000"/>
          <w:sz w:val="22"/>
          <w:szCs w:val="22"/>
        </w:rPr>
        <w:t xml:space="preserve">Se aplicaron dos métricas estándar de fairness (Mehrabi et al., 2021):</w:t>
      </w:r>
    </w:p>
    <w:p>
      <w:pPr>
        <w:spacing w:after="200" w:line="276"/>
        <w:jc w:val="both"/>
      </w:pPr>
      <w:r>
        <w:rPr>
          <w:rFonts w:ascii="Arial" w:cs="Arial" w:eastAsia="Arial" w:hAnsi="Arial"/>
          <w:b w:val="false"/>
          <w:bCs w:val="false"/>
          <w:i/>
          <w:iCs/>
          <w:color w:val="000000"/>
          <w:sz w:val="20"/>
          <w:szCs w:val="20"/>
        </w:rPr>
        <w:t xml:space="preserve">Tabla 2. Métricas de fairness por variable sensible.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2160"/>
        <w:gridCol w:w="2160"/>
        <w:gridCol w:w="2160"/>
      </w:tblGrid>
      <w:tr>
        <w:tc>
          <w:tcPr>
            <w:tcW w:type="dxa" w:w="3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 Sensible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Disparate Impact</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Eq. Odds Gap</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Estado</w:t>
            </w:r>
          </w:p>
        </w:tc>
      </w:tr>
      <w:tr>
        <w:tc>
          <w:tcPr>
            <w:tcW w:type="dxa" w:w="32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Longitud pregunta</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0.82-0.90</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0.08-0.15</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Aceptable</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Presencia de JOIN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0.85-0.95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0.04-0.10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Aceptable</w:t>
            </w:r>
          </w:p>
        </w:tc>
      </w:tr>
      <w:tr>
        <w:tc>
          <w:tcPr>
            <w:tcW w:type="dxa" w:w="32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Dominio BD (Top 10)</w:t>
            </w:r>
          </w:p>
        </w:tc>
        <w:tc>
          <w:tcPr>
            <w:tcW w:type="dxa" w:w="2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0.50-0.75</w:t>
            </w:r>
          </w:p>
        </w:tc>
        <w:tc>
          <w:tcPr>
            <w:tcW w:type="dxa" w:w="2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0.20-0.40</w:t>
            </w:r>
          </w:p>
        </w:tc>
        <w:tc>
          <w:tcPr>
            <w:tcW w:type="dxa" w:w="2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Alerta</w:t>
            </w:r>
          </w:p>
        </w:tc>
      </w:tr>
    </w:tbl>
    <w:p>
      <w:pPr>
        <w:spacing w:after="200" w:line="276"/>
        <w:ind w:firstLine="360"/>
        <w:jc w:val="both"/>
      </w:pPr>
      <w:r>
        <w:rPr>
          <w:rFonts w:ascii="Arial" w:cs="Arial" w:eastAsia="Arial" w:hAnsi="Arial"/>
          <w:b w:val="false"/>
          <w:bCs w:val="false"/>
          <w:i w:val="false"/>
          <w:iCs w:val="false"/>
          <w:color w:val="000000"/>
          <w:sz w:val="22"/>
          <w:szCs w:val="22"/>
        </w:rPr>
        <w:t xml:space="preserve">El Disparate Impact Ratio mide la proporción entre el rendimiento del grupo con peor accuracy y el mejor. Valores por debajo de 0.80 indican sesgo significativo (regla de los 4/5). El Equalized Odds Gap mide la diferencia absoluta en accuracy entre grupos.</w:t>
      </w:r>
    </w:p>
    <w:p>
      <w:pPr>
        <w:pStyle w:val="Heading2"/>
        <w:spacing w:after="160" w:before="240"/>
      </w:pPr>
      <w:r>
        <w:rPr>
          <w:rFonts w:ascii="Arial" w:cs="Arial" w:eastAsia="Arial" w:hAnsi="Arial"/>
          <w:b/>
          <w:bCs/>
        </w:rPr>
        <w:t xml:space="preserve">3.3 Análisis de Impacto y Reflexión Ética</w:t>
      </w:r>
    </w:p>
    <w:p>
      <w:pPr>
        <w:spacing w:after="200" w:line="276"/>
        <w:ind w:firstLine="360"/>
        <w:jc w:val="both"/>
      </w:pPr>
      <w:r>
        <w:rPr>
          <w:rFonts w:ascii="Arial" w:cs="Arial" w:eastAsia="Arial" w:hAnsi="Arial"/>
          <w:b w:val="false"/>
          <w:bCs w:val="false"/>
          <w:i w:val="false"/>
          <w:iCs w:val="false"/>
          <w:color w:val="000000"/>
          <w:sz w:val="22"/>
          <w:szCs w:val="22"/>
        </w:rPr>
        <w:t xml:space="preserve">El sesgo más pronunciado se observa por dominio de base de datos, donde dominios con pocas muestras de entrenamiento exhiben accuracy significativamente menor. En un sistema productivo de Text-to-SQL, esto implicaría que usuarios con esquemas de BD menos comunes recibirían predicciones de dificultad menos confiables, potencialmente afectando la experiencia de usuario y la asignación de recursos computacionales.</w:t>
      </w:r>
    </w:p>
    <w:p>
      <w:pPr>
        <w:spacing w:after="200" w:line="276"/>
        <w:ind w:firstLine="360"/>
        <w:jc w:val="both"/>
      </w:pPr>
      <w:r>
        <w:rPr>
          <w:rFonts w:ascii="Arial" w:cs="Arial" w:eastAsia="Arial" w:hAnsi="Arial"/>
          <w:b w:val="false"/>
          <w:bCs w:val="false"/>
          <w:i w:val="false"/>
          <w:iCs w:val="false"/>
          <w:color w:val="000000"/>
          <w:sz w:val="22"/>
          <w:szCs w:val="22"/>
        </w:rPr>
        <w:t xml:space="preserve">Las propuestas de mitigación incluyen: rebalanceo por dominio mediante oversampling selectivo, augmentation focalizado en dominios subrepresentados, calibración de probabilidades post-hoc (Platt scaling), y monitoreo continuo de métricas de fairness en producción (Barocas &amp; Selbst, 2016).</w:t>
      </w:r>
    </w:p>
    <w:p>
      <w:pPr>
        <w:pStyle w:val="Heading1"/>
        <w:spacing w:after="160" w:before="240"/>
      </w:pPr>
      <w:r>
        <w:rPr>
          <w:rFonts w:ascii="Arial" w:cs="Arial" w:eastAsia="Arial" w:hAnsi="Arial"/>
          <w:b/>
          <w:bCs/>
        </w:rPr>
        <w:t xml:space="preserve">4. Diagnóstico de Overfitting y Underfitting</w:t>
      </w:r>
    </w:p>
    <w:p>
      <w:pPr>
        <w:pStyle w:val="Heading2"/>
        <w:spacing w:after="160" w:before="240"/>
      </w:pPr>
      <w:r>
        <w:rPr>
          <w:rFonts w:ascii="Arial" w:cs="Arial" w:eastAsia="Arial" w:hAnsi="Arial"/>
          <w:b/>
          <w:bCs/>
        </w:rPr>
        <w:t xml:space="preserve">4.1 Curvas de Aprendizaje</w:t>
      </w:r>
    </w:p>
    <w:p>
      <w:pPr>
        <w:spacing w:after="200" w:line="276"/>
        <w:ind w:firstLine="360"/>
        <w:jc w:val="both"/>
      </w:pPr>
      <w:r>
        <w:rPr>
          <w:rFonts w:ascii="Arial" w:cs="Arial" w:eastAsia="Arial" w:hAnsi="Arial"/>
          <w:b w:val="false"/>
          <w:bCs w:val="false"/>
          <w:i w:val="false"/>
          <w:iCs w:val="false"/>
          <w:color w:val="000000"/>
          <w:sz w:val="22"/>
          <w:szCs w:val="22"/>
        </w:rPr>
        <w:t xml:space="preserve">Se construyeron curvas de aprendizaje mediante validación cruzada 5-fold para cuatro modelos representativos. La métrica utilizada fue F1-score macro, que pondera equitativamente las cuatro clases de dificultad.</w:t>
      </w:r>
    </w:p>
    <w:p>
      <w:pPr>
        <w:spacing w:after="200" w:line="276"/>
        <w:ind w:firstLine="360"/>
        <w:jc w:val="both"/>
      </w:pPr>
      <w:r>
        <w:rPr>
          <w:rFonts w:ascii="Arial" w:cs="Arial" w:eastAsia="Arial" w:hAnsi="Arial"/>
          <w:b w:val="false"/>
          <w:bCs w:val="false"/>
          <w:i w:val="false"/>
          <w:iCs w:val="false"/>
          <w:color w:val="000000"/>
          <w:sz w:val="22"/>
          <w:szCs w:val="22"/>
        </w:rPr>
        <w:t xml:space="preserve">El Random Forest propuesto muestra convergencia del score de entrenamiento cerca de 1.0 con un score de validación estabilizado alrededor de 0.62-0.66, indicando un gap de generalización de ~0.25-0.35 puntos. La Regresión Logística presenta el patrón opuesto: bajo gap pero rendimiento absoluto inferior, indicativo de underfitting. El Gradient Boosting logra el mejor equilibrio con gap ~0.13 y F1 validación ~0.68.</w:t>
      </w:r>
    </w:p>
    <w:p>
      <w:pPr>
        <w:pStyle w:val="Heading2"/>
        <w:spacing w:after="160" w:before="240"/>
      </w:pPr>
      <w:r>
        <w:rPr>
          <w:rFonts w:ascii="Arial" w:cs="Arial" w:eastAsia="Arial" w:hAnsi="Arial"/>
          <w:b/>
          <w:bCs/>
        </w:rPr>
        <w:t xml:space="preserve">4.2 Análisis Paramétrico (max_depth)</w:t>
      </w:r>
    </w:p>
    <w:p>
      <w:pPr>
        <w:spacing w:after="200" w:line="276"/>
        <w:ind w:firstLine="360"/>
        <w:jc w:val="both"/>
      </w:pPr>
      <w:r>
        <w:rPr>
          <w:rFonts w:ascii="Arial" w:cs="Arial" w:eastAsia="Arial" w:hAnsi="Arial"/>
          <w:b w:val="false"/>
          <w:bCs w:val="false"/>
          <w:i w:val="false"/>
          <w:iCs w:val="false"/>
          <w:color w:val="000000"/>
          <w:sz w:val="22"/>
          <w:szCs w:val="22"/>
        </w:rPr>
        <w:t xml:space="preserve">Se evaluó el efecto de la profundidad máxima del Random Forest sobre el gap de generalización, variando max_depth de 2 a 24. Los resultados muestran tres zonas claras:</w:t>
      </w:r>
    </w:p>
    <w:p>
      <w:pPr>
        <w:spacing w:after="200" w:line="276"/>
        <w:jc w:val="both"/>
      </w:pPr>
      <w:r>
        <w:rPr>
          <w:rFonts w:ascii="Arial" w:cs="Arial" w:eastAsia="Arial" w:hAnsi="Arial"/>
          <w:b w:val="false"/>
          <w:bCs w:val="false"/>
          <w:i/>
          <w:iCs/>
          <w:color w:val="000000"/>
          <w:sz w:val="20"/>
          <w:szCs w:val="20"/>
        </w:rPr>
        <w:t xml:space="preserve">Tabla 3. Diagnóstico de overfitting/underfitting por modelo.</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1400"/>
        <w:gridCol w:w="132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Modelo</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 Train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 Val</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Gap</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Diagnóstico</w:t>
            </w:r>
          </w:p>
        </w:tc>
        <w:tc>
          <w:tcPr>
            <w:tcW w:type="dxa" w:w="13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Acción</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 Logística</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0.48</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0.46</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0.02</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Underfitting</w:t>
            </w:r>
          </w:p>
        </w:tc>
        <w:tc>
          <w:tcPr>
            <w:tcW w:type="dxa" w:w="13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Más features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Árbol Decisión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0.72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0.55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0.17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Overfitting</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Poda/Reg.</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rFonts w:ascii="Arial" w:cs="Arial" w:eastAsia="Arial" w:hAnsi="Arial"/>
                <w:b/>
                <w:bCs/>
                <w:sz w:val="20"/>
                <w:szCs w:val="20"/>
              </w:rPr>
              <w:t xml:space="preserve">RF (Propuesto)</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bCs/>
                <w:sz w:val="20"/>
                <w:szCs w:val="20"/>
              </w:rPr>
              <w:t xml:space="preserve">0.95+</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bCs/>
                <w:sz w:val="20"/>
                <w:szCs w:val="20"/>
              </w:rPr>
              <w:t xml:space="preserve">0.64</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bCs/>
                <w:sz w:val="20"/>
                <w:szCs w:val="20"/>
              </w:rPr>
              <w:t xml:space="preserve">0.31</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bCs/>
                <w:sz w:val="20"/>
                <w:szCs w:val="20"/>
              </w:rPr>
              <w:t xml:space="preserve">Overfitting</w:t>
            </w:r>
          </w:p>
        </w:tc>
        <w:tc>
          <w:tcPr>
            <w:tcW w:type="dxa" w:w="13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bCs/>
                <w:sz w:val="20"/>
                <w:szCs w:val="20"/>
              </w:rPr>
              <w:t xml:space="preserve">Reducir depth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Gradient Boosting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0.82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0.68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0.14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Leve overfit</w:t>
            </w:r>
          </w:p>
        </w:tc>
        <w:tc>
          <w:tcPr>
            <w:tcW w:type="dxa" w:w="1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Early stop</w:t>
            </w:r>
          </w:p>
        </w:tc>
      </w:tr>
    </w:tbl>
    <w:p>
      <w:pPr>
        <w:pStyle w:val="Heading2"/>
        <w:spacing w:after="160" w:before="240"/>
      </w:pPr>
      <w:r>
        <w:rPr>
          <w:rFonts w:ascii="Arial" w:cs="Arial" w:eastAsia="Arial" w:hAnsi="Arial"/>
          <w:b/>
          <w:bCs/>
        </w:rPr>
        <w:t xml:space="preserve">4.3 Estrategias de Mejora Propuestas</w:t>
      </w:r>
    </w:p>
    <w:p>
      <w:pPr>
        <w:spacing w:after="200" w:line="276"/>
        <w:ind w:firstLine="360"/>
        <w:jc w:val="both"/>
      </w:pPr>
      <w:r>
        <w:rPr>
          <w:rFonts w:ascii="Arial" w:cs="Arial" w:eastAsia="Arial" w:hAnsi="Arial"/>
          <w:b w:val="false"/>
          <w:bCs w:val="false"/>
          <w:i w:val="false"/>
          <w:iCs w:val="false"/>
          <w:color w:val="000000"/>
          <w:sz w:val="22"/>
          <w:szCs w:val="22"/>
        </w:rPr>
        <w:t xml:space="preserve">Para abordar el overfitting del Random Forest: (1) limitar max_depth al valor óptimo identificado (~8-12), (2) aumentar min_samples_split y min_samples_leaf, (3) aplicar feature selection eliminando variables con importancia relativa inferior a 0.01, y (4) incrementar datos de entrenamiento mediante augmentation focalizado en clases minoritarias.</w:t>
      </w:r>
    </w:p>
    <w:p>
      <w:pPr>
        <w:spacing w:after="200" w:line="276"/>
        <w:ind w:firstLine="360"/>
        <w:jc w:val="both"/>
      </w:pPr>
      <w:r>
        <w:rPr>
          <w:rFonts w:ascii="Arial" w:cs="Arial" w:eastAsia="Arial" w:hAnsi="Arial"/>
          <w:b w:val="false"/>
          <w:bCs w:val="false"/>
          <w:i w:val="false"/>
          <w:iCs w:val="false"/>
          <w:color w:val="000000"/>
          <w:sz w:val="22"/>
          <w:szCs w:val="22"/>
        </w:rPr>
        <w:t xml:space="preserve">Para abordar el underfitting de la Regresión Logística: (1) incorporar embeddings contextuales (CodeBERT, SchemaEncoder), (2) agregar interacciones polinómicas entre features, y (3) usar modelos con mayor capacidad de representación no lineal.</w:t>
      </w:r>
    </w:p>
    <w:p>
      <w:pPr>
        <w:spacing w:after="200" w:line="276"/>
        <w:ind w:firstLine="360"/>
        <w:jc w:val="both"/>
      </w:pPr>
      <w:r>
        <w:rPr>
          <w:rFonts w:ascii="Arial" w:cs="Arial" w:eastAsia="Arial" w:hAnsi="Arial"/>
          <w:b w:val="false"/>
          <w:bCs w:val="false"/>
          <w:i w:val="false"/>
          <w:iCs w:val="false"/>
          <w:color w:val="000000"/>
          <w:sz w:val="22"/>
          <w:szCs w:val="22"/>
        </w:rPr>
        <w:t xml:space="preserve">La estrategia más prometedora es el ensemble mediante stacking de RF + Gradient Boosting + LightGBM con un meta-learner logístico, lo cual combina la diversidad de modelos para mejorar la generalización (Géron, 2019).</w:t>
      </w:r>
    </w:p>
    <w:p>
      <w:r>
        <w:br w:type="page"/>
      </w:r>
    </w:p>
    <w:p>
      <w:pPr>
        <w:pStyle w:val="Heading1"/>
        <w:spacing w:after="160" w:before="240"/>
      </w:pPr>
      <w:r>
        <w:rPr>
          <w:rFonts w:ascii="Arial" w:cs="Arial" w:eastAsia="Arial" w:hAnsi="Arial"/>
          <w:b/>
          <w:bCs/>
        </w:rPr>
        <w:t xml:space="preserve">5. Conclusiones</w:t>
      </w:r>
    </w:p>
    <w:p>
      <w:pPr>
        <w:spacing w:after="200" w:line="276"/>
        <w:ind w:firstLine="360"/>
        <w:jc w:val="both"/>
      </w:pPr>
      <w:r>
        <w:rPr>
          <w:rFonts w:ascii="Arial" w:cs="Arial" w:eastAsia="Arial" w:hAnsi="Arial"/>
          <w:b w:val="false"/>
          <w:bCs w:val="false"/>
          <w:i w:val="false"/>
          <w:iCs w:val="false"/>
          <w:color w:val="000000"/>
          <w:sz w:val="22"/>
          <w:szCs w:val="22"/>
        </w:rPr>
        <w:t xml:space="preserve">El análisis integral del modelo de clasificación de dificultad SQL sobre el dataset Spider permite concluir que: (1) el feature engineering especializado para el dominio Text-to-SQL aporta valor significativo, superando estimaciones de APIs comerciales genéricas; (2) el modelo presenta sesgo por dominio de base de datos que requiere mitigación; y (3) el Random Forest exhibe overfitting que puede reducirse mediante regularización y selección de hiperparámetros.</w:t>
      </w:r>
    </w:p>
    <w:p>
      <w:pPr>
        <w:spacing w:after="200" w:line="276"/>
        <w:ind w:firstLine="360"/>
        <w:jc w:val="both"/>
      </w:pPr>
      <w:r>
        <w:rPr>
          <w:rFonts w:ascii="Arial" w:cs="Arial" w:eastAsia="Arial" w:hAnsi="Arial"/>
          <w:b w:val="false"/>
          <w:bCs w:val="false"/>
          <w:i w:val="false"/>
          <w:iCs w:val="false"/>
          <w:color w:val="000000"/>
          <w:sz w:val="22"/>
          <w:szCs w:val="22"/>
        </w:rPr>
        <w:t xml:space="preserve">El Gradient Boosting emerge como la alternativa más equilibrada entre rendimiento y generalización, mientras que la incorporación de embeddings contextuales (CodeBERT) representa la ruta más prometedora para mejoras sustanciales futuras. Se recomienda implementar monitoreo continuo de métricas de fairness y curvas de aprendizaje en el ciclo de vida del modelo.</w:t>
      </w:r>
    </w:p>
    <w:p>
      <w:pPr>
        <w:pStyle w:val="Heading1"/>
        <w:spacing w:after="160" w:before="240"/>
      </w:pPr>
      <w:r>
        <w:rPr>
          <w:rFonts w:ascii="Arial" w:cs="Arial" w:eastAsia="Arial" w:hAnsi="Arial"/>
          <w:b/>
          <w:bCs/>
        </w:rPr>
        <w:t xml:space="preserve">Referencias</w:t>
      </w:r>
    </w:p>
    <w:p>
      <w:pPr>
        <w:spacing w:after="200" w:line="276"/>
        <w:jc w:val="both"/>
      </w:pPr>
      <w:r>
        <w:rPr>
          <w:rFonts w:ascii="Arial" w:cs="Arial" w:eastAsia="Arial" w:hAnsi="Arial"/>
          <w:b w:val="false"/>
          <w:bCs w:val="false"/>
          <w:i w:val="false"/>
          <w:iCs w:val="false"/>
          <w:color w:val="000000"/>
          <w:sz w:val="20"/>
          <w:szCs w:val="20"/>
        </w:rPr>
        <w:t xml:space="preserve">Barocas, S. &amp; Selbst, A.D. (2016). Big Data's Disparate Impact. California Law Review, 104(3), 671-732.</w:t>
      </w:r>
    </w:p>
    <w:p>
      <w:pPr>
        <w:spacing w:after="200" w:line="276"/>
        <w:jc w:val="both"/>
      </w:pPr>
      <w:r>
        <w:rPr>
          <w:rFonts w:ascii="Arial" w:cs="Arial" w:eastAsia="Arial" w:hAnsi="Arial"/>
          <w:b w:val="false"/>
          <w:bCs w:val="false"/>
          <w:i w:val="false"/>
          <w:iCs w:val="false"/>
          <w:color w:val="000000"/>
          <w:sz w:val="20"/>
          <w:szCs w:val="20"/>
        </w:rPr>
        <w:t xml:space="preserve">Chollet, F. (2021). Deep Learning with Python (2nd ed.). Manning Publications.</w:t>
      </w:r>
    </w:p>
    <w:p>
      <w:pPr>
        <w:spacing w:after="200" w:line="276"/>
        <w:jc w:val="both"/>
      </w:pPr>
      <w:r>
        <w:rPr>
          <w:rFonts w:ascii="Arial" w:cs="Arial" w:eastAsia="Arial" w:hAnsi="Arial"/>
          <w:b w:val="false"/>
          <w:bCs w:val="false"/>
          <w:i w:val="false"/>
          <w:iCs w:val="false"/>
          <w:color w:val="000000"/>
          <w:sz w:val="20"/>
          <w:szCs w:val="20"/>
        </w:rPr>
        <w:t xml:space="preserve">Erickson, N. et al. (2020). AutoGluon-Tabular: Robust and Accurate AutoML for Structured Data. arXiv:2003.06505.</w:t>
      </w:r>
    </w:p>
    <w:p>
      <w:pPr>
        <w:spacing w:after="200" w:line="276"/>
        <w:jc w:val="both"/>
      </w:pPr>
      <w:r>
        <w:rPr>
          <w:rFonts w:ascii="Arial" w:cs="Arial" w:eastAsia="Arial" w:hAnsi="Arial"/>
          <w:b w:val="false"/>
          <w:bCs w:val="false"/>
          <w:i w:val="false"/>
          <w:iCs w:val="false"/>
          <w:color w:val="000000"/>
          <w:sz w:val="20"/>
          <w:szCs w:val="20"/>
        </w:rPr>
        <w:t xml:space="preserve">Fernández-Delgado, M. et al. (2014). Do we need hundreds of classifiers to solve real world classification problems? JMLR, 15(1), 3133-3181.</w:t>
      </w:r>
    </w:p>
    <w:p>
      <w:pPr>
        <w:spacing w:after="200" w:line="276"/>
        <w:jc w:val="both"/>
      </w:pPr>
      <w:r>
        <w:rPr>
          <w:rFonts w:ascii="Arial" w:cs="Arial" w:eastAsia="Arial" w:hAnsi="Arial"/>
          <w:b w:val="false"/>
          <w:bCs w:val="false"/>
          <w:i w:val="false"/>
          <w:iCs w:val="false"/>
          <w:color w:val="000000"/>
          <w:sz w:val="20"/>
          <w:szCs w:val="20"/>
        </w:rPr>
        <w:t xml:space="preserve">Friedman, J., Hastie, T. &amp; Tibshirani, R. (2001). The Elements of Statistical Learning. Springer.</w:t>
      </w:r>
    </w:p>
    <w:p>
      <w:pPr>
        <w:spacing w:after="200" w:line="276"/>
        <w:jc w:val="both"/>
      </w:pPr>
      <w:r>
        <w:rPr>
          <w:rFonts w:ascii="Arial" w:cs="Arial" w:eastAsia="Arial" w:hAnsi="Arial"/>
          <w:b w:val="false"/>
          <w:bCs w:val="false"/>
          <w:i w:val="false"/>
          <w:iCs w:val="false"/>
          <w:color w:val="000000"/>
          <w:sz w:val="20"/>
          <w:szCs w:val="20"/>
        </w:rPr>
        <w:t xml:space="preserve">Géron, A. (2019). Hands-On Machine Learning with Scikit-Learn, Keras, and TensorFlow (2nd ed.). O'Reilly Media.</w:t>
      </w:r>
    </w:p>
    <w:p>
      <w:pPr>
        <w:spacing w:after="200" w:line="276"/>
        <w:jc w:val="both"/>
      </w:pPr>
      <w:r>
        <w:rPr>
          <w:rFonts w:ascii="Arial" w:cs="Arial" w:eastAsia="Arial" w:hAnsi="Arial"/>
          <w:b w:val="false"/>
          <w:bCs w:val="false"/>
          <w:i w:val="false"/>
          <w:iCs w:val="false"/>
          <w:color w:val="000000"/>
          <w:sz w:val="20"/>
          <w:szCs w:val="20"/>
        </w:rPr>
        <w:t xml:space="preserve">Mehrabi, N. et al. (2021). A Survey on Bias and Fairness in Machine Learning. ACM Computing Surveys, 54(6), 1-35.</w:t>
      </w:r>
    </w:p>
    <w:p>
      <w:pPr>
        <w:spacing w:after="200" w:line="276"/>
        <w:jc w:val="both"/>
      </w:pPr>
      <w:r>
        <w:rPr>
          <w:rFonts w:ascii="Arial" w:cs="Arial" w:eastAsia="Arial" w:hAnsi="Arial"/>
          <w:b w:val="false"/>
          <w:bCs w:val="false"/>
          <w:i w:val="false"/>
          <w:iCs w:val="false"/>
          <w:color w:val="000000"/>
          <w:sz w:val="20"/>
          <w:szCs w:val="20"/>
        </w:rPr>
        <w:t xml:space="preserve">Pedregosa, F. et al. (2011). Scikit-learn: Machine Learning in Python. JMLR, 12, 2825-2830.</w:t>
      </w:r>
    </w:p>
    <w:p>
      <w:pPr>
        <w:spacing w:after="200" w:line="276"/>
        <w:jc w:val="both"/>
      </w:pPr>
      <w:r>
        <w:rPr>
          <w:rFonts w:ascii="Arial" w:cs="Arial" w:eastAsia="Arial" w:hAnsi="Arial"/>
          <w:b w:val="false"/>
          <w:bCs w:val="false"/>
          <w:i w:val="false"/>
          <w:iCs w:val="false"/>
          <w:color w:val="000000"/>
          <w:sz w:val="20"/>
          <w:szCs w:val="20"/>
        </w:rPr>
        <w:t xml:space="preserve">Scholak, T. et al. (2021). PICARD: Parsing Incrementally for Constrained Auto-Regressive Decoding from Language Models. EMNLP 2021.</w:t>
      </w:r>
    </w:p>
    <w:p>
      <w:pPr>
        <w:spacing w:after="200" w:line="276"/>
        <w:jc w:val="both"/>
      </w:pPr>
      <w:r>
        <w:rPr>
          <w:rFonts w:ascii="Arial" w:cs="Arial" w:eastAsia="Arial" w:hAnsi="Arial"/>
          <w:b w:val="false"/>
          <w:bCs w:val="false"/>
          <w:i w:val="false"/>
          <w:iCs w:val="false"/>
          <w:color w:val="000000"/>
          <w:sz w:val="20"/>
          <w:szCs w:val="20"/>
        </w:rPr>
        <w:t xml:space="preserve">Thornton, C. et al. (2013). Auto-WEKA: Combined selection and hyperparameter optimization of classification algorithms. KDD 2013.</w:t>
      </w:r>
    </w:p>
    <w:p>
      <w:pPr>
        <w:spacing w:after="200" w:line="276"/>
        <w:jc w:val="both"/>
      </w:pPr>
      <w:r>
        <w:rPr>
          <w:rFonts w:ascii="Arial" w:cs="Arial" w:eastAsia="Arial" w:hAnsi="Arial"/>
          <w:b w:val="false"/>
          <w:bCs w:val="false"/>
          <w:i w:val="false"/>
          <w:iCs w:val="false"/>
          <w:color w:val="000000"/>
          <w:sz w:val="20"/>
          <w:szCs w:val="20"/>
        </w:rPr>
        <w:t xml:space="preserve">Yu, T. et al. (2018). Spider: A Large-Scale Human-Labeled Dataset for Complex and Cross-Domain Semantic Parsing and Text-to-SQL Task. EMNLP 2018.</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Grupo Sánchez-Cabrera | Maestría en IA — UEES | Página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Evaluación de Modelos IA — UEES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2026-04-17T04:04:46.171Z</dcterms:created>
  <dcterms:modified xsi:type="dcterms:W3CDTF">2026-04-17T04:04:46.172Z</dcterms:modified>
</cp:coreProperties>
</file>

<file path=docProps/custom.xml><?xml version="1.0" encoding="utf-8"?>
<Properties xmlns="http://schemas.openxmlformats.org/officeDocument/2006/custom-properties" xmlns:vt="http://schemas.openxmlformats.org/officeDocument/2006/docPropsVTypes"/>
</file>