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Adhesives Research APEX 122 Integral Test Plan (English)</w:t>
      </w:r>
    </w:p>
    <w:p>
      <w:r>
        <w:t xml:space="preserve">Version: 29 October 2026. Test run status: </w:t>
      </w:r>
      <w:r>
        <w:rPr>
          <w:b/>
        </w:rPr>
        <w:t>not started under this plan</w:t>
      </w:r>
      <w:r>
        <w:t>. Execute one case at a time. Read-only cases precede draft writes; EBS submissions come last and require a separately authorized test item. This is a test plan, not an assertion that every feature is complete.</w:t>
      </w:r>
    </w:p>
    <w:p>
      <w:pPr>
        <w:pStyle w:val="Heading1"/>
      </w:pPr>
      <w:r>
        <w:t>Evidence and scope gate</w:t>
      </w:r>
    </w:p>
    <w:p>
      <w:r>
        <w:t xml:space="preserve">Reviewed: Page 1 export </w:t>
      </w:r>
      <w:r>
        <w:rPr>
          <w:rFonts w:ascii="Consolas" w:hAnsi="Consolas"/>
          <w:sz w:val="17"/>
        </w:rPr>
        <w:t>f122_page_1.sql</w:t>
      </w:r>
      <w:r>
        <w:t xml:space="preserve"> (29 Oct); Page 20 export </w:t>
      </w:r>
      <w:r>
        <w:rPr>
          <w:rFonts w:ascii="Consolas" w:hAnsi="Consolas"/>
          <w:sz w:val="17"/>
        </w:rPr>
        <w:t>f122_page_20 (5).sql</w:t>
      </w:r>
      <w:r>
        <w:t xml:space="preserve"> (29 Oct); OPS table DDLs and continuity notes. The user subsequently confirmed the working </w:t>
      </w:r>
      <w:r>
        <w:rPr>
          <w:rFonts w:ascii="Consolas" w:hAnsi="Consolas"/>
          <w:sz w:val="17"/>
        </w:rPr>
        <w:t>Save Draft → Organizations</w:t>
      </w:r>
      <w:r>
        <w:t xml:space="preserve"> and </w:t>
      </w:r>
      <w:r>
        <w:rPr>
          <w:rFonts w:ascii="Consolas" w:hAnsi="Consolas"/>
          <w:sz w:val="17"/>
        </w:rPr>
        <w:t>Send to EBS → Review + current log</w:t>
      </w:r>
      <w:r>
        <w:t xml:space="preserve"> flows and reported installed package </w:t>
      </w:r>
      <w:r>
        <w:rPr>
          <w:b/>
        </w:rPr>
        <w:t>V36</w:t>
      </w:r>
      <w:r>
        <w:t xml:space="preserve">. The mentioned Page 20 export </w:t>
      </w:r>
      <w:r>
        <w:rPr>
          <w:rFonts w:ascii="Consolas" w:hAnsi="Consolas"/>
          <w:sz w:val="17"/>
        </w:rPr>
        <w:t>(7)</w:t>
      </w:r>
      <w:r>
        <w:t xml:space="preserve">, current Page 10 and modal page exports, and installed V36 body were </w:t>
      </w:r>
      <w:r>
        <w:rPr>
          <w:b/>
        </w:rPr>
        <w:t>not available for independent inspection</w:t>
      </w:r>
      <w:r>
        <w:t>. Reconcile those at execution time. Old package and DDL files are design evidence, not proof of installed behavior.</w:t>
      </w:r>
    </w:p>
    <w:tbl>
      <w:tblPr>
        <w:tblW w:type="auto" w:w="0"/>
        <w:jc w:val="center"/>
        <w:tblLayout w:type="fixed"/>
        <w:tblLook w:firstColumn="1" w:firstRow="1" w:lastColumn="0" w:lastRow="0" w:noHBand="0" w:noVBand="1" w:val="04A0"/>
      </w:tblPr>
      <w:tblGrid>
        <w:gridCol w:w="2304"/>
        <w:gridCol w:w="3168"/>
        <w:gridCol w:w="4392"/>
      </w:tblGrid>
      <w:tr>
        <w:tc>
          <w:tcPr>
            <w:tcW w:type="dxa" w:w="2304"/>
            <w:vAlign w:val="center"/>
            <w:shd w:fill="DCE6EC"/>
            <w:tcBorders>
              <w:top w:val="single" w:sz="4" w:color="D9D9D9"/>
              <w:left w:val="single" w:sz="4" w:color="D9D9D9"/>
              <w:bottom w:val="single" w:sz="4" w:color="D9D9D9"/>
              <w:right w:val="single" w:sz="4" w:color="D9D9D9"/>
            </w:tcBorders>
          </w:tcPr>
          <w:p>
            <w:r>
              <w:rPr>
                <w:b/>
                <w:sz w:val="17"/>
              </w:rPr>
              <w:t>Capability</w:t>
            </w:r>
          </w:p>
        </w:tc>
        <w:tc>
          <w:tcPr>
            <w:tcW w:type="dxa" w:w="3168"/>
            <w:vAlign w:val="center"/>
            <w:shd w:fill="DCE6EC"/>
            <w:tcBorders>
              <w:top w:val="single" w:sz="4" w:color="D9D9D9"/>
              <w:left w:val="single" w:sz="4" w:color="D9D9D9"/>
              <w:bottom w:val="single" w:sz="4" w:color="D9D9D9"/>
              <w:right w:val="single" w:sz="4" w:color="D9D9D9"/>
            </w:tcBorders>
          </w:tcPr>
          <w:p>
            <w:r>
              <w:rPr>
                <w:b/>
                <w:sz w:val="17"/>
              </w:rPr>
              <w:t>Basis</w:t>
            </w:r>
          </w:p>
        </w:tc>
        <w:tc>
          <w:tcPr>
            <w:tcW w:type="dxa" w:w="4392"/>
            <w:vAlign w:val="center"/>
            <w:shd w:fill="DCE6EC"/>
            <w:tcBorders>
              <w:top w:val="single" w:sz="4" w:color="D9D9D9"/>
              <w:left w:val="single" w:sz="4" w:color="D9D9D9"/>
              <w:bottom w:val="single" w:sz="4" w:color="D9D9D9"/>
              <w:right w:val="single" w:sz="4" w:color="D9D9D9"/>
            </w:tcBorders>
          </w:tcPr>
          <w:p>
            <w:r>
              <w:rPr>
                <w:b/>
                <w:sz w:val="17"/>
              </w:rPr>
              <w:t>Testing boundary</w:t>
            </w:r>
          </w:p>
        </w:tc>
      </w:tr>
      <w:tr>
        <w:tc>
          <w:tcPr>
            <w:tcW w:type="dxa" w:w="2304"/>
            <w:vAlign w:val="center"/>
            <w:tcBorders>
              <w:top w:val="single" w:sz="4" w:color="D9D9D9"/>
              <w:left w:val="single" w:sz="4" w:color="D9D9D9"/>
              <w:bottom w:val="single" w:sz="4" w:color="D9D9D9"/>
              <w:right w:val="single" w:sz="4" w:color="D9D9D9"/>
            </w:tcBorders>
          </w:tcPr>
          <w:p>
            <w:pPr>
              <w:spacing w:after="20"/>
            </w:pPr>
            <w:r>
              <w:rPr>
                <w:sz w:val="16"/>
              </w:rPr>
              <w:t>Dashboard KPI Cards, recent requests, Create Item Request, View All</w:t>
            </w:r>
          </w:p>
        </w:tc>
        <w:tc>
          <w:tcPr>
            <w:tcW w:type="dxa" w:w="3168"/>
            <w:vAlign w:val="center"/>
            <w:tcBorders>
              <w:top w:val="single" w:sz="4" w:color="D9D9D9"/>
              <w:left w:val="single" w:sz="4" w:color="D9D9D9"/>
              <w:bottom w:val="single" w:sz="4" w:color="D9D9D9"/>
              <w:right w:val="single" w:sz="4" w:color="D9D9D9"/>
            </w:tcBorders>
          </w:tcPr>
          <w:p>
            <w:pPr>
              <w:spacing w:after="20"/>
            </w:pPr>
            <w:r>
              <w:rPr>
                <w:sz w:val="16"/>
              </w:rPr>
              <w:t>Page 1 export; five-card CSS reported working</w:t>
            </w:r>
          </w:p>
        </w:tc>
        <w:tc>
          <w:tcPr>
            <w:tcW w:type="dxa" w:w="4392"/>
            <w:vAlign w:val="center"/>
            <w:tcBorders>
              <w:top w:val="single" w:sz="4" w:color="D9D9D9"/>
              <w:left w:val="single" w:sz="4" w:color="D9D9D9"/>
              <w:bottom w:val="single" w:sz="4" w:color="D9D9D9"/>
              <w:right w:val="single" w:sz="4" w:color="D9D9D9"/>
            </w:tcBorders>
          </w:tcPr>
          <w:p>
            <w:pPr>
              <w:spacing w:after="20"/>
            </w:pPr>
            <w:r>
              <w:rPr>
                <w:sz w:val="16"/>
              </w:rPr>
              <w:t>Page 10 View All destination is configured, its content is unverified.</w:t>
            </w:r>
          </w:p>
        </w:tc>
      </w:tr>
      <w:tr>
        <w:tc>
          <w:tcPr>
            <w:tcW w:type="dxa" w:w="2304"/>
            <w:vAlign w:val="center"/>
            <w:tcBorders>
              <w:top w:val="single" w:sz="4" w:color="D9D9D9"/>
              <w:left w:val="single" w:sz="4" w:color="D9D9D9"/>
              <w:bottom w:val="single" w:sz="4" w:color="D9D9D9"/>
              <w:right w:val="single" w:sz="4" w:color="D9D9D9"/>
            </w:tcBorders>
            <w:shd w:fill="F6F8FA"/>
          </w:tcPr>
          <w:p>
            <w:pPr>
              <w:spacing w:after="20"/>
            </w:pPr>
            <w:r>
              <w:rPr>
                <w:sz w:val="16"/>
              </w:rPr>
              <w:t>Page 20 General, Organization, Documents, BOM, Review and log reports</w:t>
            </w:r>
          </w:p>
        </w:tc>
        <w:tc>
          <w:tcPr>
            <w:tcW w:type="dxa" w:w="3168"/>
            <w:vAlign w:val="center"/>
            <w:tcBorders>
              <w:top w:val="single" w:sz="4" w:color="D9D9D9"/>
              <w:left w:val="single" w:sz="4" w:color="D9D9D9"/>
              <w:bottom w:val="single" w:sz="4" w:color="D9D9D9"/>
              <w:right w:val="single" w:sz="4" w:color="D9D9D9"/>
            </w:tcBorders>
            <w:shd w:fill="F6F8FA"/>
          </w:tcPr>
          <w:p>
            <w:pPr>
              <w:spacing w:after="20"/>
            </w:pPr>
            <w:r>
              <w:rPr>
                <w:sz w:val="16"/>
              </w:rPr>
              <w:t>Page 20 export</w:t>
            </w:r>
          </w:p>
        </w:tc>
        <w:tc>
          <w:tcPr>
            <w:tcW w:type="dxa" w:w="4392"/>
            <w:vAlign w:val="center"/>
            <w:tcBorders>
              <w:top w:val="single" w:sz="4" w:color="D9D9D9"/>
              <w:left w:val="single" w:sz="4" w:color="D9D9D9"/>
              <w:bottom w:val="single" w:sz="4" w:color="D9D9D9"/>
              <w:right w:val="single" w:sz="4" w:color="D9D9D9"/>
            </w:tcBorders>
            <w:shd w:fill="F6F8FA"/>
          </w:tcPr>
          <w:p>
            <w:pPr>
              <w:spacing w:after="20"/>
            </w:pPr>
            <w:r>
              <w:rPr>
                <w:sz w:val="16"/>
              </w:rPr>
              <w:t>Documents/BOM show reports; no upload/editor or EBS BOM delivery is proven by this export.</w:t>
            </w:r>
          </w:p>
        </w:tc>
      </w:tr>
      <w:tr>
        <w:tc>
          <w:tcPr>
            <w:tcW w:type="dxa" w:w="2304"/>
            <w:vAlign w:val="center"/>
            <w:tcBorders>
              <w:top w:val="single" w:sz="4" w:color="D9D9D9"/>
              <w:left w:val="single" w:sz="4" w:color="D9D9D9"/>
              <w:bottom w:val="single" w:sz="4" w:color="D9D9D9"/>
              <w:right w:val="single" w:sz="4" w:color="D9D9D9"/>
            </w:tcBorders>
          </w:tcPr>
          <w:p>
            <w:pPr>
              <w:spacing w:after="20"/>
            </w:pPr>
            <w:r>
              <w:rPr>
                <w:sz w:val="16"/>
              </w:rPr>
              <w:t>Save Draft and MAS/TARGET staging</w:t>
            </w:r>
          </w:p>
        </w:tc>
        <w:tc>
          <w:tcPr>
            <w:tcW w:type="dxa" w:w="3168"/>
            <w:vAlign w:val="center"/>
            <w:tcBorders>
              <w:top w:val="single" w:sz="4" w:color="D9D9D9"/>
              <w:left w:val="single" w:sz="4" w:color="D9D9D9"/>
              <w:bottom w:val="single" w:sz="4" w:color="D9D9D9"/>
              <w:right w:val="single" w:sz="4" w:color="D9D9D9"/>
            </w:tcBorders>
          </w:tcPr>
          <w:p>
            <w:pPr>
              <w:spacing w:after="20"/>
            </w:pPr>
            <w:r>
              <w:rPr>
                <w:sz w:val="16"/>
              </w:rPr>
              <w:t>Page 20 process and package interface; user-confirmed navigation</w:t>
            </w:r>
          </w:p>
        </w:tc>
        <w:tc>
          <w:tcPr>
            <w:tcW w:type="dxa" w:w="4392"/>
            <w:vAlign w:val="center"/>
            <w:tcBorders>
              <w:top w:val="single" w:sz="4" w:color="D9D9D9"/>
              <w:left w:val="single" w:sz="4" w:color="D9D9D9"/>
              <w:bottom w:val="single" w:sz="4" w:color="D9D9D9"/>
              <w:right w:val="single" w:sz="4" w:color="D9D9D9"/>
            </w:tcBorders>
          </w:tcPr>
          <w:p>
            <w:pPr>
              <w:spacing w:after="20"/>
            </w:pPr>
            <w:r>
              <w:rPr>
                <w:sz w:val="16"/>
              </w:rPr>
              <w:t>Verify actual current package behavior with staging queries.</w:t>
            </w:r>
          </w:p>
        </w:tc>
      </w:tr>
      <w:tr>
        <w:tc>
          <w:tcPr>
            <w:tcW w:type="dxa" w:w="2304"/>
            <w:vAlign w:val="center"/>
            <w:tcBorders>
              <w:top w:val="single" w:sz="4" w:color="D9D9D9"/>
              <w:left w:val="single" w:sz="4" w:color="D9D9D9"/>
              <w:bottom w:val="single" w:sz="4" w:color="D9D9D9"/>
              <w:right w:val="single" w:sz="4" w:color="D9D9D9"/>
            </w:tcBorders>
            <w:shd w:fill="F6F8FA"/>
          </w:tcPr>
          <w:p>
            <w:pPr>
              <w:spacing w:after="20"/>
            </w:pPr>
            <w:r>
              <w:rPr>
                <w:sz w:val="16"/>
              </w:rPr>
              <w:t>Target-specific attribute and category Interactive Grids</w:t>
            </w:r>
          </w:p>
        </w:tc>
        <w:tc>
          <w:tcPr>
            <w:tcW w:type="dxa" w:w="3168"/>
            <w:vAlign w:val="center"/>
            <w:tcBorders>
              <w:top w:val="single" w:sz="4" w:color="D9D9D9"/>
              <w:left w:val="single" w:sz="4" w:color="D9D9D9"/>
              <w:bottom w:val="single" w:sz="4" w:color="D9D9D9"/>
              <w:right w:val="single" w:sz="4" w:color="D9D9D9"/>
            </w:tcBorders>
            <w:shd w:fill="F6F8FA"/>
          </w:tcPr>
          <w:p>
            <w:pPr>
              <w:spacing w:after="20"/>
            </w:pPr>
            <w:r>
              <w:rPr>
                <w:sz w:val="16"/>
              </w:rPr>
              <w:t>Page 20 export</w:t>
            </w:r>
          </w:p>
        </w:tc>
        <w:tc>
          <w:tcPr>
            <w:tcW w:type="dxa" w:w="4392"/>
            <w:vAlign w:val="center"/>
            <w:tcBorders>
              <w:top w:val="single" w:sz="4" w:color="D9D9D9"/>
              <w:left w:val="single" w:sz="4" w:color="D9D9D9"/>
              <w:bottom w:val="single" w:sz="4" w:color="D9D9D9"/>
              <w:right w:val="single" w:sz="4" w:color="D9D9D9"/>
            </w:tcBorders>
            <w:shd w:fill="F6F8FA"/>
          </w:tcPr>
          <w:p>
            <w:pPr>
              <w:spacing w:after="20"/>
            </w:pPr>
            <w:r>
              <w:rPr>
                <w:sz w:val="16"/>
              </w:rPr>
              <w:t>Verify current LOVs, editability and DML; old disabled reports must not be mistaken for active grids.</w:t>
            </w:r>
          </w:p>
        </w:tc>
      </w:tr>
      <w:tr>
        <w:tc>
          <w:tcPr>
            <w:tcW w:type="dxa" w:w="2304"/>
            <w:vAlign w:val="center"/>
            <w:tcBorders>
              <w:top w:val="single" w:sz="4" w:color="D9D9D9"/>
              <w:left w:val="single" w:sz="4" w:color="D9D9D9"/>
              <w:bottom w:val="single" w:sz="4" w:color="D9D9D9"/>
              <w:right w:val="single" w:sz="4" w:color="D9D9D9"/>
            </w:tcBorders>
          </w:tcPr>
          <w:p>
            <w:pPr>
              <w:spacing w:after="20"/>
            </w:pPr>
            <w:r>
              <w:rPr>
                <w:sz w:val="16"/>
              </w:rPr>
              <w:t>Send to EBS and log redirect</w:t>
            </w:r>
          </w:p>
        </w:tc>
        <w:tc>
          <w:tcPr>
            <w:tcW w:type="dxa" w:w="3168"/>
            <w:vAlign w:val="center"/>
            <w:tcBorders>
              <w:top w:val="single" w:sz="4" w:color="D9D9D9"/>
              <w:left w:val="single" w:sz="4" w:color="D9D9D9"/>
              <w:bottom w:val="single" w:sz="4" w:color="D9D9D9"/>
              <w:right w:val="single" w:sz="4" w:color="D9D9D9"/>
            </w:tcBorders>
          </w:tcPr>
          <w:p>
            <w:pPr>
              <w:spacing w:after="20"/>
            </w:pPr>
            <w:r>
              <w:rPr>
                <w:sz w:val="16"/>
              </w:rPr>
              <w:t>User-confirmed end-to-end behavior; `(7)` described by user</w:t>
            </w:r>
          </w:p>
        </w:tc>
        <w:tc>
          <w:tcPr>
            <w:tcW w:type="dxa" w:w="4392"/>
            <w:vAlign w:val="center"/>
            <w:tcBorders>
              <w:top w:val="single" w:sz="4" w:color="D9D9D9"/>
              <w:left w:val="single" w:sz="4" w:color="D9D9D9"/>
              <w:bottom w:val="single" w:sz="4" w:color="D9D9D9"/>
              <w:right w:val="single" w:sz="4" w:color="D9D9D9"/>
            </w:tcBorders>
          </w:tcPr>
          <w:p>
            <w:pPr>
              <w:spacing w:after="20"/>
            </w:pPr>
            <w:r>
              <w:rPr>
                <w:sz w:val="16"/>
              </w:rPr>
              <w:t>Regression test. Do not treat as pending development.</w:t>
            </w:r>
          </w:p>
        </w:tc>
      </w:tr>
      <w:tr>
        <w:tc>
          <w:tcPr>
            <w:tcW w:type="dxa" w:w="2304"/>
            <w:vAlign w:val="center"/>
            <w:tcBorders>
              <w:top w:val="single" w:sz="4" w:color="D9D9D9"/>
              <w:left w:val="single" w:sz="4" w:color="D9D9D9"/>
              <w:bottom w:val="single" w:sz="4" w:color="D9D9D9"/>
              <w:right w:val="single" w:sz="4" w:color="D9D9D9"/>
            </w:tcBorders>
            <w:shd w:fill="F6F8FA"/>
          </w:tcPr>
          <w:p>
            <w:pPr>
              <w:spacing w:after="20"/>
            </w:pPr>
            <w:r>
              <w:rPr>
                <w:sz w:val="16"/>
              </w:rPr>
              <w:t>Engineering/Finance approvals</w:t>
            </w:r>
          </w:p>
        </w:tc>
        <w:tc>
          <w:tcPr>
            <w:tcW w:type="dxa" w:w="3168"/>
            <w:vAlign w:val="center"/>
            <w:tcBorders>
              <w:top w:val="single" w:sz="4" w:color="D9D9D9"/>
              <w:left w:val="single" w:sz="4" w:color="D9D9D9"/>
              <w:bottom w:val="single" w:sz="4" w:color="D9D9D9"/>
              <w:right w:val="single" w:sz="4" w:color="D9D9D9"/>
            </w:tcBorders>
            <w:shd w:fill="F6F8FA"/>
          </w:tcPr>
          <w:p>
            <w:pPr>
              <w:spacing w:after="20"/>
            </w:pPr>
            <w:r>
              <w:rPr>
                <w:sz w:val="16"/>
              </w:rPr>
              <w:t>Table and dashboard counters exist</w:t>
            </w:r>
          </w:p>
        </w:tc>
        <w:tc>
          <w:tcPr>
            <w:tcW w:type="dxa" w:w="4392"/>
            <w:vAlign w:val="center"/>
            <w:tcBorders>
              <w:top w:val="single" w:sz="4" w:color="D9D9D9"/>
              <w:left w:val="single" w:sz="4" w:color="D9D9D9"/>
              <w:bottom w:val="single" w:sz="4" w:color="D9D9D9"/>
              <w:right w:val="single" w:sz="4" w:color="D9D9D9"/>
            </w:tcBorders>
            <w:shd w:fill="F6F8FA"/>
          </w:tcPr>
          <w:p>
            <w:pPr>
              <w:spacing w:after="20"/>
            </w:pPr>
            <w:r>
              <w:rPr>
                <w:sz w:val="16"/>
              </w:rPr>
              <w:t>Final workflow/authorization and business decision remain pending Joel. Do not mark approvals complete.</w:t>
            </w:r>
          </w:p>
        </w:tc>
      </w:tr>
      <w:tr>
        <w:tc>
          <w:tcPr>
            <w:tcW w:type="dxa" w:w="2304"/>
            <w:vAlign w:val="center"/>
            <w:tcBorders>
              <w:top w:val="single" w:sz="4" w:color="D9D9D9"/>
              <w:left w:val="single" w:sz="4" w:color="D9D9D9"/>
              <w:bottom w:val="single" w:sz="4" w:color="D9D9D9"/>
              <w:right w:val="single" w:sz="4" w:color="D9D9D9"/>
            </w:tcBorders>
          </w:tcPr>
          <w:p>
            <w:pPr>
              <w:spacing w:after="20"/>
            </w:pPr>
            <w:r>
              <w:rPr>
                <w:sz w:val="16"/>
              </w:rPr>
              <w:t>Item Number generation/format and duplicate controls</w:t>
            </w:r>
          </w:p>
        </w:tc>
        <w:tc>
          <w:tcPr>
            <w:tcW w:type="dxa" w:w="3168"/>
            <w:vAlign w:val="center"/>
            <w:tcBorders>
              <w:top w:val="single" w:sz="4" w:color="D9D9D9"/>
              <w:left w:val="single" w:sz="4" w:color="D9D9D9"/>
              <w:bottom w:val="single" w:sz="4" w:color="D9D9D9"/>
              <w:right w:val="single" w:sz="4" w:color="D9D9D9"/>
            </w:tcBorders>
          </w:tcPr>
          <w:p>
            <w:pPr>
              <w:spacing w:after="20"/>
            </w:pPr>
            <w:r>
              <w:rPr>
                <w:sz w:val="16"/>
              </w:rPr>
              <w:t>Item Number input exists; number may use EBS SEGMENT1–3</w:t>
            </w:r>
          </w:p>
        </w:tc>
        <w:tc>
          <w:tcPr>
            <w:tcW w:type="dxa" w:w="4392"/>
            <w:vAlign w:val="center"/>
            <w:tcBorders>
              <w:top w:val="single" w:sz="4" w:color="D9D9D9"/>
              <w:left w:val="single" w:sz="4" w:color="D9D9D9"/>
              <w:bottom w:val="single" w:sz="4" w:color="D9D9D9"/>
              <w:right w:val="single" w:sz="4" w:color="D9D9D9"/>
            </w:tcBorders>
          </w:tcPr>
          <w:p>
            <w:pPr>
              <w:spacing w:after="20"/>
            </w:pPr>
            <w:r>
              <w:rPr>
                <w:sz w:val="16"/>
              </w:rPr>
              <w:t>Derivation and validation must be confirmed in live configuration; do not invent a format.</w:t>
            </w:r>
          </w:p>
        </w:tc>
      </w:tr>
      <w:tr>
        <w:tc>
          <w:tcPr>
            <w:tcW w:type="dxa" w:w="2304"/>
            <w:vAlign w:val="center"/>
            <w:tcBorders>
              <w:top w:val="single" w:sz="4" w:color="D9D9D9"/>
              <w:left w:val="single" w:sz="4" w:color="D9D9D9"/>
              <w:bottom w:val="single" w:sz="4" w:color="D9D9D9"/>
              <w:right w:val="single" w:sz="4" w:color="D9D9D9"/>
            </w:tcBorders>
            <w:shd w:fill="F6F8FA"/>
          </w:tcPr>
          <w:p>
            <w:pPr>
              <w:spacing w:after="20"/>
            </w:pPr>
            <w:r>
              <w:rPr>
                <w:sz w:val="16"/>
              </w:rPr>
              <w:t>UOM and organization-specific conversions</w:t>
            </w:r>
          </w:p>
        </w:tc>
        <w:tc>
          <w:tcPr>
            <w:tcW w:type="dxa" w:w="3168"/>
            <w:vAlign w:val="center"/>
            <w:tcBorders>
              <w:top w:val="single" w:sz="4" w:color="D9D9D9"/>
              <w:left w:val="single" w:sz="4" w:color="D9D9D9"/>
              <w:bottom w:val="single" w:sz="4" w:color="D9D9D9"/>
              <w:right w:val="single" w:sz="4" w:color="D9D9D9"/>
            </w:tcBorders>
            <w:shd w:fill="F6F8FA"/>
          </w:tcPr>
          <w:p>
            <w:pPr>
              <w:spacing w:after="20"/>
            </w:pPr>
            <w:r>
              <w:rPr>
                <w:sz w:val="16"/>
              </w:rPr>
              <w:t>Type UOM LOV confirmed in Page 20; Caron's unit guidance recorded</w:t>
            </w:r>
          </w:p>
        </w:tc>
        <w:tc>
          <w:tcPr>
            <w:tcW w:type="dxa" w:w="4392"/>
            <w:vAlign w:val="center"/>
            <w:tcBorders>
              <w:top w:val="single" w:sz="4" w:color="D9D9D9"/>
              <w:left w:val="single" w:sz="4" w:color="D9D9D9"/>
              <w:bottom w:val="single" w:sz="4" w:color="D9D9D9"/>
              <w:right w:val="single" w:sz="4" w:color="D9D9D9"/>
            </w:tcBorders>
            <w:shd w:fill="F6F8FA"/>
          </w:tcPr>
          <w:p>
            <w:pPr>
              <w:spacing w:after="20"/>
            </w:pPr>
            <w:r>
              <w:rPr>
                <w:sz w:val="16"/>
              </w:rPr>
              <w:t>Confirm installed conversion configuration, business interpretation and coverage with Caron/Joel before acceptance.</w:t>
            </w:r>
          </w:p>
        </w:tc>
      </w:tr>
    </w:tbl>
    <w:p>
      <w:pPr>
        <w:pStyle w:val="Heading2"/>
      </w:pPr>
      <w:r>
        <w:t>Run rules</w:t>
      </w:r>
    </w:p>
    <w:p>
      <w:pPr>
        <w:pStyle w:val="ListBullet"/>
      </w:pPr>
      <w:r>
        <w:t xml:space="preserve">Use only test requests and item numbers explicitly authorized for this environment. No direct </w:t>
      </w:r>
      <w:r>
        <w:rPr>
          <w:rFonts w:ascii="Consolas" w:hAnsi="Consolas"/>
          <w:sz w:val="17"/>
        </w:rPr>
        <w:t>INSERT</w:t>
      </w:r>
      <w:r>
        <w:t xml:space="preserve">, </w:t>
      </w:r>
      <w:r>
        <w:rPr>
          <w:rFonts w:ascii="Consolas" w:hAnsi="Consolas"/>
          <w:sz w:val="17"/>
        </w:rPr>
        <w:t>UPDATE</w:t>
      </w:r>
      <w:r>
        <w:t xml:space="preserve">, </w:t>
      </w:r>
      <w:r>
        <w:rPr>
          <w:rFonts w:ascii="Consolas" w:hAnsi="Consolas"/>
          <w:sz w:val="17"/>
        </w:rPr>
        <w:t>DELETE</w:t>
      </w:r>
      <w:r>
        <w:t>, seeded test data, or package calls in these verification queries. Do not send an item that already exists in EBS. Record request ID, item number, type, target organization IDs, username, start/end timestamps and screenshot IDs per case.</w:t>
      </w:r>
    </w:p>
    <w:p>
      <w:pPr>
        <w:pStyle w:val="ListBullet"/>
      </w:pPr>
      <w:r>
        <w:rPr>
          <w:rFonts w:ascii="Consolas" w:hAnsi="Consolas"/>
          <w:sz w:val="17"/>
        </w:rPr>
        <w:t>:request_id</w:t>
      </w:r>
      <w:r>
        <w:t xml:space="preserve">, </w:t>
      </w:r>
      <w:r>
        <w:rPr>
          <w:rFonts w:ascii="Consolas" w:hAnsi="Consolas"/>
          <w:sz w:val="17"/>
        </w:rPr>
        <w:t>:item_type_id</w:t>
      </w:r>
      <w:r>
        <w:t xml:space="preserve">, </w:t>
      </w:r>
      <w:r>
        <w:rPr>
          <w:rFonts w:ascii="Consolas" w:hAnsi="Consolas"/>
          <w:sz w:val="17"/>
        </w:rPr>
        <w:t>:target_org_id</w:t>
      </w:r>
      <w:r>
        <w:t xml:space="preserve">, </w:t>
      </w:r>
      <w:r>
        <w:rPr>
          <w:rFonts w:ascii="Consolas" w:hAnsi="Consolas"/>
          <w:sz w:val="17"/>
        </w:rPr>
        <w:t>:item_number</w:t>
      </w:r>
      <w:r>
        <w:t xml:space="preserve">, </w:t>
      </w:r>
      <w:r>
        <w:rPr>
          <w:rFonts w:ascii="Consolas" w:hAnsi="Consolas"/>
          <w:sz w:val="17"/>
        </w:rPr>
        <w:t>:approved_user</w:t>
      </w:r>
      <w:r>
        <w:t xml:space="preserve"> are bind values for SQL Developer / APEX SQL Commands, substituted with the exact approved test data. Run queries separately. </w:t>
      </w:r>
      <w:r>
        <w:rPr>
          <w:rFonts w:ascii="Consolas" w:hAnsi="Consolas"/>
          <w:sz w:val="17"/>
        </w:rPr>
        <w:t>Q</w:t>
      </w:r>
      <w:r>
        <w:t xml:space="preserve"> references below point to the executable read-only SQL appendix. For tests with no saved request, use </w:t>
      </w:r>
      <w:r>
        <w:rPr>
          <w:rFonts w:ascii="Consolas" w:hAnsi="Consolas"/>
          <w:sz w:val="17"/>
        </w:rPr>
        <w:t>Q00</w:t>
      </w:r>
      <w:r>
        <w:t xml:space="preserve"> or </w:t>
      </w:r>
      <w:r>
        <w:rPr>
          <w:rFonts w:ascii="Consolas" w:hAnsi="Consolas"/>
          <w:sz w:val="17"/>
        </w:rPr>
        <w:t>Q01</w:t>
      </w:r>
      <w:r>
        <w:t xml:space="preserve"> before and after; a negative case must leave the baseline unchanged.</w:t>
      </w:r>
    </w:p>
    <w:p>
      <w:pPr>
        <w:pStyle w:val="ListBullet"/>
      </w:pPr>
      <w:r>
        <w:rPr>
          <w:b/>
        </w:rPr>
        <w:t>P0</w:t>
      </w:r>
      <w:r>
        <w:t xml:space="preserve"> prerequisite/blocker; </w:t>
      </w:r>
      <w:r>
        <w:rPr>
          <w:b/>
        </w:rPr>
        <w:t>P1</w:t>
      </w:r>
      <w:r>
        <w:t xml:space="preserve"> critical; </w:t>
      </w:r>
      <w:r>
        <w:rPr>
          <w:b/>
        </w:rPr>
        <w:t>P2</w:t>
      </w:r>
      <w:r>
        <w:t xml:space="preserve"> important; </w:t>
      </w:r>
      <w:r>
        <w:rPr>
          <w:b/>
        </w:rPr>
        <w:t>P3</w:t>
      </w:r>
      <w:r>
        <w:t xml:space="preserve"> presentation. Case statuses: PASS, FAIL, BLOCKED (decision/access/configuration required), NOT APPLICABLE (feature absent), NOT RUN. Never label an absent feature PASS.</w:t>
      </w:r>
    </w:p>
    <w:p>
      <w:pPr>
        <w:pStyle w:val="ListBullet"/>
      </w:pPr>
      <w:r>
        <w:t>Each case passes only when its expected UI result, referenced SQL results and evidence all agree. Capture exact unexpected error text, without publishing user secrets. Stop EBS submissions if staging, context, logging or duplicates are inconsistent.</w:t>
      </w:r>
    </w:p>
    <w:p>
      <w:pPr>
        <w:pStyle w:val="Heading1"/>
      </w:pPr>
      <w:r>
        <w:t>English test plan</w:t>
      </w:r>
    </w:p>
    <w:p>
      <w:r>
        <w:t xml:space="preserve">Each case lists </w:t>
      </w:r>
      <w:r>
        <w:rPr>
          <w:b/>
        </w:rPr>
        <w:t>priority; prerequisites; test data; APEX steps; expected result; SQL verification; evidence; acceptance</w:t>
      </w:r>
      <w:r>
        <w:t>. Run in the order shown.</w:t>
      </w:r>
    </w:p>
    <w:p>
      <w:pPr>
        <w:pStyle w:val="Heading2"/>
      </w:pPr>
      <w:r>
        <w:t>T01 Dashboard counters and five-card layout (P3).</w:t>
      </w:r>
    </w:p>
    <w:p>
      <w:pPr>
        <w:keepLines/>
      </w:pPr>
      <w:r>
        <w:t xml:space="preserve">Pre: read access, baseline snapshot. Data: existing requests only. Steps: open Page 1; compare each card to its label and resize at desktop width ≥1400 px. Expected: five cards in one row at that width; counts match the underlying status/approval rows, without asserting approval workflow completeness. SQL: </w:t>
      </w:r>
      <w:r>
        <w:rPr>
          <w:rFonts w:ascii="Consolas" w:hAnsi="Consolas"/>
          <w:sz w:val="17"/>
        </w:rPr>
        <w:t>Q00</w:t>
      </w:r>
      <w:r>
        <w:t xml:space="preserve">, </w:t>
      </w:r>
      <w:r>
        <w:rPr>
          <w:rFonts w:ascii="Consolas" w:hAnsi="Consolas"/>
          <w:sz w:val="17"/>
        </w:rPr>
        <w:t>Q08</w:t>
      </w:r>
      <w:r>
        <w:t>. Evidence: screenshot with timestamp, viewport and query outputs. Pass: numbers and layout agree; otherwise FAIL.</w:t>
      </w:r>
    </w:p>
    <w:p>
      <w:pPr>
        <w:pStyle w:val="Heading2"/>
      </w:pPr>
      <w:r>
        <w:t>T02 Recent requests, navigation and list (P2).</w:t>
      </w:r>
    </w:p>
    <w:p>
      <w:pPr>
        <w:keepLines/>
      </w:pPr>
      <w:r>
        <w:t xml:space="preserve">Pre: existing accessible request. Data: approved existing request ID. Steps: Page 1 search recent list, open Edit, return, click Create Item Request and View All. Expected: correct request opens Page 20; create opens blank Page 20; View All opens Page 10 and shows appropriate list if implemented. SQL: </w:t>
      </w:r>
      <w:r>
        <w:rPr>
          <w:rFonts w:ascii="Consolas" w:hAnsi="Consolas"/>
          <w:sz w:val="17"/>
        </w:rPr>
        <w:t>Q01</w:t>
      </w:r>
      <w:r>
        <w:t>. Evidence: URLs/screenshots and query. Pass: all links and IDs agree; mark Page 10 content BLOCKED if no current export or access.</w:t>
      </w:r>
    </w:p>
    <w:p>
      <w:pPr>
        <w:pStyle w:val="Heading2"/>
      </w:pPr>
      <w:r>
        <w:t>T03 Item Type and Primary UOM LOVs (P2).</w:t>
      </w:r>
    </w:p>
    <w:p>
      <w:pPr>
        <w:keepLines/>
      </w:pPr>
      <w:r>
        <w:t xml:space="preserve">Pre: no request needed. Data: two configured active types; one disabled or nonconfigured UOM where available. Steps: in blank General, change Item Type twice and inspect Primary UOM options. Expected: only active types; UOM options follow current active mappings; no stale selected UOM across type changes. SQL: </w:t>
      </w:r>
      <w:r>
        <w:rPr>
          <w:rFonts w:ascii="Consolas" w:hAnsi="Consolas"/>
          <w:sz w:val="17"/>
        </w:rPr>
        <w:t>Q02</w:t>
      </w:r>
      <w:r>
        <w:t>. Evidence: screenshots of options and rows. Pass: options match configuration; decision on organization-specific UOM requires Caron/Joel.</w:t>
      </w:r>
    </w:p>
    <w:p>
      <w:pPr>
        <w:pStyle w:val="Heading2"/>
      </w:pPr>
      <w:r>
        <w:t>T04 General required fields and draft rules (P1).</w:t>
      </w:r>
    </w:p>
    <w:p>
      <w:pPr>
        <w:keepLines/>
      </w:pPr>
      <w:r>
        <w:t xml:space="preserve">Pre: authorized draft number; baseline </w:t>
      </w:r>
      <w:r>
        <w:rPr>
          <w:rFonts w:ascii="Consolas" w:hAnsi="Consolas"/>
          <w:sz w:val="17"/>
        </w:rPr>
        <w:t>Q01</w:t>
      </w:r>
      <w:r>
        <w:t xml:space="preserve">. Data: blanks for Item Type, Item Number and Description; optionally blank UOM. Steps: attempt Save Draft for each required-field omission, then save a valid draft with blank UOM if current policy allows. Expected: missing required fields are rejected; no invalid row; blank UOM in DRAFT allowed only per confirmed current rule, and EBS submission must validate it later. SQL: </w:t>
      </w:r>
      <w:r>
        <w:rPr>
          <w:rFonts w:ascii="Consolas" w:hAnsi="Consolas"/>
          <w:sz w:val="17"/>
        </w:rPr>
        <w:t>Q01</w:t>
      </w:r>
      <w:r>
        <w:t xml:space="preserve">, </w:t>
      </w:r>
      <w:r>
        <w:rPr>
          <w:rFonts w:ascii="Consolas" w:hAnsi="Consolas"/>
          <w:sz w:val="17"/>
        </w:rPr>
        <w:t>Q03</w:t>
      </w:r>
      <w:r>
        <w:t>. Evidence: field messages and before/after SQL. Pass: validation and saved fields agree; flag any rule mismatch for Joel.</w:t>
      </w:r>
    </w:p>
    <w:p>
      <w:pPr>
        <w:pStyle w:val="Heading2"/>
      </w:pPr>
      <w:r>
        <w:t>T05 Item Number format, derivation and duplicate handling (P1).</w:t>
      </w:r>
    </w:p>
    <w:p>
      <w:pPr>
        <w:keepLines/>
      </w:pPr>
      <w:r>
        <w:t xml:space="preserve">Pre: Joel supplies current numbering specification and reserved numbers; no EBS writes. Data: one authorized unique number, one known duplicate, and one invalid-format candidate only if specified. Steps: create/edit draft, try duplicate and invalid candidate through supported UI. Expected: actual configured derivation/format enforced; duplicate cannot silently create a conflicting item or request. SQL: </w:t>
      </w:r>
      <w:r>
        <w:rPr>
          <w:rFonts w:ascii="Consolas" w:hAnsi="Consolas"/>
          <w:sz w:val="17"/>
        </w:rPr>
        <w:t>Q01</w:t>
      </w:r>
      <w:r>
        <w:t xml:space="preserve">, </w:t>
      </w:r>
      <w:r>
        <w:rPr>
          <w:rFonts w:ascii="Consolas" w:hAnsi="Consolas"/>
          <w:sz w:val="17"/>
        </w:rPr>
        <w:t>Q09</w:t>
      </w:r>
      <w:r>
        <w:t xml:space="preserve"> and </w:t>
      </w:r>
      <w:r>
        <w:rPr>
          <w:rFonts w:ascii="Consolas" w:hAnsi="Consolas"/>
          <w:sz w:val="17"/>
        </w:rPr>
        <w:t>Q10</w:t>
      </w:r>
      <w:r>
        <w:t xml:space="preserve"> for any EBS precheck. Evidence: input, errors, query outputs. Pass: matches Joel-approved specification; until specification is provided, BLOCKED (do not invent format).</w:t>
      </w:r>
    </w:p>
    <w:p>
      <w:pPr>
        <w:pStyle w:val="Heading2"/>
      </w:pPr>
      <w:r>
        <w:t>T06 Create, reopen, edit and audit a draft (P1).</w:t>
      </w:r>
    </w:p>
    <w:p>
      <w:pPr>
        <w:keepLines/>
      </w:pPr>
      <w:r>
        <w:t xml:space="preserve">Pre: unique authorized draft, no EBS send. Data: valid type/number/description, current APP_USER. Steps: save, note ID/number, navigate away, reopen from dashboard, edit description and save. Expected: same request ID; changed value persists; request remains DRAFT; creator preserved, updater/version reflects edit. SQL: </w:t>
      </w:r>
      <w:r>
        <w:rPr>
          <w:rFonts w:ascii="Consolas" w:hAnsi="Consolas"/>
          <w:sz w:val="17"/>
        </w:rPr>
        <w:t>Q01</w:t>
      </w:r>
      <w:r>
        <w:t>. Evidence: two UI states and query snapshots. Pass: one request, correct fields and audit trail.</w:t>
      </w:r>
    </w:p>
    <w:p>
      <w:pPr>
        <w:pStyle w:val="Heading2"/>
      </w:pPr>
      <w:r>
        <w:t>T07 Save Draft navigation regression (P1).</w:t>
      </w:r>
    </w:p>
    <w:p>
      <w:pPr>
        <w:keepLines/>
      </w:pPr>
      <w:r>
        <w:t xml:space="preserve">Pre: valid new/existing draft. Data: T06. Steps: click Save General &amp; Continue, switch to General, Organizations and Review, refresh once. Expected: immediately opens Organizations after save; subsequent manual tab navigation works; saved values persist. SQL: </w:t>
      </w:r>
      <w:r>
        <w:rPr>
          <w:rFonts w:ascii="Consolas" w:hAnsi="Consolas"/>
          <w:sz w:val="17"/>
        </w:rPr>
        <w:t>Q01</w:t>
      </w:r>
      <w:r>
        <w:t>. Evidence: successive tab screenshots and URL/request ID. Pass: all three behaviors hold.</w:t>
      </w:r>
    </w:p>
    <w:p>
      <w:pPr>
        <w:pStyle w:val="Heading2"/>
      </w:pPr>
      <w:r>
        <w:t>T08 Required MAS organization (P1).</w:t>
      </w:r>
    </w:p>
    <w:p>
      <w:pPr>
        <w:keepLines/>
      </w:pPr>
      <w:r>
        <w:t xml:space="preserve">Pre: new authorized draft and configured MASTER. Data: T06 type. Steps: save draft and open Organizations. Expected: one assigned MAS MASTER (organization_id 59) without user-added duplicate. SQL: </w:t>
      </w:r>
      <w:r>
        <w:rPr>
          <w:rFonts w:ascii="Consolas" w:hAnsi="Consolas"/>
          <w:sz w:val="17"/>
        </w:rPr>
        <w:t>Q03</w:t>
      </w:r>
      <w:r>
        <w:t xml:space="preserve">, </w:t>
      </w:r>
      <w:r>
        <w:rPr>
          <w:rFonts w:ascii="Consolas" w:hAnsi="Consolas"/>
          <w:sz w:val="17"/>
        </w:rPr>
        <w:t>Q02</w:t>
      </w:r>
      <w:r>
        <w:t>. Evidence: Organizations display and staging rows. Pass: exactly one MAS MASTER and configured template; if config differs, BLOCKED for Joel.</w:t>
      </w:r>
    </w:p>
    <w:p>
      <w:pPr>
        <w:pStyle w:val="Heading2"/>
      </w:pPr>
      <w:r>
        <w:t>T09 One and multiple TARGET organizations (P1).</w:t>
      </w:r>
    </w:p>
    <w:p>
      <w:pPr>
        <w:keepLines/>
      </w:pPr>
      <w:r>
        <w:t xml:space="preserve">Pre: active configured TARGETs and authorized test request; do not infer UKI is ready. Data: GRI 58, a second TARGET only if separately approved/configured. Steps: add GRI, attempt re-add GRI, add approved second TARGET if available; reopen each. Expected: distinct TARGET rows, duplicate blocked, each selected organization shown correctly. SQL: </w:t>
      </w:r>
      <w:r>
        <w:rPr>
          <w:rFonts w:ascii="Consolas" w:hAnsi="Consolas"/>
          <w:sz w:val="17"/>
        </w:rPr>
        <w:t>Q03</w:t>
      </w:r>
      <w:r>
        <w:t>. Evidence: list and query. Pass: unique rows and navigation correct; second TARGET BLOCKED if unavailable.</w:t>
      </w:r>
    </w:p>
    <w:p>
      <w:pPr>
        <w:pStyle w:val="Heading2"/>
      </w:pPr>
      <w:r>
        <w:t>T10 Target isolation and selection security (P1).</w:t>
      </w:r>
    </w:p>
    <w:p>
      <w:pPr>
        <w:keepLines/>
      </w:pPr>
      <w:r>
        <w:t xml:space="preserve">Pre: two authorized TARGETs on one draft (or two request contexts for access check). Data: distinct test attribute/category values. Steps: select each TARGET, edit separate values, switch back and forth; attempt to open a TARGET row from another request using ordinary navigation only. Expected: independent values; no cross-request target disclosure. SQL: </w:t>
      </w:r>
      <w:r>
        <w:rPr>
          <w:rFonts w:ascii="Consolas" w:hAnsi="Consolas"/>
          <w:sz w:val="17"/>
        </w:rPr>
        <w:t>Q04</w:t>
      </w:r>
      <w:r>
        <w:t xml:space="preserve">, </w:t>
      </w:r>
      <w:r>
        <w:rPr>
          <w:rFonts w:ascii="Consolas" w:hAnsi="Consolas"/>
          <w:sz w:val="17"/>
        </w:rPr>
        <w:t>Q05</w:t>
      </w:r>
      <w:r>
        <w:t xml:space="preserve">. Evidence: each target screenshot and SQL. Pass: values keyed to the correct </w:t>
      </w:r>
      <w:r>
        <w:rPr>
          <w:rFonts w:ascii="Consolas" w:hAnsi="Consolas"/>
          <w:sz w:val="17"/>
        </w:rPr>
        <w:t>REQUEST_ORG_ID</w:t>
      </w:r>
      <w:r>
        <w:t>; second-target portion BLOCKED if only GRI approved.</w:t>
      </w:r>
    </w:p>
    <w:p>
      <w:pPr>
        <w:pStyle w:val="Heading2"/>
      </w:pPr>
      <w:r>
        <w:t>T11 Attribute configuration, scope and sorting (P2).</w:t>
      </w:r>
    </w:p>
    <w:p>
      <w:pPr>
        <w:keepLines/>
      </w:pPr>
      <w:r>
        <w:t xml:space="preserve">Pre: type configured with active attributes. Data: current type, MAS and GRI. Steps: inspect active MAS/Target IG, switch Item Type in a new draft, examine order and required indicators. Expected: only configured active applicable attributes, MAS/Target/BOTH scopes as configured, alphabetical order if the later sorting change is installed. SQL: </w:t>
      </w:r>
      <w:r>
        <w:rPr>
          <w:rFonts w:ascii="Consolas" w:hAnsi="Consolas"/>
          <w:sz w:val="17"/>
        </w:rPr>
        <w:t>Q04</w:t>
      </w:r>
      <w:r>
        <w:t xml:space="preserve"> and </w:t>
      </w:r>
      <w:r>
        <w:rPr>
          <w:rFonts w:ascii="Consolas" w:hAnsi="Consolas"/>
          <w:sz w:val="17"/>
        </w:rPr>
        <w:t>Q02</w:t>
      </w:r>
      <w:r>
        <w:t>. Evidence: IG screenshots and configuration rows. Pass: matching scope and list; sorting is BLOCKED until current export/UI confirms change.</w:t>
      </w:r>
    </w:p>
    <w:p>
      <w:pPr>
        <w:pStyle w:val="Heading2"/>
      </w:pPr>
      <w:r>
        <w:t>T12 Attribute edit, type validation and defaults (P1).</w:t>
      </w:r>
    </w:p>
    <w:p>
      <w:pPr>
        <w:keepLines/>
      </w:pPr>
      <w:r>
        <w:t xml:space="preserve">Pre: DRAFT and editable IG. Data: approved valid and invalid sample for NUMBER/DATE/YES_NO where configured. Steps: edit and save an attribute for MAS and GRI; reopen; attempt invalid type or required blank where supported. Expected: valid values persist per org; invalid input is rejected at the documented validation stage; defaults do not overwrite stored values. SQL: </w:t>
      </w:r>
      <w:r>
        <w:rPr>
          <w:rFonts w:ascii="Consolas" w:hAnsi="Consolas"/>
          <w:sz w:val="17"/>
        </w:rPr>
        <w:t>Q04</w:t>
      </w:r>
      <w:r>
        <w:t>. Evidence: validation message, before/after rows. Pass: accepted values, isolation and rejection agree; do not assert submit-time rule at draft-time without evidence.</w:t>
      </w:r>
    </w:p>
    <w:p>
      <w:pPr>
        <w:pStyle w:val="Heading2"/>
      </w:pPr>
      <w:r>
        <w:t>T13 Category set and value by organization (P1).</w:t>
      </w:r>
    </w:p>
    <w:p>
      <w:pPr>
        <w:keepLines/>
      </w:pPr>
      <w:r>
        <w:t xml:space="preserve">Pre: configured active sets and a draft; approved category values. Data: MAS and GRI categories. Steps: inspect category IGs, select valid values, save and reopen, try a nonmatching category if UI permits. Expected: eligible sets/values follow organization and Item Type configuration; one assignment per </w:t>
      </w:r>
      <w:r>
        <w:rPr>
          <w:rFonts w:ascii="Consolas" w:hAnsi="Consolas"/>
          <w:sz w:val="17"/>
        </w:rPr>
        <w:t>(request_org_id, ebs_category_set_id)</w:t>
      </w:r>
      <w:r>
        <w:t xml:space="preserve">; wrong structure/value rejected. SQL: </w:t>
      </w:r>
      <w:r>
        <w:rPr>
          <w:rFonts w:ascii="Consolas" w:hAnsi="Consolas"/>
          <w:sz w:val="17"/>
        </w:rPr>
        <w:t>Q05</w:t>
      </w:r>
      <w:r>
        <w:t xml:space="preserve">, </w:t>
      </w:r>
      <w:r>
        <w:rPr>
          <w:rFonts w:ascii="Consolas" w:hAnsi="Consolas"/>
          <w:sz w:val="17"/>
        </w:rPr>
        <w:t>Q02</w:t>
      </w:r>
      <w:r>
        <w:t>. Evidence: LOV and query screenshots. Pass: current configuration and saved category IDs match; required-set decision from Caron/Joel if unclear.</w:t>
      </w:r>
    </w:p>
    <w:p>
      <w:pPr>
        <w:pStyle w:val="Heading2"/>
      </w:pPr>
      <w:r>
        <w:t>T14 Review consistency (P2).</w:t>
      </w:r>
    </w:p>
    <w:p>
      <w:pPr>
        <w:keepLines/>
      </w:pPr>
      <w:r>
        <w:t xml:space="preserve">Pre: populated unsent draft. Data: T06–T13 request. Steps: open Review and compare item, type, status, org count, category count and approved-stages indicator. Expected: summary reflects staging; an approval counter is informational and is not proof approvals are complete. SQL: </w:t>
      </w:r>
      <w:r>
        <w:rPr>
          <w:rFonts w:ascii="Consolas" w:hAnsi="Consolas"/>
          <w:sz w:val="17"/>
        </w:rPr>
        <w:t>Q01</w:t>
      </w:r>
      <w:r>
        <w:t xml:space="preserve">, </w:t>
      </w:r>
      <w:r>
        <w:rPr>
          <w:rFonts w:ascii="Consolas" w:hAnsi="Consolas"/>
          <w:sz w:val="17"/>
        </w:rPr>
        <w:t>Q03</w:t>
      </w:r>
      <w:r>
        <w:t xml:space="preserve">, </w:t>
      </w:r>
      <w:r>
        <w:rPr>
          <w:rFonts w:ascii="Consolas" w:hAnsi="Consolas"/>
          <w:sz w:val="17"/>
        </w:rPr>
        <w:t>Q05</w:t>
      </w:r>
      <w:r>
        <w:t xml:space="preserve">, </w:t>
      </w:r>
      <w:r>
        <w:rPr>
          <w:rFonts w:ascii="Consolas" w:hAnsi="Consolas"/>
          <w:sz w:val="17"/>
        </w:rPr>
        <w:t>Q08</w:t>
      </w:r>
      <w:r>
        <w:t>. Evidence: Review and outputs. Pass: values reconcile.</w:t>
      </w:r>
    </w:p>
    <w:p>
      <w:pPr>
        <w:pStyle w:val="Heading2"/>
      </w:pPr>
      <w:r>
        <w:t>T15 Documents capability gate (P2).</w:t>
      </w:r>
    </w:p>
    <w:p>
      <w:pPr>
        <w:keepLines/>
      </w:pPr>
      <w:r>
        <w:t xml:space="preserve">Pre: current Page 20/modal export checked; authorized harmless sample file only if upload UI exists. Data: sample title/file with no confidential contents. Steps: inspect Documents; if create/upload action exists, upload and reopen; otherwise inspect report only. Expected: report loads and reflects any authorized document; persistence of BLOB/MIME only if upload implemented. SQL: </w:t>
      </w:r>
      <w:r>
        <w:rPr>
          <w:rFonts w:ascii="Consolas" w:hAnsi="Consolas"/>
          <w:sz w:val="17"/>
        </w:rPr>
        <w:t>Q06</w:t>
      </w:r>
      <w:r>
        <w:t>. Evidence: region, action or absence, query. Pass: existing report correct; upload subcase NOT APPLICABLE if absent, never infer attachment processing in EBS.</w:t>
      </w:r>
    </w:p>
    <w:p>
      <w:pPr>
        <w:pStyle w:val="Heading2"/>
      </w:pPr>
      <w:r>
        <w:t>T16 BOM capability gate (P2).</w:t>
      </w:r>
    </w:p>
    <w:p>
      <w:pPr>
        <w:keepLines/>
      </w:pPr>
      <w:r>
        <w:t xml:space="preserve">Pre: current Page 20/modal export and Joel's BOM applicability decision. Data: approved nonproduction BOM sample only if editor exists. Steps: inspect BOM; if creation available and authorized, add and reopen header/component; otherwise inspect report. Expected: report and optional staging agree; no assertion that EBS BOM API ran. SQL: </w:t>
      </w:r>
      <w:r>
        <w:rPr>
          <w:rFonts w:ascii="Consolas" w:hAnsi="Consolas"/>
          <w:sz w:val="17"/>
        </w:rPr>
        <w:t>Q07</w:t>
      </w:r>
      <w:r>
        <w:t>. Evidence: UI and query. Pass: existing feature works; edit/EBS BOM subcases BLOCKED or NOT APPLICABLE as appropriate.</w:t>
      </w:r>
    </w:p>
    <w:p>
      <w:pPr>
        <w:pStyle w:val="Heading2"/>
      </w:pPr>
      <w:r>
        <w:t>T17 Approval workflow decision gate (P0).</w:t>
      </w:r>
    </w:p>
    <w:p>
      <w:pPr>
        <w:keepLines/>
      </w:pPr>
      <w:r>
        <w:t xml:space="preserve">Pre: Joel's approved Engineering/Finance workflow and current approval page export. Data: authorized approver roles/test request. Steps: inspect dashboard indicators and approval rows; exercise decisions only after sign-off. Expected: counters/rows display; no claim that decision workflow or send gate is approved. SQL: </w:t>
      </w:r>
      <w:r>
        <w:rPr>
          <w:rFonts w:ascii="Consolas" w:hAnsi="Consolas"/>
          <w:sz w:val="17"/>
        </w:rPr>
        <w:t>Q08</w:t>
      </w:r>
      <w:r>
        <w:t>. Evidence: recorded Joel decision, UI, query. Pass: only after actual approval policy is specified and implemented; otherwise BLOCKED.</w:t>
      </w:r>
    </w:p>
    <w:p>
      <w:pPr>
        <w:pStyle w:val="Heading2"/>
      </w:pPr>
      <w:r>
        <w:t>T18 Authorization and privacy (P1).</w:t>
      </w:r>
    </w:p>
    <w:p>
      <w:pPr>
        <w:keepLines/>
      </w:pPr>
      <w:r>
        <w:t xml:space="preserve">Pre: Joel-approved test users and expected access matrix. Data: authorized creator/reader/administrator and a separate request. Steps: sign in as each, try ordinary navigation to Page 1/10/20 and another request, inspect config pages if available. Expected: only approved access; no record leakage or unauthorized edits/send. SQL: </w:t>
      </w:r>
      <w:r>
        <w:rPr>
          <w:rFonts w:ascii="Consolas" w:hAnsi="Consolas"/>
          <w:sz w:val="17"/>
        </w:rPr>
        <w:t>Q01</w:t>
      </w:r>
      <w:r>
        <w:t xml:space="preserve"> with recorded user/request ownership; authorization metadata reviewed by Joel. Evidence: role matrix and screenshots without secrets. Pass: matches signed-off matrix; otherwise BLOCKED, never presume specific roles.</w:t>
      </w:r>
    </w:p>
    <w:p>
      <w:pPr>
        <w:pStyle w:val="Heading2"/>
      </w:pPr>
      <w:r>
        <w:t>T19 Submit prerequisite and duplicate precheck (P0).</w:t>
      </w:r>
    </w:p>
    <w:p>
      <w:pPr>
        <w:keepLines/>
      </w:pPr>
      <w:r>
        <w:t xml:space="preserve">Pre: Joel approves current validations and a fresh authorized test item; confirm item absent in EBS. Data: T06 item; invalid missing UOM/category or existing item only via safe UI validation if approved. Steps: check OPS and EBS first; attempt invalid submission only if no EBS item can be created; do not use an existing real item as a probe. Expected: incomplete/duplicate request blocked at specified stage; no unintended EBS item. SQL: </w:t>
      </w:r>
      <w:r>
        <w:rPr>
          <w:rFonts w:ascii="Consolas" w:hAnsi="Consolas"/>
          <w:sz w:val="17"/>
        </w:rPr>
        <w:t>Q01</w:t>
      </w:r>
      <w:r>
        <w:t xml:space="preserve">, </w:t>
      </w:r>
      <w:r>
        <w:rPr>
          <w:rFonts w:ascii="Consolas" w:hAnsi="Consolas"/>
          <w:sz w:val="17"/>
        </w:rPr>
        <w:t>Q03</w:t>
      </w:r>
      <w:r>
        <w:t xml:space="preserve">, </w:t>
      </w:r>
      <w:r>
        <w:rPr>
          <w:rFonts w:ascii="Consolas" w:hAnsi="Consolas"/>
          <w:sz w:val="17"/>
        </w:rPr>
        <w:t>Q05</w:t>
      </w:r>
      <w:r>
        <w:t xml:space="preserve">, </w:t>
      </w:r>
      <w:r>
        <w:rPr>
          <w:rFonts w:ascii="Consolas" w:hAnsi="Consolas"/>
          <w:sz w:val="17"/>
        </w:rPr>
        <w:t>Q09</w:t>
      </w:r>
      <w:r>
        <w:t xml:space="preserve">, </w:t>
      </w:r>
      <w:r>
        <w:rPr>
          <w:rFonts w:ascii="Consolas" w:hAnsi="Consolas"/>
          <w:sz w:val="17"/>
        </w:rPr>
        <w:t>Q10</w:t>
      </w:r>
      <w:r>
        <w:t>. Evidence: baseline, UI message, unchanged EBS result. Pass: no unwanted write; BLOCKED if policy or fail-safe route unclear.</w:t>
      </w:r>
    </w:p>
    <w:p>
      <w:pPr>
        <w:pStyle w:val="Heading2"/>
      </w:pPr>
      <w:r>
        <w:t>T20 Controlled EBS rejection and current log (P0/P1).</w:t>
      </w:r>
    </w:p>
    <w:p>
      <w:pPr>
        <w:keepLines/>
      </w:pPr>
      <w:r>
        <w:t xml:space="preserve">Pre: expressly authorized test case that is known to fail without impacting live items; V36 identity confirmed; baseline captured. Data: dedicated new test request and target, never production item number. Steps: Send to EBS once, observe notification and Review; inspect log immediately; F5 only after noting initial results. Expected: visible error, Review active, fresh log without F5; </w:t>
      </w:r>
      <w:r>
        <w:rPr>
          <w:rFonts w:ascii="Consolas" w:hAnsi="Consolas"/>
          <w:sz w:val="17"/>
        </w:rPr>
        <w:t>ERROR</w:t>
      </w:r>
      <w:r>
        <w:t xml:space="preserve"> persisted; F5 does not repeat POST; tabs remain navigable. SQL: </w:t>
      </w:r>
      <w:r>
        <w:rPr>
          <w:rFonts w:ascii="Consolas" w:hAnsi="Consolas"/>
          <w:sz w:val="17"/>
        </w:rPr>
        <w:t>Q01</w:t>
      </w:r>
      <w:r>
        <w:t xml:space="preserve">, </w:t>
      </w:r>
      <w:r>
        <w:rPr>
          <w:rFonts w:ascii="Consolas" w:hAnsi="Consolas"/>
          <w:sz w:val="17"/>
        </w:rPr>
        <w:t>Q03</w:t>
      </w:r>
      <w:r>
        <w:t xml:space="preserve">, </w:t>
      </w:r>
      <w:r>
        <w:rPr>
          <w:rFonts w:ascii="Consolas" w:hAnsi="Consolas"/>
          <w:sz w:val="17"/>
        </w:rPr>
        <w:t>Q09</w:t>
      </w:r>
      <w:r>
        <w:t xml:space="preserve">, </w:t>
      </w:r>
      <w:r>
        <w:rPr>
          <w:rFonts w:ascii="Consolas" w:hAnsi="Consolas"/>
          <w:sz w:val="17"/>
        </w:rPr>
        <w:t>Q10</w:t>
      </w:r>
      <w:r>
        <w:t xml:space="preserve">. Evidence: before/after timestamps, Review, log and EBS. Pass: UI/OPS/EBS reconcile. This is a regression of the </w:t>
      </w:r>
      <w:r>
        <w:rPr>
          <w:b/>
        </w:rPr>
        <w:t>already approved and working fix</w:t>
      </w:r>
      <w:r>
        <w:t>; BLOCKED until failure case is authorized.</w:t>
      </w:r>
    </w:p>
    <w:p>
      <w:pPr>
        <w:pStyle w:val="Heading2"/>
      </w:pPr>
      <w:r>
        <w:t>T21 Successful MAS + GRI send and reconciliation (P0/P1).</w:t>
      </w:r>
    </w:p>
    <w:p>
      <w:pPr>
        <w:keepLines/>
      </w:pPr>
      <w:r>
        <w:t xml:space="preserve">Pre: approved item and Caron/Joel-signed type, UOM, template, categories and attributes; absence from EBS confirmed by </w:t>
      </w:r>
      <w:r>
        <w:rPr>
          <w:rFonts w:ascii="Consolas" w:hAnsi="Consolas"/>
          <w:sz w:val="17"/>
        </w:rPr>
        <w:t>Q10</w:t>
      </w:r>
      <w:r>
        <w:t xml:space="preserve">; approvals policy resolved or explicitly waived for test. Data: fresh reserved item, MAS 59, GRI 58, configured template IDs. Steps: finish draft, Send once, observe Review/log and reload; verify EBS item in both orgs. Expected: status/result/log consistent, shared item ID where applicable, item number checked across SEGMENT1–3, target-specific attributes/category assignments match approved expectations. SQL: </w:t>
      </w:r>
      <w:r>
        <w:rPr>
          <w:rFonts w:ascii="Consolas" w:hAnsi="Consolas"/>
          <w:sz w:val="17"/>
        </w:rPr>
        <w:t>Q01</w:t>
      </w:r>
      <w:r>
        <w:t xml:space="preserve">, </w:t>
      </w:r>
      <w:r>
        <w:rPr>
          <w:rFonts w:ascii="Consolas" w:hAnsi="Consolas"/>
          <w:sz w:val="17"/>
        </w:rPr>
        <w:t>Q03</w:t>
      </w:r>
      <w:r>
        <w:t>–</w:t>
      </w:r>
      <w:r>
        <w:rPr>
          <w:rFonts w:ascii="Consolas" w:hAnsi="Consolas"/>
          <w:sz w:val="17"/>
        </w:rPr>
        <w:t>Q05</w:t>
      </w:r>
      <w:r>
        <w:t xml:space="preserve">, </w:t>
      </w:r>
      <w:r>
        <w:rPr>
          <w:rFonts w:ascii="Consolas" w:hAnsi="Consolas"/>
          <w:sz w:val="17"/>
        </w:rPr>
        <w:t>Q09</w:t>
      </w:r>
      <w:r>
        <w:t>–</w:t>
      </w:r>
      <w:r>
        <w:rPr>
          <w:rFonts w:ascii="Consolas" w:hAnsi="Consolas"/>
          <w:sz w:val="17"/>
        </w:rPr>
        <w:t>Q11</w:t>
      </w:r>
      <w:r>
        <w:t>. Evidence: run ID, screenshots and SQL outputs. Pass: business attribute/category comparison signed off; BLOCKED until approvals and data authorization settled.</w:t>
      </w:r>
    </w:p>
    <w:p>
      <w:pPr>
        <w:pStyle w:val="Heading2"/>
      </w:pPr>
      <w:r>
        <w:t>T22 Multi-target send, UOM and configuration variants (P0/P1).</w:t>
      </w:r>
    </w:p>
    <w:p>
      <w:pPr>
        <w:keepLines/>
      </w:pPr>
      <w:r>
        <w:t xml:space="preserve">Pre: Caron/Joel decide allowed organizations and UOM rules and approve each test item; installed conversion scripts verified. Data: one fresh request per permitted type/org scenario (GRI imperial; Ireland metric; UK/Singapore sales-only where applicable), no automatic assumption about IRI/UKI templates. Steps: stage each, review per-target values, send once, inspect Review and EBS. Expected: only approved target/template/UOM configuration processed, each org independent, EBS results match signed rules. SQL: </w:t>
      </w:r>
      <w:r>
        <w:rPr>
          <w:rFonts w:ascii="Consolas" w:hAnsi="Consolas"/>
          <w:sz w:val="17"/>
        </w:rPr>
        <w:t>Q02</w:t>
      </w:r>
      <w:r>
        <w:t>–</w:t>
      </w:r>
      <w:r>
        <w:rPr>
          <w:rFonts w:ascii="Consolas" w:hAnsi="Consolas"/>
          <w:sz w:val="17"/>
        </w:rPr>
        <w:t>Q05</w:t>
      </w:r>
      <w:r>
        <w:t xml:space="preserve">, </w:t>
      </w:r>
      <w:r>
        <w:rPr>
          <w:rFonts w:ascii="Consolas" w:hAnsi="Consolas"/>
          <w:sz w:val="17"/>
        </w:rPr>
        <w:t>Q09</w:t>
      </w:r>
      <w:r>
        <w:t>–</w:t>
      </w:r>
      <w:r>
        <w:rPr>
          <w:rFonts w:ascii="Consolas" w:hAnsi="Consolas"/>
          <w:sz w:val="17"/>
        </w:rPr>
        <w:t>Q11</w:t>
      </w:r>
      <w:r>
        <w:t>. Evidence: decision sheet, all organization rows and EBS records. Pass: sign-off per variant; BLOCKED for unavailable template/conversion or unresolved Caron decision.</w:t>
      </w:r>
    </w:p>
    <w:p>
      <w:pPr>
        <w:pStyle w:val="Heading1"/>
      </w:pPr>
      <w:r>
        <w:t>Read-only SQL verification catalog</w:t>
      </w:r>
    </w:p>
    <w:p>
      <w:r>
        <w:t xml:space="preserve">Run each SELECT separately with the bind values indicated. The EBS item number comparison is intentionally performed using the stored request ID and EBS </w:t>
      </w:r>
      <w:r>
        <w:rPr>
          <w:rFonts w:ascii="Consolas" w:hAnsi="Consolas"/>
          <w:sz w:val="17"/>
        </w:rPr>
        <w:t>SEGMENT1</w:t>
      </w:r>
      <w:r>
        <w:t xml:space="preserve">, </w:t>
      </w:r>
      <w:r>
        <w:rPr>
          <w:rFonts w:ascii="Consolas" w:hAnsi="Consolas"/>
          <w:sz w:val="17"/>
        </w:rPr>
        <w:t>SEGMENT2</w:t>
      </w:r>
      <w:r>
        <w:t xml:space="preserve">, </w:t>
      </w:r>
      <w:r>
        <w:rPr>
          <w:rFonts w:ascii="Consolas" w:hAnsi="Consolas"/>
          <w:sz w:val="17"/>
        </w:rPr>
        <w:t>SEGMENT3</w:t>
      </w:r>
      <w:r>
        <w:t>; never assume the entire number is in SEGMENT1. Current EBS category and attribute mapping must be checked against the signed business expectation; this catalog establishes the joins and identifiers.</w:t>
      </w:r>
    </w:p>
    <w:p>
      <w:pPr>
        <w:pStyle w:val="Heading2"/>
      </w:pPr>
      <w:r>
        <w:t>Q00 — Dashboard status counts</w:t>
      </w:r>
    </w:p>
    <w:p>
      <w:pPr>
        <w:keepLines/>
        <w:spacing w:after="180"/>
        <w:ind w:left="259"/>
      </w:pPr>
      <w:r>
        <w:rPr>
          <w:rFonts w:ascii="Consolas" w:hAnsi="Consolas"/>
          <w:sz w:val="15"/>
        </w:rPr>
        <w:t>SELECT req.request_status, COUNT(*) request_count</w:t>
        <w:br/>
        <w:t xml:space="preserve">  FROM ops.adre_inv_item_request req</w:t>
        <w:br/>
        <w:t xml:space="preserve"> GROUP BY req.request_status</w:t>
        <w:br/>
        <w:t xml:space="preserve"> ORDER BY req.request_status;</w:t>
      </w:r>
    </w:p>
    <w:p>
      <w:pPr>
        <w:pStyle w:val="Heading2"/>
      </w:pPr>
      <w:r>
        <w:t>Q01 — Header, audit, result</w:t>
      </w:r>
    </w:p>
    <w:p>
      <w:pPr>
        <w:keepLines/>
        <w:spacing w:after="180"/>
        <w:ind w:left="259"/>
      </w:pPr>
      <w:r>
        <w:rPr>
          <w:rFonts w:ascii="Consolas" w:hAnsi="Consolas"/>
          <w:sz w:val="15"/>
        </w:rPr>
        <w:t>SELECT req.item_request_id, req.request_number, req.item_type_id,</w:t>
        <w:br/>
        <w:t xml:space="preserve">       req.item_number, req.item_description, req.primary_uom_code,</w:t>
        <w:br/>
        <w:t xml:space="preserve">       req.request_status, req.initiator, req.api_return_status,</w:t>
        <w:br/>
        <w:t xml:space="preserve">       DBMS_LOB.SUBSTR(req.api_message_text, 1000, 1) api_message,</w:t>
        <w:br/>
        <w:t xml:space="preserve">       req.created_by, req.creation_date, req.last_updated_by,</w:t>
        <w:br/>
        <w:t xml:space="preserve">       req.last_update_date, req.record_version_number</w:t>
        <w:br/>
        <w:t xml:space="preserve">  FROM ops.adre_inv_item_request req</w:t>
        <w:br/>
        <w:t xml:space="preserve"> WHERE req.item_request_id = :request_id;</w:t>
      </w:r>
    </w:p>
    <w:p>
      <w:pPr>
        <w:pStyle w:val="Heading2"/>
      </w:pPr>
      <w:r>
        <w:t>Q02 — Live type/UOM/master configuration</w:t>
      </w:r>
    </w:p>
    <w:p>
      <w:pPr>
        <w:keepLines/>
        <w:spacing w:after="180"/>
        <w:ind w:left="259"/>
      </w:pPr>
      <w:r>
        <w:rPr>
          <w:rFonts w:ascii="Consolas" w:hAnsi="Consolas"/>
          <w:sz w:val="15"/>
        </w:rPr>
        <w:t>SELECT typ.item_type_id, typ.item_type_name, typ.active_flag,</w:t>
        <w:br/>
        <w:t xml:space="preserve">       cfg.uom_code, cfg.active_flag uom_active</w:t>
        <w:br/>
        <w:t xml:space="preserve">  FROM ops.adre_inv_item_type typ,</w:t>
        <w:br/>
        <w:t xml:space="preserve">       ops.adre_inv_item_type_uom cfg</w:t>
        <w:br/>
        <w:t xml:space="preserve"> WHERE cfg.item_type_id(+) = typ.item_type_id</w:t>
        <w:br/>
        <w:t xml:space="preserve">   AND typ.item_type_id = :item_type_id</w:t>
        <w:br/>
        <w:t xml:space="preserve"> ORDER BY cfg.display_sequence, cfg.uom_code;</w:t>
      </w:r>
    </w:p>
    <w:p>
      <w:pPr>
        <w:keepLines/>
        <w:spacing w:after="180"/>
        <w:ind w:left="259"/>
      </w:pPr>
      <w:r>
        <w:rPr>
          <w:rFonts w:ascii="Consolas" w:hAnsi="Consolas"/>
          <w:sz w:val="15"/>
        </w:rPr>
        <w:t>SELECT cfg.item_type_id, cfg.organization_role, cfg.ebs_organization_id,</w:t>
        <w:br/>
        <w:t xml:space="preserve">       cfg.ebs_template_id, cfg.required_flag, cfg.auto_assign_flag,</w:t>
        <w:br/>
        <w:t xml:space="preserve">       cfg.active_flag</w:t>
        <w:br/>
        <w:t xml:space="preserve">  FROM ops.adre_inv_item_type_org cfg</w:t>
        <w:br/>
        <w:t xml:space="preserve"> WHERE cfg.item_type_id = :item_type_id</w:t>
        <w:br/>
        <w:t xml:space="preserve"> ORDER BY cfg.organization_role, cfg.ebs_organization_id;</w:t>
      </w:r>
    </w:p>
    <w:p>
      <w:pPr>
        <w:pStyle w:val="Heading2"/>
      </w:pPr>
      <w:r>
        <w:t>Q03 — Organization staging</w:t>
      </w:r>
    </w:p>
    <w:p>
      <w:pPr>
        <w:keepLines/>
        <w:spacing w:after="180"/>
        <w:ind w:left="259"/>
      </w:pPr>
      <w:r>
        <w:rPr>
          <w:rFonts w:ascii="Consolas" w:hAnsi="Consolas"/>
          <w:sz w:val="15"/>
        </w:rPr>
        <w:t>SELECT ro.request_org_id, ro.ebs_organization_id, mp.organization_code,</w:t>
        <w:br/>
        <w:t xml:space="preserve">       ro.organization_role, ro.assignment_status, ro.ebs_template_id,</w:t>
        <w:br/>
        <w:t xml:space="preserve">       ro.ebs_inventory_item_id, ro.api_return_status</w:t>
        <w:br/>
        <w:t xml:space="preserve">  FROM ops.adre_inv_item_request_org ro,</w:t>
        <w:br/>
        <w:t xml:space="preserve">       apps.mtl_parameters mp</w:t>
        <w:br/>
        <w:t xml:space="preserve"> WHERE ro.item_request_id = :request_id</w:t>
        <w:br/>
        <w:t xml:space="preserve">   AND mp.organization_id = ro.ebs_organization_id</w:t>
        <w:br/>
        <w:t xml:space="preserve"> ORDER BY ro.organization_role, ro.ebs_organization_id;</w:t>
      </w:r>
    </w:p>
    <w:p>
      <w:pPr>
        <w:pStyle w:val="Heading2"/>
      </w:pPr>
      <w:r>
        <w:t>Q04 — Per-org attributes and configured scope</w:t>
      </w:r>
    </w:p>
    <w:p>
      <w:pPr>
        <w:keepLines/>
        <w:spacing w:after="180"/>
        <w:ind w:left="259"/>
      </w:pPr>
      <w:r>
        <w:rPr>
          <w:rFonts w:ascii="Consolas" w:hAnsi="Consolas"/>
          <w:sz w:val="15"/>
        </w:rPr>
        <w:t>SELECT ro.ebs_organization_id, ro.request_org_id, a.attribute_code,</w:t>
        <w:br/>
        <w:t xml:space="preserve">       a.attribute_name, ta.organization_scope, ta.required_flag,</w:t>
        <w:br/>
        <w:t xml:space="preserve">       av.attribute_value, av.value_uom_code, av.value_status</w:t>
        <w:br/>
        <w:t xml:space="preserve">  FROM ops.adre_inv_item_request req,</w:t>
        <w:br/>
        <w:t xml:space="preserve">       ops.adre_inv_item_request_org ro,</w:t>
        <w:br/>
        <w:t xml:space="preserve">       ops.adre_inv_item_type_attr ta,</w:t>
        <w:br/>
        <w:t xml:space="preserve">       ops.adre_inv_item_attribute a,</w:t>
        <w:br/>
        <w:t xml:space="preserve">       ops.adre_inv_item_attr_value av</w:t>
        <w:br/>
        <w:t xml:space="preserve"> WHERE req.item_request_id = :request_id</w:t>
        <w:br/>
        <w:t xml:space="preserve">   AND ro.item_request_id = req.item_request_id</w:t>
        <w:br/>
        <w:t xml:space="preserve">   AND ta.item_type_id = req.item_type_id</w:t>
        <w:br/>
        <w:t xml:space="preserve">   AND a.item_attribute_id = ta.item_attribute_id</w:t>
        <w:br/>
        <w:t xml:space="preserve">   AND av.request_org_id(+) = ro.request_org_id</w:t>
        <w:br/>
        <w:t xml:space="preserve">   AND av.item_attribute_id(+) = a.item_attribute_id</w:t>
        <w:br/>
        <w:t xml:space="preserve">   AND (ta.organization_scope = ro.organization_role</w:t>
        <w:br/>
        <w:t xml:space="preserve">        OR ta.organization_scope = 'BOTH')</w:t>
        <w:br/>
        <w:t xml:space="preserve"> ORDER BY ro.ebs_organization_id, a.attribute_name;</w:t>
      </w:r>
    </w:p>
    <w:p>
      <w:pPr>
        <w:pStyle w:val="Heading2"/>
      </w:pPr>
      <w:r>
        <w:t>Q05 — Per-org categories</w:t>
      </w:r>
    </w:p>
    <w:p>
      <w:pPr>
        <w:keepLines/>
        <w:spacing w:after="180"/>
        <w:ind w:left="259"/>
      </w:pPr>
      <w:r>
        <w:rPr>
          <w:rFonts w:ascii="Consolas" w:hAnsi="Consolas"/>
          <w:sz w:val="15"/>
        </w:rPr>
        <w:t>SELECT ro.request_org_id, ro.ebs_organization_id, c.item_category_id,</w:t>
        <w:br/>
        <w:t xml:space="preserve">       c.ebs_category_set_id, c.ebs_category_id, c.category_value,</w:t>
        <w:br/>
        <w:t xml:space="preserve">       c.assignment_status, c.api_return_status</w:t>
        <w:br/>
        <w:t xml:space="preserve">  FROM ops.adre_inv_item_request_org ro,</w:t>
        <w:br/>
        <w:t xml:space="preserve">       ops.adre_inv_item_category c</w:t>
        <w:br/>
        <w:t xml:space="preserve"> WHERE ro.item_request_id = :request_id</w:t>
        <w:br/>
        <w:t xml:space="preserve">   AND c.request_org_id(+) = ro.request_org_id</w:t>
        <w:br/>
        <w:t xml:space="preserve"> ORDER BY ro.ebs_organization_id, c.ebs_category_set_id;</w:t>
      </w:r>
    </w:p>
    <w:p>
      <w:pPr>
        <w:pStyle w:val="Heading2"/>
      </w:pPr>
      <w:r>
        <w:t>Q06 — Documents</w:t>
      </w:r>
    </w:p>
    <w:p>
      <w:pPr>
        <w:keepLines/>
        <w:spacing w:after="180"/>
        <w:ind w:left="259"/>
      </w:pPr>
      <w:r>
        <w:rPr>
          <w:rFonts w:ascii="Consolas" w:hAnsi="Consolas"/>
          <w:sz w:val="15"/>
        </w:rPr>
        <w:t>SELECT ro.ebs_organization_id, d.item_document_id, d.document_title,</w:t>
        <w:br/>
        <w:t xml:space="preserve">       d.file_name, d.mime_type, DBMS_LOB.GETLENGTH(d.file_blob) file_bytes,</w:t>
        <w:br/>
        <w:t xml:space="preserve">       d.document_status</w:t>
        <w:br/>
        <w:t xml:space="preserve">  FROM ops.adre_inv_item_request_org ro,</w:t>
        <w:br/>
        <w:t xml:space="preserve">       ops.adre_inv_item_document d</w:t>
        <w:br/>
        <w:t xml:space="preserve"> WHERE ro.item_request_id = :request_id</w:t>
        <w:br/>
        <w:t xml:space="preserve">   AND d.request_org_id(+) = ro.request_org_id</w:t>
        <w:br/>
        <w:t xml:space="preserve"> ORDER BY ro.ebs_organization_id, d.item_document_id;</w:t>
      </w:r>
    </w:p>
    <w:p>
      <w:pPr>
        <w:pStyle w:val="Heading2"/>
      </w:pPr>
      <w:r>
        <w:t>Q07 — BOM headers and components</w:t>
      </w:r>
    </w:p>
    <w:p>
      <w:pPr>
        <w:keepLines/>
        <w:spacing w:after="180"/>
        <w:ind w:left="259"/>
      </w:pPr>
      <w:r>
        <w:rPr>
          <w:rFonts w:ascii="Consolas" w:hAnsi="Consolas"/>
          <w:sz w:val="15"/>
        </w:rPr>
        <w:t>SELECT ro.ebs_organization_id, b.item_bom_id, b.bom_status,</w:t>
        <w:br/>
        <w:t xml:space="preserve">       b.ebs_bill_sequence_id, COUNT(bc.item_bom_comp_id) component_count</w:t>
        <w:br/>
        <w:t xml:space="preserve">  FROM ops.adre_inv_item_request_org ro,</w:t>
        <w:br/>
        <w:t xml:space="preserve">       ops.adre_inv_item_bom b,</w:t>
        <w:br/>
        <w:t xml:space="preserve">       ops.adre_inv_item_bom_comp bc</w:t>
        <w:br/>
        <w:t xml:space="preserve"> WHERE ro.item_request_id = :request_id</w:t>
        <w:br/>
        <w:t xml:space="preserve">   AND b.request_org_id(+) = ro.request_org_id</w:t>
        <w:br/>
        <w:t xml:space="preserve">   AND bc.item_bom_id(+) = b.item_bom_id</w:t>
        <w:br/>
        <w:t xml:space="preserve"> GROUP BY ro.ebs_organization_id, b.item_bom_id, b.bom_status,</w:t>
        <w:br/>
        <w:t xml:space="preserve">          b.ebs_bill_sequence_id</w:t>
        <w:br/>
        <w:t xml:space="preserve"> ORDER BY ro.ebs_organization_id, b.item_bom_id;</w:t>
      </w:r>
    </w:p>
    <w:p>
      <w:pPr>
        <w:pStyle w:val="Heading2"/>
      </w:pPr>
      <w:r>
        <w:t>Q08 — Approval rows and counts</w:t>
      </w:r>
    </w:p>
    <w:p>
      <w:pPr>
        <w:keepLines/>
        <w:spacing w:after="180"/>
        <w:ind w:left="259"/>
      </w:pPr>
      <w:r>
        <w:rPr>
          <w:rFonts w:ascii="Consolas" w:hAnsi="Consolas"/>
          <w:sz w:val="15"/>
        </w:rPr>
        <w:t>SELECT ap.item_request_id, ap.approval_type, ap.approval_status,</w:t>
        <w:br/>
        <w:t xml:space="preserve">       ap.assigned_to, ap.decision_by, ap.decision_date</w:t>
        <w:br/>
        <w:t xml:space="preserve">  FROM ops.adre_inv_item_approval ap</w:t>
        <w:br/>
        <w:t xml:space="preserve"> WHERE ap.item_request_id = :request_id</w:t>
        <w:br/>
        <w:t xml:space="preserve"> ORDER BY ap.approval_type;</w:t>
      </w:r>
    </w:p>
    <w:p>
      <w:pPr>
        <w:keepLines/>
        <w:spacing w:after="180"/>
        <w:ind w:left="259"/>
      </w:pPr>
      <w:r>
        <w:rPr>
          <w:rFonts w:ascii="Consolas" w:hAnsi="Consolas"/>
          <w:sz w:val="15"/>
        </w:rPr>
        <w:t>SELECT ap.approval_type, ap.approval_status,</w:t>
        <w:br/>
        <w:t xml:space="preserve">       COUNT(DISTINCT ap.item_request_id) request_count</w:t>
        <w:br/>
        <w:t xml:space="preserve">  FROM ops.adre_inv_item_approval ap</w:t>
        <w:br/>
        <w:t xml:space="preserve"> GROUP BY ap.approval_type, ap.approval_status</w:t>
        <w:br/>
        <w:t xml:space="preserve"> ORDER BY ap.approval_type, ap.approval_status;</w:t>
      </w:r>
    </w:p>
    <w:p>
      <w:pPr>
        <w:pStyle w:val="Heading2"/>
      </w:pPr>
      <w:r>
        <w:t>Q09 — Request and API log</w:t>
      </w:r>
    </w:p>
    <w:p>
      <w:pPr>
        <w:keepLines/>
        <w:spacing w:after="180"/>
        <w:ind w:left="259"/>
      </w:pPr>
      <w:r>
        <w:rPr>
          <w:rFonts w:ascii="Consolas" w:hAnsi="Consolas"/>
          <w:sz w:val="15"/>
        </w:rPr>
        <w:t>SELECT req.item_request_id, req.request_status, req.api_return_status,</w:t>
        <w:br/>
        <w:t xml:space="preserve">       req.api_processed_date,</w:t>
        <w:br/>
        <w:t xml:space="preserve">       DBMS_LOB.SUBSTR(req.api_message_text, 1000, 1) message_text</w:t>
        <w:br/>
        <w:t xml:space="preserve">  FROM ops.adre_inv_item_request req</w:t>
        <w:br/>
        <w:t xml:space="preserve"> WHERE req.item_request_id = :request_id;</w:t>
      </w:r>
    </w:p>
    <w:p>
      <w:pPr>
        <w:keepLines/>
        <w:spacing w:after="180"/>
        <w:ind w:left="259"/>
      </w:pPr>
      <w:r>
        <w:rPr>
          <w:rFonts w:ascii="Consolas" w:hAnsi="Consolas"/>
          <w:sz w:val="15"/>
        </w:rPr>
        <w:t>SELECT l.item_api_log_id, l.execution_id, l.request_org_id,</w:t>
        <w:br/>
        <w:t xml:space="preserve">       l.process_name, l.process_status, l.api_return_status,</w:t>
        <w:br/>
        <w:t xml:space="preserve">       l.execution_start_date, l.execution_end_date,</w:t>
        <w:br/>
        <w:t xml:space="preserve">       DBMS_LOB.SUBSTR(l.message_text, 1000, 1) message_text</w:t>
        <w:br/>
        <w:t xml:space="preserve">  FROM ops.adre_inv_item_api_log l</w:t>
        <w:br/>
        <w:t xml:space="preserve"> WHERE l.item_request_id = :request_id</w:t>
        <w:br/>
        <w:t xml:space="preserve"> ORDER BY l.item_api_log_id;</w:t>
      </w:r>
    </w:p>
    <w:p>
      <w:pPr>
        <w:pStyle w:val="Heading2"/>
      </w:pPr>
      <w:r>
        <w:t>Q10 — EBS item identity/segments and preflight</w:t>
      </w:r>
    </w:p>
    <w:p>
      <w:pPr>
        <w:keepLines/>
        <w:spacing w:after="180"/>
        <w:ind w:left="259"/>
      </w:pPr>
      <w:r>
        <w:rPr>
          <w:rFonts w:ascii="Consolas" w:hAnsi="Consolas"/>
          <w:sz w:val="15"/>
        </w:rPr>
        <w:t>SELECT ro.ebs_organization_id, mp.organization_code,</w:t>
        <w:br/>
        <w:t xml:space="preserve">       ro.ebs_inventory_item_id, msi.inventory_item_id,</w:t>
        <w:br/>
        <w:t xml:space="preserve">       msi.segment1, msi.segment2, msi.segment3,</w:t>
        <w:br/>
        <w:t xml:space="preserve">       msi.description, msi.primary_uom_code,</w:t>
        <w:br/>
        <w:t xml:space="preserve">       msi.inventory_item_status_code</w:t>
        <w:br/>
        <w:t xml:space="preserve">  FROM ops.adre_inv_item_request_org ro,</w:t>
        <w:br/>
        <w:t xml:space="preserve">       apps.mtl_parameters mp,</w:t>
        <w:br/>
        <w:t xml:space="preserve">       apps.mtl_system_items_b msi</w:t>
        <w:br/>
        <w:t xml:space="preserve"> WHERE ro.item_request_id = :request_id</w:t>
        <w:br/>
        <w:t xml:space="preserve">   AND mp.organization_id = ro.ebs_organization_id</w:t>
        <w:br/>
        <w:t xml:space="preserve">   AND msi.organization_id(+) = ro.ebs_organization_id</w:t>
        <w:br/>
        <w:t xml:space="preserve">   AND msi.inventory_item_id(+) = ro.ebs_inventory_item_id</w:t>
        <w:br/>
        <w:t xml:space="preserve"> ORDER BY ro.ebs_organization_id;</w:t>
      </w:r>
    </w:p>
    <w:p>
      <w:r>
        <w:t xml:space="preserve">Before an EBS send, also search the reserved number as separate segments using </w:t>
      </w:r>
      <w:r>
        <w:rPr>
          <w:rFonts w:ascii="Consolas" w:hAnsi="Consolas"/>
          <w:sz w:val="17"/>
        </w:rPr>
        <w:t>:seg1</w:t>
      </w:r>
      <w:r>
        <w:t xml:space="preserve">, </w:t>
      </w:r>
      <w:r>
        <w:rPr>
          <w:rFonts w:ascii="Consolas" w:hAnsi="Consolas"/>
          <w:sz w:val="17"/>
        </w:rPr>
        <w:t>:seg2</w:t>
      </w:r>
      <w:r>
        <w:t xml:space="preserve">, </w:t>
      </w:r>
      <w:r>
        <w:rPr>
          <w:rFonts w:ascii="Consolas" w:hAnsi="Consolas"/>
          <w:sz w:val="17"/>
        </w:rPr>
        <w:t>:seg3</w:t>
      </w:r>
      <w:r>
        <w:t xml:space="preserve"> derived from the approved item number; zero rows are required for a new item:</w:t>
      </w:r>
    </w:p>
    <w:p>
      <w:pPr>
        <w:keepLines/>
        <w:spacing w:after="180"/>
        <w:ind w:left="259"/>
      </w:pPr>
      <w:r>
        <w:rPr>
          <w:rFonts w:ascii="Consolas" w:hAnsi="Consolas"/>
          <w:sz w:val="15"/>
        </w:rPr>
        <w:t>SELECT msi.organization_id, msi.inventory_item_id,</w:t>
        <w:br/>
        <w:t xml:space="preserve">       msi.segment1, msi.segment2, msi.segment3</w:t>
        <w:br/>
        <w:t xml:space="preserve">  FROM apps.mtl_system_items_b msi</w:t>
        <w:br/>
        <w:t xml:space="preserve"> WHERE UPPER(TRIM(msi.segment1)) = UPPER(TRIM(:seg1))</w:t>
        <w:br/>
        <w:t xml:space="preserve">   AND NVL(UPPER(TRIM(msi.segment2)), '~') = NVL(UPPER(TRIM(:seg2)), '~')</w:t>
        <w:br/>
        <w:t xml:space="preserve">   AND NVL(UPPER(TRIM(msi.segment3)), '~') = NVL(UPPER(TRIM(:seg3)), '~');</w:t>
      </w:r>
    </w:p>
    <w:p>
      <w:pPr>
        <w:pStyle w:val="Heading2"/>
      </w:pPr>
      <w:r>
        <w:t>Q11 — EBS category assignments</w:t>
      </w:r>
    </w:p>
    <w:p>
      <w:pPr>
        <w:keepLines/>
        <w:spacing w:after="180"/>
        <w:ind w:left="259"/>
      </w:pPr>
      <w:r>
        <w:rPr>
          <w:rFonts w:ascii="Consolas" w:hAnsi="Consolas"/>
          <w:sz w:val="15"/>
        </w:rPr>
        <w:t>SELECT ro.ebs_organization_id, ro.ebs_inventory_item_id,</w:t>
        <w:br/>
        <w:t xml:space="preserve">       st.ebs_category_set_id, st.ebs_category_id staged_category_id,</w:t>
        <w:br/>
        <w:t xml:space="preserve">       mic.category_id ebs_category_id</w:t>
        <w:br/>
        <w:t xml:space="preserve">  FROM ops.adre_inv_item_request_org ro,</w:t>
        <w:br/>
        <w:t xml:space="preserve">       ops.adre_inv_item_category st,</w:t>
        <w:br/>
        <w:t xml:space="preserve">       apps.mtl_item_categories mic</w:t>
        <w:br/>
        <w:t xml:space="preserve"> WHERE ro.item_request_id = :request_id</w:t>
        <w:br/>
        <w:t xml:space="preserve">   AND st.request_org_id = ro.request_org_id</w:t>
        <w:br/>
        <w:t xml:space="preserve">   AND mic.organization_id(+) = ro.ebs_organization_id</w:t>
        <w:br/>
        <w:t xml:space="preserve">   AND mic.inventory_item_id(+) = ro.ebs_inventory_item_id</w:t>
        <w:br/>
        <w:t xml:space="preserve">   AND mic.category_set_id(+) = st.ebs_category_set_id</w:t>
        <w:br/>
        <w:t xml:space="preserve"> ORDER BY ro.ebs_organization_id, st.ebs_category_set_id;</w:t>
      </w:r>
    </w:p>
    <w:p>
      <w:r>
        <w:t xml:space="preserve">For attribute-by-attribute EBS verification, Joel/Caron must supply the signed mapping of each </w:t>
      </w:r>
      <w:r>
        <w:rPr>
          <w:rFonts w:ascii="Consolas" w:hAnsi="Consolas"/>
          <w:sz w:val="17"/>
        </w:rPr>
        <w:t>ATTRIBUTE_CODE</w:t>
      </w:r>
      <w:r>
        <w:t xml:space="preserve"> to its EBS table/column or DFF and the current V36 behavior. Do not treat </w:t>
      </w:r>
      <w:r>
        <w:rPr>
          <w:rFonts w:ascii="Consolas" w:hAnsi="Consolas"/>
          <w:sz w:val="17"/>
        </w:rPr>
        <w:t>Q10</w:t>
      </w:r>
      <w:r>
        <w:t xml:space="preserve"> (basic fields) as proof that all attributes were transmitted.</w:t>
      </w:r>
    </w:p>
    <w:p>
      <w:pPr>
        <w:pStyle w:val="Heading1"/>
      </w:pPr>
      <w:r>
        <w:t>Execution record</w:t>
      </w:r>
    </w:p>
    <w:p>
      <w:r>
        <w:t xml:space="preserve">For each case write: </w:t>
      </w:r>
      <w:r>
        <w:rPr>
          <w:rFonts w:ascii="Consolas" w:hAnsi="Consolas"/>
          <w:sz w:val="17"/>
        </w:rPr>
        <w:t>ID | date/time | user | request_id/item_number | configuration version | actual UI | SQL evidence | screenshots | PASS/FAIL/BLOCKED/N/A | defect/decision owner</w:t>
      </w:r>
      <w:r>
        <w:t>. Do not advance to the next case until the user reports the result of the current case.</w:t>
      </w:r>
    </w:p>
    <w:p>
      <w:r>
        <w:t>English execution: record the outcome of one case and wait before starting the next.</w:t>
      </w:r>
    </w:p>
    <w:sectPr w:rsidR="00FC693F" w:rsidRPr="0006063C"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9" w:lineRule="auto"/>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before="0"/>
      <w:contextualSpacing/>
    </w:pPr>
    <w:rPr>
      <w:rFonts w:asciiTheme="majorHAnsi" w:eastAsiaTheme="majorEastAsia" w:hAnsiTheme="majorHAnsi" w:cstheme="majorBidi" w:ascii="Aptos" w:hAnsi="Aptos"/>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