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Recovering Option-Implied Risk-Neutral Densities from SPX Prices</w:t>
      </w:r>
    </w:p>
    <w:p>
      <w:pPr>
        <w:pStyle w:val="CoverSubtitle"/>
      </w:pPr>
      <w:r>
        <w:t xml:space="preserve">Constrained estimation, synthetic validation and empirical comparisons</w:t>
      </w:r>
    </w:p>
    <w:p>
      <w:pPr>
        <w:pStyle w:val="CoverDetail"/>
      </w:pPr>
      <w:r>
        <w:t xml:space="preserve">Joel Cerraga</w:t>
      </w:r>
    </w:p>
    <w:p>
      <w:pPr>
        <w:pStyle w:val="CoverDetail"/>
      </w:pPr>
      <w:r>
        <w:t xml:space="preserve">Quantitative research project</w:t>
      </w:r>
    </w:p>
    <w:p>
      <w:pPr>
        <w:pStyle w:val="CoverDetail"/>
      </w:pPr>
      <w:r>
        <w:t xml:space="preserve">September 2026</w:t>
      </w:r>
    </w:p>
    <w:p>
      <w:pPr>
        <w:pStyle w:val="CoverDetail"/>
      </w:pPr>
      <w:r>
        <w:t xml:space="preserve">Final assembled paper · Version 1.0</w:t>
      </w:r>
    </w:p>
    <w:p>
      <w:pPr>
        <w:sectPr>
          <w:footerReference w:type="default" r:id="rId9"/>
          <w:headerReference w:type="default" r:id="rId10"/>
          <w:type w:val="nextPage"/>
          <w:pgSz w:w="11906" w:h="16838" w:orient="portrait"/>
          <w:pgMar w:top="1008" w:bottom="1008" w:left="1152" w:right="1152" w:header="432" w:footer="432" w:gutter="0"/>
          <w:pgNumType w:fmt="decimal"/>
          <w:titlePg/>
        </w:sectPr>
        <w:spacing w:before="0" w:after="0" w:line="1" w:lineRule="exact"/>
      </w:pPr>
      <w:r>
        <w:rPr>
          <w:sz w:val="2"/>
        </w:rPr>
      </w:r>
    </w:p>
    <w:bookmarkStart w:id="20" w:name="abstract"/>
    <w:p>
      <w:bookmarkStart w:id="501" w:name="front_abstract"/>
      <w:pPr>
        <w:pStyle w:val="FrontHeading"/>
        <w:pageBreakBefore w:val="0"/>
      </w:pPr>
      <w:r>
        <w:t xml:space="preserve">Abstract</w:t>
      </w:r>
      <w:bookmarkEnd w:id="501"/>
    </w:p>
    <w:p>
      <w:pPr>
        <w:pStyle w:val="FirstParagraph"/>
      </w:pPr>
      <w:r>
        <w:t xml:space="preserve">This project investigates how European option prices can be used to recover risk-neutral terminal distributions, and what numerical consistency and price agreement establish about the recovered density. A controlled lognormal experiment first verifies call-price differentiation and demonstrates its sensitivity to quote errors. A finite histogram estimator then prices bin probabilities exactly, imposes non-negativity, unit mass and a forward-consistent mean, and links maturities through normalised call inequalities. Analytical within-bin checks identify calendar violations that boundary-only checks miss.</w:t>
      </w:r>
    </w:p>
    <w:p>
      <w:pPr>
        <w:pStyle w:val="BodyText"/>
      </w:pPr>
      <w:r>
        <w:t xml:space="preserve">Synthetic evaluation examines support, resolution, smoothing, strike coverage and supplied-forward sensitivity using single-lognormal and two-component mixture benchmarks. Repeated experiments separate noise effects from missing strike information and distinguish Monte Carlo precision from density uncertainty. The results show that similar price errors can accompany materially different density and tail errors, and that selecting smoothing for interior price prediction need not improve density recovery.</w:t>
      </w:r>
    </w:p>
    <w:p>
      <w:pPr>
        <w:pStyle w:val="BodyText"/>
      </w:pPr>
      <w:r>
        <w:t xml:space="preserve">The empirical application uses documented exchange bid and offer observations at three snapshots across two dates, with three SPXW expiries per snapshot. Discount factors and forwards are inferred from matched call–put pairs. A minimum-curvature estimator satisfies all 5,518 retained option intervals across the primary fits at the stated numerical tolerance. One held-out validation fold remains numerically unresolved. Linear programmes quantify the range of event probabilities compatible with the same finite density family, while dated comparisons distinguish fixed expiries from an explicitly assumed common-sixty-day mixture.</w:t>
      </w:r>
    </w:p>
    <w:p>
      <w:pPr>
        <w:pStyle w:val="BodyText"/>
      </w:pPr>
      <w:r>
        <w:t xml:space="preserve">The evidence supports a conditional conclusion: probability validity, calendar consistency and in-sample price compatibility are necessary checks, but do not identify a unique empirical density or validate extrapolated tail probabilities. The work provides a reproducible estimation process, retains failed numerical attempts and separates imposed restrictions from measured recovery accuracy. The empirical findings remain conditional on the small sample, inferred carry, finite support and stated interpolation assumptions.</w:t>
      </w:r>
    </w:p>
    <w:bookmarkEnd w:id="20"/>
    <w:bookmarkStart w:id="21" w:name="table-of-contents"/>
    <w:p>
      <w:bookmarkStart w:id="502" w:name="front_table_of_contents"/>
      <w:pPr>
        <w:pStyle w:val="FrontHeading"/>
      </w:pPr>
      <w:r>
        <w:t xml:space="preserve">Table of contents</w:t>
      </w:r>
      <w:bookmarkEnd w:id="502"/>
    </w:p>
    <w:p>
      <w:pPr>
        <w:pStyle w:val="NavEntry"/>
        <w:tabs>
          <w:tab w:pos="9576" w:val="right" w:leader="dot"/>
        </w:tabs>
        <w:ind w:left="0"/>
      </w:pPr>
      <w:hyperlink w:anchor="front_abstract" w:history="1">
        <w:r>
          <w:rPr>
            <w:color w:val="000000"/>
          </w:rPr>
          <w:t>Abstract</w:t>
        </w:r>
        <w:r>
          <w:rPr>
            <w:color w:val="000000"/>
          </w:rPr>
          <w:tab/>
        </w:r>
        <w:r>
          <w:rPr>
            <w:color w:val="000000"/>
          </w:rPr>
          <w:t>i</w:t>
        </w:r>
      </w:hyperlink>
    </w:p>
    <w:p>
      <w:pPr>
        <w:pStyle w:val="NavEntry"/>
        <w:tabs>
          <w:tab w:pos="9576" w:val="right" w:leader="dot"/>
        </w:tabs>
        <w:ind w:left="0"/>
      </w:pPr>
      <w:hyperlink w:anchor="front_list_of_figures" w:history="1">
        <w:r>
          <w:rPr>
            <w:color w:val="000000"/>
          </w:rPr>
          <w:t>List of figures</w:t>
        </w:r>
        <w:r>
          <w:rPr>
            <w:color w:val="000000"/>
          </w:rPr>
          <w:tab/>
        </w:r>
        <w:r>
          <w:rPr>
            <w:color w:val="000000"/>
          </w:rPr>
          <w:t>iv</w:t>
        </w:r>
      </w:hyperlink>
    </w:p>
    <w:p>
      <w:pPr>
        <w:pStyle w:val="NavEntry"/>
        <w:tabs>
          <w:tab w:pos="9576" w:val="right" w:leader="dot"/>
        </w:tabs>
        <w:ind w:left="0"/>
      </w:pPr>
      <w:hyperlink w:anchor="front_list_of_tables" w:history="1">
        <w:r>
          <w:rPr>
            <w:color w:val="000000"/>
          </w:rPr>
          <w:t>List of tables</w:t>
        </w:r>
        <w:r>
          <w:rPr>
            <w:color w:val="000000"/>
          </w:rPr>
          <w:tab/>
        </w:r>
        <w:r>
          <w:rPr>
            <w:color w:val="000000"/>
          </w:rPr>
          <w:t>v</w:t>
        </w:r>
      </w:hyperlink>
    </w:p>
    <w:p>
      <w:pPr>
        <w:pStyle w:val="NavEntry"/>
        <w:tabs>
          <w:tab w:pos="9576" w:val="right" w:leader="dot"/>
        </w:tabs>
        <w:ind w:left="0"/>
      </w:pPr>
      <w:hyperlink w:anchor="front_list_of_equations" w:history="1">
        <w:r>
          <w:rPr>
            <w:color w:val="000000"/>
          </w:rPr>
          <w:t>List of equations</w:t>
        </w:r>
        <w:r>
          <w:rPr>
            <w:color w:val="000000"/>
          </w:rPr>
          <w:tab/>
        </w:r>
        <w:r>
          <w:rPr>
            <w:color w:val="000000"/>
          </w:rPr>
          <w:t>vi</w:t>
        </w:r>
      </w:hyperlink>
    </w:p>
    <w:p>
      <w:pPr>
        <w:pStyle w:val="NavEntry"/>
        <w:tabs>
          <w:tab w:pos="9576" w:val="right" w:leader="dot"/>
        </w:tabs>
        <w:ind w:left="0"/>
      </w:pPr>
      <w:hyperlink w:anchor="front_list_of_abbreviations" w:history="1">
        <w:r>
          <w:rPr>
            <w:color w:val="000000"/>
          </w:rPr>
          <w:t>List of abbreviations</w:t>
        </w:r>
        <w:r>
          <w:rPr>
            <w:color w:val="000000"/>
          </w:rPr>
          <w:tab/>
        </w:r>
        <w:r>
          <w:rPr>
            <w:color w:val="000000"/>
          </w:rPr>
          <w:t>viii</w:t>
        </w:r>
      </w:hyperlink>
    </w:p>
    <w:p>
      <w:pPr>
        <w:pStyle w:val="NavEntry"/>
        <w:tabs>
          <w:tab w:pos="9576" w:val="right" w:leader="dot"/>
        </w:tabs>
        <w:ind w:left="0"/>
      </w:pPr>
      <w:hyperlink w:anchor="front_list_of_mathematical_symbols" w:history="1">
        <w:r>
          <w:rPr>
            <w:color w:val="000000"/>
          </w:rPr>
          <w:t>List of mathematical symbols</w:t>
        </w:r>
        <w:r>
          <w:rPr>
            <w:color w:val="000000"/>
          </w:rPr>
          <w:tab/>
        </w:r>
        <w:r>
          <w:rPr>
            <w:color w:val="000000"/>
          </w:rPr>
          <w:t>x</w:t>
        </w:r>
      </w:hyperlink>
    </w:p>
    <w:p>
      <w:pPr>
        <w:pStyle w:val="NavEntry"/>
        <w:tabs>
          <w:tab w:pos="9576" w:val="right" w:leader="dot"/>
        </w:tabs>
        <w:ind w:left="0"/>
      </w:pPr>
      <w:hyperlink w:anchor="h1" w:history="1">
        <w:r>
          <w:rPr>
            <w:color w:val="000000"/>
            <w:b/>
          </w:rPr>
          <w:t>1 Introduction</w:t>
        </w:r>
        <w:r>
          <w:rPr>
            <w:color w:val="000000"/>
            <w:b/>
          </w:rPr>
          <w:tab/>
        </w:r>
        <w:r>
          <w:rPr>
            <w:color w:val="000000"/>
            <w:b/>
          </w:rPr>
          <w:t>1</w:t>
        </w:r>
      </w:hyperlink>
    </w:p>
    <w:p>
      <w:pPr>
        <w:pStyle w:val="NavEntry"/>
        <w:tabs>
          <w:tab w:pos="9317" w:val="right" w:leader="dot"/>
        </w:tabs>
        <w:ind w:left="259"/>
      </w:pPr>
      <w:hyperlink w:anchor="h2" w:history="1">
        <w:r>
          <w:rPr>
            <w:color w:val="000000"/>
          </w:rPr>
          <w:t>1.1 Research background</w:t>
        </w:r>
        <w:r>
          <w:rPr>
            <w:color w:val="000000"/>
          </w:rPr>
          <w:tab/>
        </w:r>
        <w:r>
          <w:rPr>
            <w:color w:val="000000"/>
          </w:rPr>
          <w:t>1</w:t>
        </w:r>
      </w:hyperlink>
    </w:p>
    <w:p>
      <w:pPr>
        <w:pStyle w:val="NavEntry"/>
        <w:tabs>
          <w:tab w:pos="9317" w:val="right" w:leader="dot"/>
        </w:tabs>
        <w:ind w:left="259"/>
      </w:pPr>
      <w:hyperlink w:anchor="h3" w:history="1">
        <w:r>
          <w:rPr>
            <w:color w:val="000000"/>
          </w:rPr>
          <w:t>1.2 Aim and objectives</w:t>
        </w:r>
        <w:r>
          <w:rPr>
            <w:color w:val="000000"/>
          </w:rPr>
          <w:tab/>
        </w:r>
        <w:r>
          <w:rPr>
            <w:color w:val="000000"/>
          </w:rPr>
          <w:t>1</w:t>
        </w:r>
      </w:hyperlink>
    </w:p>
    <w:p>
      <w:pPr>
        <w:pStyle w:val="NavEntry"/>
        <w:tabs>
          <w:tab w:pos="9317" w:val="right" w:leader="dot"/>
        </w:tabs>
        <w:ind w:left="259"/>
      </w:pPr>
      <w:hyperlink w:anchor="h4" w:history="1">
        <w:r>
          <w:rPr>
            <w:color w:val="000000"/>
          </w:rPr>
          <w:t>1.3 Scope and contribution</w:t>
        </w:r>
        <w:r>
          <w:rPr>
            <w:color w:val="000000"/>
          </w:rPr>
          <w:tab/>
        </w:r>
        <w:r>
          <w:rPr>
            <w:color w:val="000000"/>
          </w:rPr>
          <w:t>2</w:t>
        </w:r>
      </w:hyperlink>
    </w:p>
    <w:p>
      <w:pPr>
        <w:pStyle w:val="NavEntry"/>
        <w:tabs>
          <w:tab w:pos="9317" w:val="right" w:leader="dot"/>
        </w:tabs>
        <w:ind w:left="259"/>
      </w:pPr>
      <w:hyperlink w:anchor="h5" w:history="1">
        <w:r>
          <w:rPr>
            <w:color w:val="000000"/>
          </w:rPr>
          <w:t>1.4 Organisation of the paper</w:t>
        </w:r>
        <w:r>
          <w:rPr>
            <w:color w:val="000000"/>
          </w:rPr>
          <w:tab/>
        </w:r>
        <w:r>
          <w:rPr>
            <w:color w:val="000000"/>
          </w:rPr>
          <w:t>2</w:t>
        </w:r>
      </w:hyperlink>
    </w:p>
    <w:p>
      <w:pPr>
        <w:pStyle w:val="NavEntry"/>
        <w:tabs>
          <w:tab w:pos="9576" w:val="right" w:leader="dot"/>
        </w:tabs>
        <w:ind w:left="0"/>
      </w:pPr>
      <w:hyperlink w:anchor="h6" w:history="1">
        <w:r>
          <w:rPr>
            <w:color w:val="000000"/>
            <w:b/>
          </w:rPr>
          <w:t>2 Valuation relationships and numerical recovery</w:t>
        </w:r>
        <w:r>
          <w:rPr>
            <w:color w:val="000000"/>
            <w:b/>
          </w:rPr>
          <w:tab/>
        </w:r>
        <w:r>
          <w:rPr>
            <w:color w:val="000000"/>
            <w:b/>
          </w:rPr>
          <w:t>3</w:t>
        </w:r>
      </w:hyperlink>
    </w:p>
    <w:p>
      <w:pPr>
        <w:pStyle w:val="NavEntry"/>
        <w:tabs>
          <w:tab w:pos="9317" w:val="right" w:leader="dot"/>
        </w:tabs>
        <w:ind w:left="259"/>
      </w:pPr>
      <w:hyperlink w:anchor="h7" w:history="1">
        <w:r>
          <w:rPr>
            <w:color w:val="000000"/>
          </w:rPr>
          <w:t>2.1 From European calls to a risk-neutral density</w:t>
        </w:r>
        <w:r>
          <w:rPr>
            <w:color w:val="000000"/>
          </w:rPr>
          <w:tab/>
        </w:r>
        <w:r>
          <w:rPr>
            <w:color w:val="000000"/>
          </w:rPr>
          <w:t>3</w:t>
        </w:r>
      </w:hyperlink>
    </w:p>
    <w:p>
      <w:pPr>
        <w:pStyle w:val="NavEntry"/>
        <w:tabs>
          <w:tab w:pos="9317" w:val="right" w:leader="dot"/>
        </w:tabs>
        <w:ind w:left="259"/>
      </w:pPr>
      <w:hyperlink w:anchor="h8" w:history="1">
        <w:r>
          <w:rPr>
            <w:color w:val="000000"/>
          </w:rPr>
          <w:t>2.2 Controlled benchmark and finite differences</w:t>
        </w:r>
        <w:r>
          <w:rPr>
            <w:color w:val="000000"/>
          </w:rPr>
          <w:tab/>
        </w:r>
        <w:r>
          <w:rPr>
            <w:color w:val="000000"/>
          </w:rPr>
          <w:t>3</w:t>
        </w:r>
      </w:hyperlink>
    </w:p>
    <w:p>
      <w:pPr>
        <w:pStyle w:val="NavEntry"/>
        <w:tabs>
          <w:tab w:pos="9317" w:val="right" w:leader="dot"/>
        </w:tabs>
        <w:ind w:left="259"/>
      </w:pPr>
      <w:hyperlink w:anchor="h9" w:history="1">
        <w:r>
          <w:rPr>
            <w:color w:val="000000"/>
          </w:rPr>
          <w:t>2.3 Convergence, cancellation and noisy observations</w:t>
        </w:r>
        <w:r>
          <w:rPr>
            <w:color w:val="000000"/>
          </w:rPr>
          <w:tab/>
        </w:r>
        <w:r>
          <w:rPr>
            <w:color w:val="000000"/>
          </w:rPr>
          <w:t>5</w:t>
        </w:r>
      </w:hyperlink>
    </w:p>
    <w:p>
      <w:pPr>
        <w:pStyle w:val="NavEntry"/>
        <w:tabs>
          <w:tab w:pos="9576" w:val="right" w:leader="dot"/>
        </w:tabs>
        <w:ind w:left="0"/>
      </w:pPr>
      <w:hyperlink w:anchor="h10" w:history="1">
        <w:r>
          <w:rPr>
            <w:color w:val="000000"/>
            <w:b/>
          </w:rPr>
          <w:t>3 Quote assessment and constrained estimation</w:t>
        </w:r>
        <w:r>
          <w:rPr>
            <w:color w:val="000000"/>
            <w:b/>
          </w:rPr>
          <w:tab/>
        </w:r>
        <w:r>
          <w:rPr>
            <w:color w:val="000000"/>
            <w:b/>
          </w:rPr>
          <w:t>7</w:t>
        </w:r>
      </w:hyperlink>
    </w:p>
    <w:p>
      <w:pPr>
        <w:pStyle w:val="NavEntry"/>
        <w:tabs>
          <w:tab w:pos="9317" w:val="right" w:leader="dot"/>
        </w:tabs>
        <w:ind w:left="259"/>
      </w:pPr>
      <w:hyperlink w:anchor="h11" w:history="1">
        <w:r>
          <w:rPr>
            <w:color w:val="000000"/>
          </w:rPr>
          <w:t>3.1 Assessing observations before calibration</w:t>
        </w:r>
        <w:r>
          <w:rPr>
            <w:color w:val="000000"/>
          </w:rPr>
          <w:tab/>
        </w:r>
        <w:r>
          <w:rPr>
            <w:color w:val="000000"/>
          </w:rPr>
          <w:t>7</w:t>
        </w:r>
      </w:hyperlink>
    </w:p>
    <w:p>
      <w:pPr>
        <w:pStyle w:val="NavEntry"/>
        <w:tabs>
          <w:tab w:pos="9317" w:val="right" w:leader="dot"/>
        </w:tabs>
        <w:ind w:left="259"/>
      </w:pPr>
      <w:hyperlink w:anchor="h12" w:history="1">
        <w:r>
          <w:rPr>
            <w:color w:val="000000"/>
          </w:rPr>
          <w:t>3.2 Representing a valid terminal distribution</w:t>
        </w:r>
        <w:r>
          <w:rPr>
            <w:color w:val="000000"/>
          </w:rPr>
          <w:tab/>
        </w:r>
        <w:r>
          <w:rPr>
            <w:color w:val="000000"/>
          </w:rPr>
          <w:t>11</w:t>
        </w:r>
      </w:hyperlink>
    </w:p>
    <w:p>
      <w:pPr>
        <w:pStyle w:val="NavEntry"/>
        <w:tabs>
          <w:tab w:pos="9317" w:val="right" w:leader="dot"/>
        </w:tabs>
        <w:ind w:left="259"/>
      </w:pPr>
      <w:hyperlink w:anchor="h13" w:history="1">
        <w:r>
          <w:rPr>
            <w:color w:val="000000"/>
          </w:rPr>
          <w:t>3.3 Fitting noisy calls with a smoothness penalty</w:t>
        </w:r>
        <w:r>
          <w:rPr>
            <w:color w:val="000000"/>
          </w:rPr>
          <w:tab/>
        </w:r>
        <w:r>
          <w:rPr>
            <w:color w:val="000000"/>
          </w:rPr>
          <w:t>12</w:t>
        </w:r>
      </w:hyperlink>
    </w:p>
    <w:p>
      <w:pPr>
        <w:pStyle w:val="NavEntry"/>
        <w:tabs>
          <w:tab w:pos="9317" w:val="right" w:leader="dot"/>
        </w:tabs>
        <w:ind w:left="259"/>
      </w:pPr>
      <w:hyperlink w:anchor="h14" w:history="1">
        <w:r>
          <w:rPr>
            <w:color w:val="000000"/>
          </w:rPr>
          <w:t>3.4 Single-maturity validation</w:t>
        </w:r>
        <w:r>
          <w:rPr>
            <w:color w:val="000000"/>
          </w:rPr>
          <w:tab/>
        </w:r>
        <w:r>
          <w:rPr>
            <w:color w:val="000000"/>
          </w:rPr>
          <w:t>12</w:t>
        </w:r>
      </w:hyperlink>
    </w:p>
    <w:p>
      <w:pPr>
        <w:pStyle w:val="NavEntry"/>
        <w:tabs>
          <w:tab w:pos="9576" w:val="right" w:leader="dot"/>
        </w:tabs>
        <w:ind w:left="0"/>
      </w:pPr>
      <w:hyperlink w:anchor="h15" w:history="1">
        <w:r>
          <w:rPr>
            <w:color w:val="000000"/>
            <w:b/>
          </w:rPr>
          <w:t>4 Consistency across maturity</w:t>
        </w:r>
        <w:r>
          <w:rPr>
            <w:color w:val="000000"/>
            <w:b/>
          </w:rPr>
          <w:tab/>
        </w:r>
        <w:r>
          <w:rPr>
            <w:color w:val="000000"/>
            <w:b/>
          </w:rPr>
          <w:t>16</w:t>
        </w:r>
      </w:hyperlink>
    </w:p>
    <w:p>
      <w:pPr>
        <w:pStyle w:val="NavEntry"/>
        <w:tabs>
          <w:tab w:pos="9317" w:val="right" w:leader="dot"/>
        </w:tabs>
        <w:ind w:left="259"/>
      </w:pPr>
      <w:hyperlink w:anchor="h16" w:history="1">
        <w:r>
          <w:rPr>
            <w:color w:val="000000"/>
          </w:rPr>
          <w:t>4.1 Valid marginal densities can form an inconsistent family</w:t>
        </w:r>
        <w:r>
          <w:rPr>
            <w:color w:val="000000"/>
          </w:rPr>
          <w:tab/>
        </w:r>
        <w:r>
          <w:rPr>
            <w:color w:val="000000"/>
          </w:rPr>
          <w:t>16</w:t>
        </w:r>
      </w:hyperlink>
    </w:p>
    <w:p>
      <w:pPr>
        <w:pStyle w:val="NavEntry"/>
        <w:tabs>
          <w:tab w:pos="9317" w:val="right" w:leader="dot"/>
        </w:tabs>
        <w:ind w:left="259"/>
      </w:pPr>
      <w:hyperlink w:anchor="h17" w:history="1">
        <w:r>
          <w:rPr>
            <w:color w:val="000000"/>
          </w:rPr>
          <w:t>4.2 A joint programme in common coordinates</w:t>
        </w:r>
        <w:r>
          <w:rPr>
            <w:color w:val="000000"/>
          </w:rPr>
          <w:tab/>
        </w:r>
        <w:r>
          <w:rPr>
            <w:color w:val="000000"/>
          </w:rPr>
          <w:t>19</w:t>
        </w:r>
      </w:hyperlink>
    </w:p>
    <w:p>
      <w:pPr>
        <w:pStyle w:val="NavEntry"/>
        <w:tabs>
          <w:tab w:pos="9317" w:val="right" w:leader="dot"/>
        </w:tabs>
        <w:ind w:left="259"/>
      </w:pPr>
      <w:hyperlink w:anchor="h18" w:history="1">
        <w:r>
          <w:rPr>
            <w:color w:val="000000"/>
          </w:rPr>
          <w:t>4.3 Checking between the constraint locations</w:t>
        </w:r>
        <w:r>
          <w:rPr>
            <w:color w:val="000000"/>
          </w:rPr>
          <w:tab/>
        </w:r>
        <w:r>
          <w:rPr>
            <w:color w:val="000000"/>
          </w:rPr>
          <w:t>20</w:t>
        </w:r>
      </w:hyperlink>
    </w:p>
    <w:p>
      <w:pPr>
        <w:pStyle w:val="NavEntry"/>
        <w:tabs>
          <w:tab w:pos="9317" w:val="right" w:leader="dot"/>
        </w:tabs>
        <w:ind w:left="259"/>
      </w:pPr>
      <w:hyperlink w:anchor="h19" w:history="1">
        <w:r>
          <w:rPr>
            <w:color w:val="000000"/>
          </w:rPr>
          <w:t>4.4 Results of joint fitting</w:t>
        </w:r>
        <w:r>
          <w:rPr>
            <w:color w:val="000000"/>
          </w:rPr>
          <w:tab/>
        </w:r>
        <w:r>
          <w:rPr>
            <w:color w:val="000000"/>
          </w:rPr>
          <w:t>20</w:t>
        </w:r>
      </w:hyperlink>
    </w:p>
    <w:p>
      <w:pPr>
        <w:pStyle w:val="NavEntry"/>
        <w:tabs>
          <w:tab w:pos="9576" w:val="right" w:leader="dot"/>
        </w:tabs>
        <w:ind w:left="0"/>
      </w:pPr>
      <w:hyperlink w:anchor="h20" w:history="1">
        <w:r>
          <w:rPr>
            <w:color w:val="000000"/>
            <w:b/>
          </w:rPr>
          <w:t>5 Robustness and repeated synthetic evaluation</w:t>
        </w:r>
        <w:r>
          <w:rPr>
            <w:color w:val="000000"/>
            <w:b/>
          </w:rPr>
          <w:tab/>
        </w:r>
        <w:r>
          <w:rPr>
            <w:color w:val="000000"/>
            <w:b/>
          </w:rPr>
          <w:t>26</w:t>
        </w:r>
      </w:hyperlink>
    </w:p>
    <w:p>
      <w:pPr>
        <w:pStyle w:val="NavEntry"/>
        <w:tabs>
          <w:tab w:pos="9317" w:val="right" w:leader="dot"/>
        </w:tabs>
        <w:ind w:left="259"/>
      </w:pPr>
      <w:hyperlink w:anchor="h21" w:history="1">
        <w:r>
          <w:rPr>
            <w:color w:val="000000"/>
          </w:rPr>
          <w:t>5.1 Extending the benchmark and making smoothing comparable</w:t>
        </w:r>
        <w:r>
          <w:rPr>
            <w:color w:val="000000"/>
          </w:rPr>
          <w:tab/>
        </w:r>
        <w:r>
          <w:rPr>
            <w:color w:val="000000"/>
          </w:rPr>
          <w:t>26</w:t>
        </w:r>
      </w:hyperlink>
    </w:p>
    <w:p>
      <w:pPr>
        <w:pStyle w:val="NavEntry"/>
        <w:tabs>
          <w:tab w:pos="9317" w:val="right" w:leader="dot"/>
        </w:tabs>
        <w:ind w:left="259"/>
      </w:pPr>
      <w:hyperlink w:anchor="h22" w:history="1">
        <w:r>
          <w:rPr>
            <w:color w:val="000000"/>
          </w:rPr>
          <w:t>5.2 Measuring density and tail errors</w:t>
        </w:r>
        <w:r>
          <w:rPr>
            <w:color w:val="000000"/>
          </w:rPr>
          <w:tab/>
        </w:r>
        <w:r>
          <w:rPr>
            <w:color w:val="000000"/>
          </w:rPr>
          <w:t>27</w:t>
        </w:r>
      </w:hyperlink>
    </w:p>
    <w:p>
      <w:pPr>
        <w:pStyle w:val="NavEntry"/>
        <w:tabs>
          <w:tab w:pos="9317" w:val="right" w:leader="dot"/>
        </w:tabs>
        <w:ind w:left="259"/>
      </w:pPr>
      <w:hyperlink w:anchor="h23" w:history="1">
        <w:r>
          <w:rPr>
            <w:color w:val="000000"/>
          </w:rPr>
          <w:t>5.3 Separating noise from missing strike information</w:t>
        </w:r>
        <w:r>
          <w:rPr>
            <w:color w:val="000000"/>
          </w:rPr>
          <w:tab/>
        </w:r>
        <w:r>
          <w:rPr>
            <w:color w:val="000000"/>
          </w:rPr>
          <w:t>34</w:t>
        </w:r>
      </w:hyperlink>
    </w:p>
    <w:p>
      <w:pPr>
        <w:pStyle w:val="NavEntry"/>
        <w:tabs>
          <w:tab w:pos="9317" w:val="right" w:leader="dot"/>
        </w:tabs>
        <w:ind w:left="259"/>
      </w:pPr>
      <w:hyperlink w:anchor="h24" w:history="1">
        <w:r>
          <w:rPr>
            <w:color w:val="000000"/>
          </w:rPr>
          <w:t>5.4 Results across repeated quote realisations</w:t>
        </w:r>
        <w:r>
          <w:rPr>
            <w:color w:val="000000"/>
          </w:rPr>
          <w:tab/>
        </w:r>
        <w:r>
          <w:rPr>
            <w:color w:val="000000"/>
          </w:rPr>
          <w:t>38</w:t>
        </w:r>
      </w:hyperlink>
    </w:p>
    <w:p>
      <w:pPr>
        <w:pStyle w:val="NavEntry"/>
        <w:tabs>
          <w:tab w:pos="9576" w:val="right" w:leader="dot"/>
        </w:tabs>
        <w:ind w:left="0"/>
      </w:pPr>
      <w:hyperlink w:anchor="h25" w:history="1">
        <w:r>
          <w:rPr>
            <w:color w:val="000000"/>
            <w:b/>
          </w:rPr>
          <w:t>6 Smoothing selection and forward sensitivity</w:t>
        </w:r>
        <w:r>
          <w:rPr>
            <w:color w:val="000000"/>
            <w:b/>
          </w:rPr>
          <w:tab/>
        </w:r>
        <w:r>
          <w:rPr>
            <w:color w:val="000000"/>
            <w:b/>
          </w:rPr>
          <w:t>45</w:t>
        </w:r>
      </w:hyperlink>
    </w:p>
    <w:p>
      <w:pPr>
        <w:pStyle w:val="NavEntry"/>
        <w:tabs>
          <w:tab w:pos="9317" w:val="right" w:leader="dot"/>
        </w:tabs>
        <w:ind w:left="259"/>
      </w:pPr>
      <w:hyperlink w:anchor="h26" w:history="1">
        <w:r>
          <w:rPr>
            <w:color w:val="000000"/>
          </w:rPr>
          <w:t>6.1 Evaluating a complete selection procedure</w:t>
        </w:r>
        <w:r>
          <w:rPr>
            <w:color w:val="000000"/>
          </w:rPr>
          <w:tab/>
        </w:r>
        <w:r>
          <w:rPr>
            <w:color w:val="000000"/>
          </w:rPr>
          <w:t>45</w:t>
        </w:r>
      </w:hyperlink>
    </w:p>
    <w:p>
      <w:pPr>
        <w:pStyle w:val="NavEntry"/>
        <w:tabs>
          <w:tab w:pos="9317" w:val="right" w:leader="dot"/>
        </w:tabs>
        <w:ind w:left="259"/>
      </w:pPr>
      <w:hyperlink w:anchor="h27" w:history="1">
        <w:r>
          <w:rPr>
            <w:color w:val="000000"/>
          </w:rPr>
          <w:t>6.2 Price selection and density recovery are different targets</w:t>
        </w:r>
        <w:r>
          <w:rPr>
            <w:color w:val="000000"/>
          </w:rPr>
          <w:tab/>
        </w:r>
        <w:r>
          <w:rPr>
            <w:color w:val="000000"/>
          </w:rPr>
          <w:t>47</w:t>
        </w:r>
      </w:hyperlink>
    </w:p>
    <w:p>
      <w:pPr>
        <w:pStyle w:val="NavEntry"/>
        <w:tabs>
          <w:tab w:pos="9317" w:val="right" w:leader="dot"/>
        </w:tabs>
        <w:ind w:left="259"/>
      </w:pPr>
      <w:hyperlink w:anchor="h28" w:history="1">
        <w:r>
          <w:rPr>
            <w:color w:val="000000"/>
          </w:rPr>
          <w:t>6.3 Perturbing the input without moving the risk event</w:t>
        </w:r>
        <w:r>
          <w:rPr>
            <w:color w:val="000000"/>
          </w:rPr>
          <w:tab/>
        </w:r>
        <w:r>
          <w:rPr>
            <w:color w:val="000000"/>
          </w:rPr>
          <w:t>50</w:t>
        </w:r>
      </w:hyperlink>
    </w:p>
    <w:p>
      <w:pPr>
        <w:pStyle w:val="NavEntry"/>
        <w:tabs>
          <w:tab w:pos="9576" w:val="right" w:leader="dot"/>
        </w:tabs>
        <w:ind w:left="0"/>
      </w:pPr>
      <w:hyperlink w:anchor="h29" w:history="1">
        <w:r>
          <w:rPr>
            <w:color w:val="000000"/>
            <w:b/>
          </w:rPr>
          <w:t>7 Empirical inputs and the first market calibration</w:t>
        </w:r>
        <w:r>
          <w:rPr>
            <w:color w:val="000000"/>
            <w:b/>
          </w:rPr>
          <w:tab/>
        </w:r>
        <w:r>
          <w:rPr>
            <w:color w:val="000000"/>
            <w:b/>
          </w:rPr>
          <w:t>55</w:t>
        </w:r>
      </w:hyperlink>
    </w:p>
    <w:p>
      <w:pPr>
        <w:pStyle w:val="NavEntry"/>
        <w:tabs>
          <w:tab w:pos="9317" w:val="right" w:leader="dot"/>
        </w:tabs>
        <w:ind w:left="259"/>
      </w:pPr>
      <w:hyperlink w:anchor="h30" w:history="1">
        <w:r>
          <w:rPr>
            <w:color w:val="000000"/>
          </w:rPr>
          <w:t>7.1 Establishing an auditable input route</w:t>
        </w:r>
        <w:r>
          <w:rPr>
            <w:color w:val="000000"/>
          </w:rPr>
          <w:tab/>
        </w:r>
        <w:r>
          <w:rPr>
            <w:color w:val="000000"/>
          </w:rPr>
          <w:t>55</w:t>
        </w:r>
      </w:hyperlink>
    </w:p>
    <w:p>
      <w:pPr>
        <w:pStyle w:val="NavEntry"/>
        <w:tabs>
          <w:tab w:pos="9317" w:val="right" w:leader="dot"/>
        </w:tabs>
        <w:ind w:left="259"/>
      </w:pPr>
      <w:hyperlink w:anchor="h31" w:history="1">
        <w:r>
          <w:rPr>
            <w:color w:val="000000"/>
          </w:rPr>
          <w:t>7.2 Conditional forwards and training-only inference</w:t>
        </w:r>
        <w:r>
          <w:rPr>
            <w:color w:val="000000"/>
          </w:rPr>
          <w:tab/>
        </w:r>
        <w:r>
          <w:rPr>
            <w:color w:val="000000"/>
          </w:rPr>
          <w:t>56</w:t>
        </w:r>
      </w:hyperlink>
    </w:p>
    <w:p>
      <w:pPr>
        <w:pStyle w:val="NavEntry"/>
        <w:tabs>
          <w:tab w:pos="9317" w:val="right" w:leader="dot"/>
        </w:tabs>
        <w:ind w:left="259"/>
      </w:pPr>
      <w:hyperlink w:anchor="h32" w:history="1">
        <w:r>
          <w:rPr>
            <w:color w:val="000000"/>
          </w:rPr>
          <w:t>7.3 Synthetic acceptance exercise</w:t>
        </w:r>
        <w:r>
          <w:rPr>
            <w:color w:val="000000"/>
          </w:rPr>
          <w:tab/>
        </w:r>
        <w:r>
          <w:rPr>
            <w:color w:val="000000"/>
          </w:rPr>
          <w:t>58</w:t>
        </w:r>
      </w:hyperlink>
    </w:p>
    <w:p>
      <w:pPr>
        <w:pStyle w:val="NavEntry"/>
        <w:tabs>
          <w:tab w:pos="9317" w:val="right" w:leader="dot"/>
        </w:tabs>
        <w:ind w:left="259"/>
      </w:pPr>
      <w:hyperlink w:anchor="h33" w:history="1">
        <w:r>
          <w:rPr>
            <w:color w:val="000000"/>
          </w:rPr>
          <w:t>7.4 The supplied market files and contract scope</w:t>
        </w:r>
        <w:r>
          <w:rPr>
            <w:color w:val="000000"/>
          </w:rPr>
          <w:tab/>
        </w:r>
        <w:r>
          <w:rPr>
            <w:color w:val="000000"/>
          </w:rPr>
          <w:t>63</w:t>
        </w:r>
      </w:hyperlink>
    </w:p>
    <w:p>
      <w:pPr>
        <w:pStyle w:val="NavEntry"/>
        <w:tabs>
          <w:tab w:pos="9317" w:val="right" w:leader="dot"/>
        </w:tabs>
        <w:ind w:left="259"/>
      </w:pPr>
      <w:hyperlink w:anchor="h34" w:history="1">
        <w:r>
          <w:rPr>
            <w:color w:val="000000"/>
          </w:rPr>
          <w:t>7.5 Inferring a quote-implied carry proxy</w:t>
        </w:r>
        <w:r>
          <w:rPr>
            <w:color w:val="000000"/>
          </w:rPr>
          <w:tab/>
        </w:r>
        <w:r>
          <w:rPr>
            <w:color w:val="000000"/>
          </w:rPr>
          <w:t>65</w:t>
        </w:r>
      </w:hyperlink>
    </w:p>
    <w:p>
      <w:pPr>
        <w:pStyle w:val="NavEntry"/>
        <w:tabs>
          <w:tab w:pos="9317" w:val="right" w:leader="dot"/>
        </w:tabs>
        <w:ind w:left="259"/>
      </w:pPr>
      <w:hyperlink w:anchor="h35" w:history="1">
        <w:r>
          <w:rPr>
            <w:color w:val="000000"/>
          </w:rPr>
          <w:t>7.6 Market fit, selection and remaining spread misses</w:t>
        </w:r>
        <w:r>
          <w:rPr>
            <w:color w:val="000000"/>
          </w:rPr>
          <w:tab/>
        </w:r>
        <w:r>
          <w:rPr>
            <w:color w:val="000000"/>
          </w:rPr>
          <w:t>68</w:t>
        </w:r>
      </w:hyperlink>
    </w:p>
    <w:p>
      <w:pPr>
        <w:pStyle w:val="NavEntry"/>
        <w:tabs>
          <w:tab w:pos="9576" w:val="right" w:leader="dot"/>
        </w:tabs>
        <w:ind w:left="0"/>
      </w:pPr>
      <w:hyperlink w:anchor="h36" w:history="1">
        <w:r>
          <w:rPr>
            <w:color w:val="000000"/>
            <w:b/>
          </w:rPr>
          <w:t>8 Original-spread compatibility and dated comparisons</w:t>
        </w:r>
        <w:r>
          <w:rPr>
            <w:color w:val="000000"/>
            <w:b/>
          </w:rPr>
          <w:tab/>
        </w:r>
        <w:r>
          <w:rPr>
            <w:color w:val="000000"/>
            <w:b/>
          </w:rPr>
          <w:t>76</w:t>
        </w:r>
      </w:hyperlink>
    </w:p>
    <w:p>
      <w:pPr>
        <w:pStyle w:val="NavEntry"/>
        <w:tabs>
          <w:tab w:pos="9317" w:val="right" w:leader="dot"/>
        </w:tabs>
        <w:ind w:left="259"/>
      </w:pPr>
      <w:hyperlink w:anchor="h37" w:history="1">
        <w:r>
          <w:rPr>
            <w:color w:val="000000"/>
          </w:rPr>
          <w:t>8.1 Defining a common empirical comparison</w:t>
        </w:r>
        <w:r>
          <w:rPr>
            <w:color w:val="000000"/>
          </w:rPr>
          <w:tab/>
        </w:r>
        <w:r>
          <w:rPr>
            <w:color w:val="000000"/>
          </w:rPr>
          <w:t>76</w:t>
        </w:r>
      </w:hyperlink>
    </w:p>
    <w:p>
      <w:pPr>
        <w:pStyle w:val="NavEntry"/>
        <w:tabs>
          <w:tab w:pos="9317" w:val="right" w:leader="dot"/>
        </w:tabs>
        <w:ind w:left="259"/>
      </w:pPr>
      <w:hyperlink w:anchor="h38" w:history="1">
        <w:r>
          <w:rPr>
            <w:color w:val="000000"/>
          </w:rPr>
          <w:t>8.2 Distinguishing grid feasibility from quote inconsistency</w:t>
        </w:r>
        <w:r>
          <w:rPr>
            <w:color w:val="000000"/>
          </w:rPr>
          <w:tab/>
        </w:r>
        <w:r>
          <w:rPr>
            <w:color w:val="000000"/>
          </w:rPr>
          <w:t>78</w:t>
        </w:r>
      </w:hyperlink>
    </w:p>
    <w:p>
      <w:pPr>
        <w:pStyle w:val="NavEntry"/>
        <w:tabs>
          <w:tab w:pos="9317" w:val="right" w:leader="dot"/>
        </w:tabs>
        <w:ind w:left="259"/>
      </w:pPr>
      <w:hyperlink w:anchor="h39" w:history="1">
        <w:r>
          <w:rPr>
            <w:color w:val="000000"/>
          </w:rPr>
          <w:t>8.3 Selecting a smooth member of the feasible family</w:t>
        </w:r>
        <w:r>
          <w:rPr>
            <w:color w:val="000000"/>
          </w:rPr>
          <w:tab/>
        </w:r>
        <w:r>
          <w:rPr>
            <w:color w:val="000000"/>
          </w:rPr>
          <w:t>80</w:t>
        </w:r>
      </w:hyperlink>
    </w:p>
    <w:p>
      <w:pPr>
        <w:pStyle w:val="NavEntry"/>
        <w:tabs>
          <w:tab w:pos="9317" w:val="right" w:leader="dot"/>
        </w:tabs>
        <w:ind w:left="259"/>
      </w:pPr>
      <w:hyperlink w:anchor="h40" w:history="1">
        <w:r>
          <w:rPr>
            <w:color w:val="000000"/>
          </w:rPr>
          <w:t>8.4 Held-out pairs and the unresolved fold</w:t>
        </w:r>
        <w:r>
          <w:rPr>
            <w:color w:val="000000"/>
          </w:rPr>
          <w:tab/>
        </w:r>
        <w:r>
          <w:rPr>
            <w:color w:val="000000"/>
          </w:rPr>
          <w:t>83</w:t>
        </w:r>
      </w:hyperlink>
    </w:p>
    <w:p>
      <w:pPr>
        <w:pStyle w:val="NavEntry"/>
        <w:tabs>
          <w:tab w:pos="9317" w:val="right" w:leader="dot"/>
        </w:tabs>
        <w:ind w:left="259"/>
      </w:pPr>
      <w:hyperlink w:anchor="h41" w:history="1">
        <w:r>
          <w:rPr>
            <w:color w:val="000000"/>
          </w:rPr>
          <w:t>8.5 Conditional ranges rather than a single tail answer</w:t>
        </w:r>
        <w:r>
          <w:rPr>
            <w:color w:val="000000"/>
          </w:rPr>
          <w:tab/>
        </w:r>
        <w:r>
          <w:rPr>
            <w:color w:val="000000"/>
          </w:rPr>
          <w:t>85</w:t>
        </w:r>
      </w:hyperlink>
    </w:p>
    <w:p>
      <w:pPr>
        <w:pStyle w:val="NavEntry"/>
        <w:tabs>
          <w:tab w:pos="9317" w:val="right" w:leader="dot"/>
        </w:tabs>
        <w:ind w:left="259"/>
      </w:pPr>
      <w:hyperlink w:anchor="h42" w:history="1">
        <w:r>
          <w:rPr>
            <w:color w:val="000000"/>
          </w:rPr>
          <w:t>8.6 Fixed expiries and a common elapsed horizon</w:t>
        </w:r>
        <w:r>
          <w:rPr>
            <w:color w:val="000000"/>
          </w:rPr>
          <w:tab/>
        </w:r>
        <w:r>
          <w:rPr>
            <w:color w:val="000000"/>
          </w:rPr>
          <w:t>85</w:t>
        </w:r>
      </w:hyperlink>
    </w:p>
    <w:p>
      <w:pPr>
        <w:pStyle w:val="NavEntry"/>
        <w:tabs>
          <w:tab w:pos="9576" w:val="right" w:leader="dot"/>
        </w:tabs>
        <w:ind w:left="0"/>
      </w:pPr>
      <w:hyperlink w:anchor="h43" w:history="1">
        <w:r>
          <w:rPr>
            <w:color w:val="000000"/>
            <w:b/>
          </w:rPr>
          <w:t>9 Development challenges and lessons learned</w:t>
        </w:r>
        <w:r>
          <w:rPr>
            <w:color w:val="000000"/>
            <w:b/>
          </w:rPr>
          <w:tab/>
        </w:r>
        <w:r>
          <w:rPr>
            <w:color w:val="000000"/>
            <w:b/>
          </w:rPr>
          <w:t>95</w:t>
        </w:r>
      </w:hyperlink>
    </w:p>
    <w:p>
      <w:pPr>
        <w:pStyle w:val="NavEntry"/>
        <w:tabs>
          <w:tab w:pos="9317" w:val="right" w:leader="dot"/>
        </w:tabs>
        <w:ind w:left="259"/>
      </w:pPr>
      <w:hyperlink w:anchor="h44" w:history="1">
        <w:r>
          <w:rPr>
            <w:color w:val="000000"/>
          </w:rPr>
          <w:t>9.1 Purpose of the development record</w:t>
        </w:r>
        <w:r>
          <w:rPr>
            <w:color w:val="000000"/>
          </w:rPr>
          <w:tab/>
        </w:r>
        <w:r>
          <w:rPr>
            <w:color w:val="000000"/>
          </w:rPr>
          <w:t>95</w:t>
        </w:r>
      </w:hyperlink>
    </w:p>
    <w:p>
      <w:pPr>
        <w:pStyle w:val="NavEntry"/>
        <w:tabs>
          <w:tab w:pos="9317" w:val="right" w:leader="dot"/>
        </w:tabs>
        <w:ind w:left="259"/>
      </w:pPr>
      <w:hyperlink w:anchor="h45" w:history="1">
        <w:r>
          <w:rPr>
            <w:color w:val="000000"/>
          </w:rPr>
          <w:t>9.2 Notebook 1: a smaller numerical step was not always better</w:t>
        </w:r>
        <w:r>
          <w:rPr>
            <w:color w:val="000000"/>
          </w:rPr>
          <w:tab/>
        </w:r>
        <w:r>
          <w:rPr>
            <w:color w:val="000000"/>
          </w:rPr>
          <w:t>95</w:t>
        </w:r>
      </w:hyperlink>
    </w:p>
    <w:p>
      <w:pPr>
        <w:pStyle w:val="NavEntry"/>
        <w:tabs>
          <w:tab w:pos="9317" w:val="right" w:leader="dot"/>
        </w:tabs>
        <w:ind w:left="259"/>
      </w:pPr>
      <w:hyperlink w:anchor="h46" w:history="1">
        <w:r>
          <w:rPr>
            <w:color w:val="000000"/>
          </w:rPr>
          <w:t>9.3 Notebook 2: retrieving prices did not establish usable observations</w:t>
        </w:r>
        <w:r>
          <w:rPr>
            <w:color w:val="000000"/>
          </w:rPr>
          <w:tab/>
        </w:r>
        <w:r>
          <w:rPr>
            <w:color w:val="000000"/>
          </w:rPr>
          <w:t>95</w:t>
        </w:r>
      </w:hyperlink>
    </w:p>
    <w:p>
      <w:pPr>
        <w:pStyle w:val="NavEntry"/>
        <w:tabs>
          <w:tab w:pos="9317" w:val="right" w:leader="dot"/>
        </w:tabs>
        <w:ind w:left="259"/>
      </w:pPr>
      <w:hyperlink w:anchor="h47" w:history="1">
        <w:r>
          <w:rPr>
            <w:color w:val="000000"/>
          </w:rPr>
          <w:t>9.4 Notebook 3: smoothing required an interpretable constrained object</w:t>
        </w:r>
        <w:r>
          <w:rPr>
            <w:color w:val="000000"/>
          </w:rPr>
          <w:tab/>
        </w:r>
        <w:r>
          <w:rPr>
            <w:color w:val="000000"/>
          </w:rPr>
          <w:t>95</w:t>
        </w:r>
      </w:hyperlink>
    </w:p>
    <w:p>
      <w:pPr>
        <w:pStyle w:val="NavEntry"/>
        <w:tabs>
          <w:tab w:pos="9317" w:val="right" w:leader="dot"/>
        </w:tabs>
        <w:ind w:left="259"/>
      </w:pPr>
      <w:hyperlink w:anchor="h48" w:history="1">
        <w:r>
          <w:rPr>
            <w:color w:val="000000"/>
          </w:rPr>
          <w:t>9.5 Notebooks 4–5: good slices did not guarantee a consistent surface</w:t>
        </w:r>
        <w:r>
          <w:rPr>
            <w:color w:val="000000"/>
          </w:rPr>
          <w:tab/>
        </w:r>
        <w:r>
          <w:rPr>
            <w:color w:val="000000"/>
          </w:rPr>
          <w:t>96</w:t>
        </w:r>
      </w:hyperlink>
    </w:p>
    <w:p>
      <w:pPr>
        <w:pStyle w:val="NavEntry"/>
        <w:tabs>
          <w:tab w:pos="9317" w:val="right" w:leader="dot"/>
        </w:tabs>
        <w:ind w:left="259"/>
      </w:pPr>
      <w:hyperlink w:anchor="h49" w:history="1">
        <w:r>
          <w:rPr>
            <w:color w:val="000000"/>
          </w:rPr>
          <w:t>9.6 Notebook 6: fair sensitivity comparisons and a solver limitation</w:t>
        </w:r>
        <w:r>
          <w:rPr>
            <w:color w:val="000000"/>
          </w:rPr>
          <w:tab/>
        </w:r>
        <w:r>
          <w:rPr>
            <w:color w:val="000000"/>
          </w:rPr>
          <w:t>96</w:t>
        </w:r>
      </w:hyperlink>
    </w:p>
    <w:p>
      <w:pPr>
        <w:pStyle w:val="NavEntry"/>
        <w:tabs>
          <w:tab w:pos="9317" w:val="right" w:leader="dot"/>
        </w:tabs>
        <w:ind w:left="259"/>
      </w:pPr>
      <w:hyperlink w:anchor="h50" w:history="1">
        <w:r>
          <w:rPr>
            <w:color w:val="000000"/>
          </w:rPr>
          <w:t>9.7 Notebook 7: repeated studies required more than additional runs</w:t>
        </w:r>
        <w:r>
          <w:rPr>
            <w:color w:val="000000"/>
          </w:rPr>
          <w:tab/>
        </w:r>
        <w:r>
          <w:rPr>
            <w:color w:val="000000"/>
          </w:rPr>
          <w:t>97</w:t>
        </w:r>
      </w:hyperlink>
    </w:p>
    <w:p>
      <w:pPr>
        <w:pStyle w:val="NavEntry"/>
        <w:tabs>
          <w:tab w:pos="9317" w:val="right" w:leader="dot"/>
        </w:tabs>
        <w:ind w:left="259"/>
      </w:pPr>
      <w:hyperlink w:anchor="h51" w:history="1">
        <w:r>
          <w:rPr>
            <w:color w:val="000000"/>
          </w:rPr>
          <w:t>9.8 Notebook 8: the selection target and the evaluation target diverged</w:t>
        </w:r>
        <w:r>
          <w:rPr>
            <w:color w:val="000000"/>
          </w:rPr>
          <w:tab/>
        </w:r>
        <w:r>
          <w:rPr>
            <w:color w:val="000000"/>
          </w:rPr>
          <w:t>97</w:t>
        </w:r>
      </w:hyperlink>
    </w:p>
    <w:p>
      <w:pPr>
        <w:pStyle w:val="NavEntry"/>
        <w:tabs>
          <w:tab w:pos="9317" w:val="right" w:leader="dot"/>
        </w:tabs>
        <w:ind w:left="259"/>
      </w:pPr>
      <w:hyperlink w:anchor="h52" w:history="1">
        <w:r>
          <w:rPr>
            <w:color w:val="000000"/>
          </w:rPr>
          <w:t>9.9 Notebook 9: empirical access, inferred inputs and misleading visual agreement</w:t>
        </w:r>
        <w:r>
          <w:rPr>
            <w:color w:val="000000"/>
          </w:rPr>
          <w:tab/>
        </w:r>
        <w:r>
          <w:rPr>
            <w:color w:val="000000"/>
          </w:rPr>
          <w:t>97</w:t>
        </w:r>
      </w:hyperlink>
    </w:p>
    <w:p>
      <w:pPr>
        <w:pStyle w:val="NavEntry"/>
        <w:tabs>
          <w:tab w:pos="9317" w:val="right" w:leader="dot"/>
        </w:tabs>
        <w:ind w:left="259"/>
      </w:pPr>
      <w:hyperlink w:anchor="h53" w:history="1">
        <w:r>
          <w:rPr>
            <w:color w:val="000000"/>
          </w:rPr>
          <w:t>9.10 Notebook 10: feasibility, finite precision and unresolved evidence</w:t>
        </w:r>
        <w:r>
          <w:rPr>
            <w:color w:val="000000"/>
          </w:rPr>
          <w:tab/>
        </w:r>
        <w:r>
          <w:rPr>
            <w:color w:val="000000"/>
          </w:rPr>
          <w:t>98</w:t>
        </w:r>
      </w:hyperlink>
    </w:p>
    <w:p>
      <w:pPr>
        <w:pStyle w:val="NavEntry"/>
        <w:tabs>
          <w:tab w:pos="9317" w:val="right" w:leader="dot"/>
        </w:tabs>
        <w:ind w:left="259"/>
      </w:pPr>
      <w:hyperlink w:anchor="h54" w:history="1">
        <w:r>
          <w:rPr>
            <w:color w:val="000000"/>
          </w:rPr>
          <w:t>9.11 Final assembly: retaining the evidence in a readable paper</w:t>
        </w:r>
        <w:r>
          <w:rPr>
            <w:color w:val="000000"/>
          </w:rPr>
          <w:tab/>
        </w:r>
        <w:r>
          <w:rPr>
            <w:color w:val="000000"/>
          </w:rPr>
          <w:t>99</w:t>
        </w:r>
      </w:hyperlink>
    </w:p>
    <w:p>
      <w:pPr>
        <w:pStyle w:val="NavEntry"/>
        <w:tabs>
          <w:tab w:pos="9576" w:val="right" w:leader="dot"/>
        </w:tabs>
        <w:ind w:left="0"/>
      </w:pPr>
      <w:hyperlink w:anchor="h55" w:history="1">
        <w:r>
          <w:rPr>
            <w:color w:val="000000"/>
            <w:b/>
          </w:rPr>
          <w:t>10 Discussion and limitations</w:t>
        </w:r>
        <w:r>
          <w:rPr>
            <w:color w:val="000000"/>
            <w:b/>
          </w:rPr>
          <w:tab/>
        </w:r>
        <w:r>
          <w:rPr>
            <w:color w:val="000000"/>
            <w:b/>
          </w:rPr>
          <w:t>100</w:t>
        </w:r>
      </w:hyperlink>
    </w:p>
    <w:p>
      <w:pPr>
        <w:pStyle w:val="NavEntry"/>
        <w:tabs>
          <w:tab w:pos="9317" w:val="right" w:leader="dot"/>
        </w:tabs>
        <w:ind w:left="259"/>
      </w:pPr>
      <w:hyperlink w:anchor="h56" w:history="1">
        <w:r>
          <w:rPr>
            <w:color w:val="000000"/>
          </w:rPr>
          <w:t>10.1 What the evidence establishes</w:t>
        </w:r>
        <w:r>
          <w:rPr>
            <w:color w:val="000000"/>
          </w:rPr>
          <w:tab/>
        </w:r>
        <w:r>
          <w:rPr>
            <w:color w:val="000000"/>
          </w:rPr>
          <w:t>100</w:t>
        </w:r>
      </w:hyperlink>
    </w:p>
    <w:p>
      <w:pPr>
        <w:pStyle w:val="NavEntry"/>
        <w:tabs>
          <w:tab w:pos="9317" w:val="right" w:leader="dot"/>
        </w:tabs>
        <w:ind w:left="259"/>
      </w:pPr>
      <w:hyperlink w:anchor="h57" w:history="1">
        <w:r>
          <w:rPr>
            <w:color w:val="000000"/>
          </w:rPr>
          <w:t>10.2 Limits of identification and probability interpretation</w:t>
        </w:r>
        <w:r>
          <w:rPr>
            <w:color w:val="000000"/>
          </w:rPr>
          <w:tab/>
        </w:r>
        <w:r>
          <w:rPr>
            <w:color w:val="000000"/>
          </w:rPr>
          <w:t>100</w:t>
        </w:r>
      </w:hyperlink>
    </w:p>
    <w:p>
      <w:pPr>
        <w:pStyle w:val="NavEntry"/>
        <w:tabs>
          <w:tab w:pos="9317" w:val="right" w:leader="dot"/>
        </w:tabs>
        <w:ind w:left="259"/>
      </w:pPr>
      <w:hyperlink w:anchor="h58" w:history="1">
        <w:r>
          <w:rPr>
            <w:color w:val="000000"/>
          </w:rPr>
          <w:t>10.3 Limits of empirical and numerical validation</w:t>
        </w:r>
        <w:r>
          <w:rPr>
            <w:color w:val="000000"/>
          </w:rPr>
          <w:tab/>
        </w:r>
        <w:r>
          <w:rPr>
            <w:color w:val="000000"/>
          </w:rPr>
          <w:t>101</w:t>
        </w:r>
      </w:hyperlink>
    </w:p>
    <w:p>
      <w:pPr>
        <w:pStyle w:val="NavEntry"/>
        <w:tabs>
          <w:tab w:pos="9576" w:val="right" w:leader="dot"/>
        </w:tabs>
        <w:ind w:left="0"/>
      </w:pPr>
      <w:hyperlink w:anchor="h59" w:history="1">
        <w:r>
          <w:rPr>
            <w:color w:val="000000"/>
            <w:b/>
          </w:rPr>
          <w:t>11 Conclusions and future work</w:t>
        </w:r>
        <w:r>
          <w:rPr>
            <w:color w:val="000000"/>
            <w:b/>
          </w:rPr>
          <w:tab/>
        </w:r>
        <w:r>
          <w:rPr>
            <w:color w:val="000000"/>
            <w:b/>
          </w:rPr>
          <w:t>102</w:t>
        </w:r>
      </w:hyperlink>
    </w:p>
    <w:p>
      <w:pPr>
        <w:pStyle w:val="NavEntry"/>
        <w:tabs>
          <w:tab w:pos="9317" w:val="right" w:leader="dot"/>
        </w:tabs>
        <w:ind w:left="259"/>
      </w:pPr>
      <w:hyperlink w:anchor="h60" w:history="1">
        <w:r>
          <w:rPr>
            <w:color w:val="000000"/>
          </w:rPr>
          <w:t>11.1 Conclusion</w:t>
        </w:r>
        <w:r>
          <w:rPr>
            <w:color w:val="000000"/>
          </w:rPr>
          <w:tab/>
        </w:r>
        <w:r>
          <w:rPr>
            <w:color w:val="000000"/>
          </w:rPr>
          <w:t>102</w:t>
        </w:r>
      </w:hyperlink>
    </w:p>
    <w:p>
      <w:pPr>
        <w:pStyle w:val="NavEntry"/>
        <w:tabs>
          <w:tab w:pos="9317" w:val="right" w:leader="dot"/>
        </w:tabs>
        <w:ind w:left="259"/>
      </w:pPr>
      <w:hyperlink w:anchor="h61" w:history="1">
        <w:r>
          <w:rPr>
            <w:color w:val="000000"/>
          </w:rPr>
          <w:t>11.2 Priorities for further work</w:t>
        </w:r>
        <w:r>
          <w:rPr>
            <w:color w:val="000000"/>
          </w:rPr>
          <w:tab/>
        </w:r>
        <w:r>
          <w:rPr>
            <w:color w:val="000000"/>
          </w:rPr>
          <w:t>102</w:t>
        </w:r>
      </w:hyperlink>
    </w:p>
    <w:p>
      <w:pPr>
        <w:pStyle w:val="NavEntry"/>
        <w:tabs>
          <w:tab w:pos="9576" w:val="right" w:leader="dot"/>
        </w:tabs>
        <w:ind w:left="0"/>
      </w:pPr>
      <w:hyperlink w:anchor="h62" w:history="1">
        <w:r>
          <w:rPr>
            <w:color w:val="000000"/>
            <w:b/>
          </w:rPr>
          <w:t>References</w:t>
        </w:r>
        <w:r>
          <w:rPr>
            <w:color w:val="000000"/>
            <w:b/>
          </w:rPr>
          <w:tab/>
        </w:r>
        <w:r>
          <w:rPr>
            <w:color w:val="000000"/>
            <w:b/>
          </w:rPr>
          <w:t>104</w:t>
        </w:r>
      </w:hyperlink>
    </w:p>
    <w:p>
      <w:pPr>
        <w:pStyle w:val="NavEntry"/>
        <w:tabs>
          <w:tab w:pos="9576" w:val="right" w:leader="dot"/>
        </w:tabs>
        <w:ind w:left="0"/>
      </w:pPr>
      <w:hyperlink w:anchor="h63" w:history="1">
        <w:r>
          <w:rPr>
            <w:color w:val="000000"/>
            <w:b/>
          </w:rPr>
          <w:t>Appendix A Reproducibility and interactive companions</w:t>
        </w:r>
        <w:r>
          <w:rPr>
            <w:color w:val="000000"/>
            <w:b/>
          </w:rPr>
          <w:tab/>
        </w:r>
        <w:r>
          <w:rPr>
            <w:color w:val="000000"/>
            <w:b/>
          </w:rPr>
          <w:t>106</w:t>
        </w:r>
      </w:hyperlink>
    </w:p>
    <w:p>
      <w:pPr>
        <w:pStyle w:val="NavEntry"/>
        <w:tabs>
          <w:tab w:pos="9317" w:val="right" w:leader="dot"/>
        </w:tabs>
        <w:ind w:left="259"/>
      </w:pPr>
      <w:hyperlink w:anchor="h64" w:history="1">
        <w:r>
          <w:rPr>
            <w:color w:val="000000"/>
          </w:rPr>
          <w:t>A.1 Structure of the project package</w:t>
        </w:r>
        <w:r>
          <w:rPr>
            <w:color w:val="000000"/>
          </w:rPr>
          <w:tab/>
        </w:r>
        <w:r>
          <w:rPr>
            <w:color w:val="000000"/>
          </w:rPr>
          <w:t>106</w:t>
        </w:r>
      </w:hyperlink>
    </w:p>
    <w:p>
      <w:pPr>
        <w:pStyle w:val="NavEntry"/>
        <w:tabs>
          <w:tab w:pos="9317" w:val="right" w:leader="dot"/>
        </w:tabs>
        <w:ind w:left="259"/>
      </w:pPr>
      <w:hyperlink w:anchor="h65" w:history="1">
        <w:r>
          <w:rPr>
            <w:color w:val="000000"/>
          </w:rPr>
          <w:t>A.2 Interactive figures</w:t>
        </w:r>
        <w:r>
          <w:rPr>
            <w:color w:val="000000"/>
          </w:rPr>
          <w:tab/>
        </w:r>
        <w:r>
          <w:rPr>
            <w:color w:val="000000"/>
          </w:rPr>
          <w:t>106</w:t>
        </w:r>
      </w:hyperlink>
    </w:p>
    <w:p>
      <w:pPr>
        <w:pStyle w:val="NavEntry"/>
        <w:tabs>
          <w:tab w:pos="9317" w:val="right" w:leader="dot"/>
        </w:tabs>
        <w:ind w:left="259"/>
      </w:pPr>
      <w:hyperlink w:anchor="h66" w:history="1">
        <w:r>
          <w:rPr>
            <w:color w:val="000000"/>
          </w:rPr>
          <w:t>A.3 Reproduction and software scope</w:t>
        </w:r>
        <w:r>
          <w:rPr>
            <w:color w:val="000000"/>
          </w:rPr>
          <w:tab/>
        </w:r>
        <w:r>
          <w:rPr>
            <w:color w:val="000000"/>
          </w:rPr>
          <w:t>106</w:t>
        </w:r>
      </w:hyperlink>
    </w:p>
    <w:p>
      <w:pPr>
        <w:pStyle w:val="NavEntry"/>
        <w:tabs>
          <w:tab w:pos="9576" w:val="right" w:leader="dot"/>
        </w:tabs>
        <w:ind w:left="0"/>
      </w:pPr>
      <w:hyperlink w:anchor="h67" w:history="1">
        <w:r>
          <w:rPr>
            <w:color w:val="000000"/>
            <w:b/>
          </w:rPr>
          <w:t>Appendix B Attribution and reporting conventions</w:t>
        </w:r>
        <w:r>
          <w:rPr>
            <w:color w:val="000000"/>
            <w:b/>
          </w:rPr>
          <w:tab/>
        </w:r>
        <w:r>
          <w:rPr>
            <w:color w:val="000000"/>
            <w:b/>
          </w:rPr>
          <w:t>107</w:t>
        </w:r>
      </w:hyperlink>
    </w:p>
    <w:p>
      <w:pPr>
        <w:pStyle w:val="NavEntry"/>
        <w:tabs>
          <w:tab w:pos="9317" w:val="right" w:leader="dot"/>
        </w:tabs>
        <w:ind w:left="259"/>
      </w:pPr>
      <w:hyperlink w:anchor="h68" w:history="1">
        <w:r>
          <w:rPr>
            <w:color w:val="000000"/>
          </w:rPr>
          <w:t>B.1 Established relationships and project definitions</w:t>
        </w:r>
        <w:r>
          <w:rPr>
            <w:color w:val="000000"/>
          </w:rPr>
          <w:tab/>
        </w:r>
        <w:r>
          <w:rPr>
            <w:color w:val="000000"/>
          </w:rPr>
          <w:t>107</w:t>
        </w:r>
      </w:hyperlink>
    </w:p>
    <w:p>
      <w:pPr>
        <w:pStyle w:val="NavEntry"/>
        <w:tabs>
          <w:tab w:pos="9317" w:val="right" w:leader="dot"/>
        </w:tabs>
        <w:ind w:left="259"/>
      </w:pPr>
      <w:hyperlink w:anchor="h69" w:history="1">
        <w:r>
          <w:rPr>
            <w:color w:val="000000"/>
          </w:rPr>
          <w:t>B.2 Units and interpretation</w:t>
        </w:r>
        <w:r>
          <w:rPr>
            <w:color w:val="000000"/>
          </w:rPr>
          <w:tab/>
        </w:r>
        <w:r>
          <w:rPr>
            <w:color w:val="000000"/>
          </w:rPr>
          <w:t>107</w:t>
        </w:r>
      </w:hyperlink>
    </w:p>
    <w:bookmarkEnd w:id="21"/>
    <w:bookmarkStart w:id="22" w:name="list-of-figures"/>
    <w:p>
      <w:bookmarkStart w:id="503" w:name="front_list_of_figures"/>
      <w:pPr>
        <w:pStyle w:val="FrontHeading"/>
      </w:pPr>
      <w:r>
        <w:t xml:space="preserve">List of figures</w:t>
      </w:r>
      <w:bookmarkEnd w:id="503"/>
    </w:p>
    <w:p>
      <w:pPr>
        <w:pStyle w:val="NavEntry"/>
        <w:tabs>
          <w:tab w:pos="9576" w:val="right" w:leader="dot"/>
        </w:tabs>
        <w:ind w:left="0"/>
      </w:pPr>
      <w:hyperlink w:anchor="figure1" w:history="1">
        <w:r>
          <w:rPr>
            <w:color w:val="000000"/>
          </w:rPr>
          <w:t>Figure 1. Synthetic European call prices</w:t>
        </w:r>
        <w:r>
          <w:rPr>
            <w:color w:val="000000"/>
          </w:rPr>
          <w:tab/>
        </w:r>
        <w:r>
          <w:rPr>
            <w:color w:val="000000"/>
          </w:rPr>
          <w:t>4</w:t>
        </w:r>
      </w:hyperlink>
    </w:p>
    <w:p>
      <w:pPr>
        <w:pStyle w:val="NavEntry"/>
        <w:tabs>
          <w:tab w:pos="9576" w:val="right" w:leader="dot"/>
        </w:tabs>
        <w:ind w:left="0"/>
      </w:pPr>
      <w:hyperlink w:anchor="figure2" w:history="1">
        <w:r>
          <w:rPr>
            <w:color w:val="000000"/>
          </w:rPr>
          <w:t>Figure 2. Known and recovered synthetic density</w:t>
        </w:r>
        <w:r>
          <w:rPr>
            <w:color w:val="000000"/>
          </w:rPr>
          <w:tab/>
        </w:r>
        <w:r>
          <w:rPr>
            <w:color w:val="000000"/>
          </w:rPr>
          <w:t>4</w:t>
        </w:r>
      </w:hyperlink>
    </w:p>
    <w:p>
      <w:pPr>
        <w:pStyle w:val="NavEntry"/>
        <w:tabs>
          <w:tab w:pos="9576" w:val="right" w:leader="dot"/>
        </w:tabs>
        <w:ind w:left="0"/>
      </w:pPr>
      <w:hyperlink w:anchor="figure3" w:history="1">
        <w:r>
          <w:rPr>
            <w:color w:val="000000"/>
          </w:rPr>
          <w:t>Figure 3. Strike-spacing convergence</w:t>
        </w:r>
        <w:r>
          <w:rPr>
            <w:color w:val="000000"/>
          </w:rPr>
          <w:tab/>
        </w:r>
        <w:r>
          <w:rPr>
            <w:color w:val="000000"/>
          </w:rPr>
          <w:t>5</w:t>
        </w:r>
      </w:hyperlink>
    </w:p>
    <w:p>
      <w:pPr>
        <w:pStyle w:val="NavEntry"/>
        <w:tabs>
          <w:tab w:pos="9576" w:val="right" w:leader="dot"/>
        </w:tabs>
        <w:ind w:left="0"/>
      </w:pPr>
      <w:hyperlink w:anchor="figure4" w:history="1">
        <w:r>
          <w:rPr>
            <w:color w:val="000000"/>
          </w:rPr>
          <w:t>Figure 4. Sensitivity to independent quote errors</w:t>
        </w:r>
        <w:r>
          <w:rPr>
            <w:color w:val="000000"/>
          </w:rPr>
          <w:tab/>
        </w:r>
        <w:r>
          <w:rPr>
            <w:color w:val="000000"/>
          </w:rPr>
          <w:t>6</w:t>
        </w:r>
      </w:hyperlink>
    </w:p>
    <w:p>
      <w:pPr>
        <w:pStyle w:val="NavEntry"/>
        <w:tabs>
          <w:tab w:pos="9576" w:val="right" w:leader="dot"/>
        </w:tabs>
        <w:ind w:left="0"/>
      </w:pPr>
      <w:hyperlink w:anchor="figure5" w:history="1">
        <w:r>
          <w:rPr>
            <w:color w:val="000000"/>
          </w:rPr>
          <w:t>Figure 5. Candidate quote coverage by expiry and root</w:t>
        </w:r>
        <w:r>
          <w:rPr>
            <w:color w:val="000000"/>
          </w:rPr>
          <w:tab/>
        </w:r>
        <w:r>
          <w:rPr>
            <w:color w:val="000000"/>
          </w:rPr>
          <w:t>9</w:t>
        </w:r>
      </w:hyperlink>
    </w:p>
    <w:p>
      <w:pPr>
        <w:pStyle w:val="NavEntry"/>
        <w:tabs>
          <w:tab w:pos="9576" w:val="right" w:leader="dot"/>
        </w:tabs>
        <w:ind w:left="0"/>
      </w:pPr>
      <w:hyperlink w:anchor="figure6" w:history="1">
        <w:r>
          <w:rPr>
            <w:color w:val="000000"/>
          </w:rPr>
          <w:t>Figure 6. Candidate coverage under spread thresholds</w:t>
        </w:r>
        <w:r>
          <w:rPr>
            <w:color w:val="000000"/>
          </w:rPr>
          <w:tab/>
        </w:r>
        <w:r>
          <w:rPr>
            <w:color w:val="000000"/>
          </w:rPr>
          <w:t>10</w:t>
        </w:r>
      </w:hyperlink>
    </w:p>
    <w:p>
      <w:pPr>
        <w:pStyle w:val="NavEntry"/>
        <w:tabs>
          <w:tab w:pos="9576" w:val="right" w:leader="dot"/>
        </w:tabs>
        <w:ind w:left="0"/>
      </w:pPr>
      <w:hyperlink w:anchor="figure7" w:history="1">
        <w:r>
          <w:rPr>
            <w:color w:val="000000"/>
          </w:rPr>
          <w:t>Figure 7. Constrained synthetic call-price fit and residuals</w:t>
        </w:r>
        <w:r>
          <w:rPr>
            <w:color w:val="000000"/>
          </w:rPr>
          <w:tab/>
        </w:r>
        <w:r>
          <w:rPr>
            <w:color w:val="000000"/>
          </w:rPr>
          <w:t>13</w:t>
        </w:r>
      </w:hyperlink>
    </w:p>
    <w:p>
      <w:pPr>
        <w:pStyle w:val="NavEntry"/>
        <w:tabs>
          <w:tab w:pos="9576" w:val="right" w:leader="dot"/>
        </w:tabs>
        <w:ind w:left="0"/>
      </w:pPr>
      <w:hyperlink w:anchor="figure8" w:history="1">
        <w:r>
          <w:rPr>
            <w:color w:val="000000"/>
          </w:rPr>
          <w:t>Figure 8. Constrained density versus raw differentiation</w:t>
        </w:r>
        <w:r>
          <w:rPr>
            <w:color w:val="000000"/>
          </w:rPr>
          <w:tab/>
        </w:r>
        <w:r>
          <w:rPr>
            <w:color w:val="000000"/>
          </w:rPr>
          <w:t>14</w:t>
        </w:r>
      </w:hyperlink>
    </w:p>
    <w:p>
      <w:pPr>
        <w:pStyle w:val="NavEntry"/>
        <w:tabs>
          <w:tab w:pos="9576" w:val="right" w:leader="dot"/>
        </w:tabs>
        <w:ind w:left="0"/>
      </w:pPr>
      <w:hyperlink w:anchor="figure9" w:history="1">
        <w:r>
          <w:rPr>
            <w:color w:val="000000"/>
          </w:rPr>
          <w:t>Figure 9. Smoothing-penalty sensitivity</w:t>
        </w:r>
        <w:r>
          <w:rPr>
            <w:color w:val="000000"/>
          </w:rPr>
          <w:tab/>
        </w:r>
        <w:r>
          <w:rPr>
            <w:color w:val="000000"/>
          </w:rPr>
          <w:t>15</w:t>
        </w:r>
      </w:hyperlink>
    </w:p>
    <w:p>
      <w:pPr>
        <w:pStyle w:val="NavEntry"/>
        <w:tabs>
          <w:tab w:pos="9576" w:val="right" w:leader="dot"/>
        </w:tabs>
        <w:ind w:left="0"/>
      </w:pPr>
      <w:hyperlink w:anchor="figure10" w:history="1">
        <w:r>
          <w:rPr>
            <w:color w:val="000000"/>
          </w:rPr>
          <w:t>Figure 10. Synthetic multi-maturity density surface; interactive companion</w:t>
        </w:r>
        <w:r>
          <w:rPr>
            <w:color w:val="000000"/>
          </w:rPr>
          <w:tab/>
        </w:r>
        <w:r>
          <w:rPr>
            <w:color w:val="000000"/>
          </w:rPr>
          <w:t>17</w:t>
        </w:r>
      </w:hyperlink>
    </w:p>
    <w:p>
      <w:pPr>
        <w:pStyle w:val="NavEntry"/>
        <w:tabs>
          <w:tab w:pos="9576" w:val="right" w:leader="dot"/>
        </w:tabs>
        <w:ind w:left="0"/>
      </w:pPr>
      <w:hyperlink w:anchor="figure11" w:history="1">
        <w:r>
          <w:rPr>
            <w:color w:val="000000"/>
          </w:rPr>
          <w:t>Figure 11. Known and fitted density slices across horizons</w:t>
        </w:r>
        <w:r>
          <w:rPr>
            <w:color w:val="000000"/>
          </w:rPr>
          <w:tab/>
        </w:r>
        <w:r>
          <w:rPr>
            <w:color w:val="000000"/>
          </w:rPr>
          <w:t>18</w:t>
        </w:r>
      </w:hyperlink>
    </w:p>
    <w:p>
      <w:pPr>
        <w:pStyle w:val="NavEntry"/>
        <w:tabs>
          <w:tab w:pos="9576" w:val="right" w:leader="dot"/>
        </w:tabs>
        <w:ind w:left="0"/>
      </w:pPr>
      <w:hyperlink w:anchor="figure12" w:history="1">
        <w:r>
          <w:rPr>
            <w:color w:val="000000"/>
          </w:rPr>
          <w:t>Figure 12. Calendar gap before and after joint fitting</w:t>
        </w:r>
        <w:r>
          <w:rPr>
            <w:color w:val="000000"/>
          </w:rPr>
          <w:tab/>
        </w:r>
        <w:r>
          <w:rPr>
            <w:color w:val="000000"/>
          </w:rPr>
          <w:t>22</w:t>
        </w:r>
      </w:hyperlink>
    </w:p>
    <w:p>
      <w:pPr>
        <w:pStyle w:val="NavEntry"/>
        <w:tabs>
          <w:tab w:pos="9576" w:val="right" w:leader="dot"/>
        </w:tabs>
        <w:ind w:left="0"/>
      </w:pPr>
      <w:hyperlink w:anchor="figure13" w:history="1">
        <w:r>
          <w:rPr>
            <w:color w:val="000000"/>
          </w:rPr>
          <w:t>Figure 13. Joint density comparison and remaining tail differences</w:t>
        </w:r>
        <w:r>
          <w:rPr>
            <w:color w:val="000000"/>
          </w:rPr>
          <w:tab/>
        </w:r>
        <w:r>
          <w:rPr>
            <w:color w:val="000000"/>
          </w:rPr>
          <w:t>24</w:t>
        </w:r>
      </w:hyperlink>
    </w:p>
    <w:p>
      <w:pPr>
        <w:pStyle w:val="NavEntry"/>
        <w:tabs>
          <w:tab w:pos="9576" w:val="right" w:leader="dot"/>
        </w:tabs>
        <w:ind w:left="0"/>
      </w:pPr>
      <w:hyperlink w:anchor="figure14" w:history="1">
        <w:r>
          <w:rPr>
            <w:color w:val="000000"/>
          </w:rPr>
          <w:t>Figure 14. Joint synthetic maturity surface; interactive comparison</w:t>
        </w:r>
        <w:r>
          <w:rPr>
            <w:color w:val="000000"/>
          </w:rPr>
          <w:tab/>
        </w:r>
        <w:r>
          <w:rPr>
            <w:color w:val="000000"/>
          </w:rPr>
          <w:t>25</w:t>
        </w:r>
      </w:hyperlink>
    </w:p>
    <w:p>
      <w:pPr>
        <w:pStyle w:val="NavEntry"/>
        <w:tabs>
          <w:tab w:pos="9576" w:val="right" w:leader="dot"/>
        </w:tabs>
        <w:ind w:left="0"/>
      </w:pPr>
      <w:hyperlink w:anchor="figure15" w:history="1">
        <w:r>
          <w:rPr>
            <w:color w:val="000000"/>
          </w:rPr>
          <w:t>Figure 15. Density sensitivity across support, resolution and smoothing choices</w:t>
        </w:r>
        <w:r>
          <w:rPr>
            <w:color w:val="000000"/>
          </w:rPr>
          <w:tab/>
        </w:r>
        <w:r>
          <w:rPr>
            <w:color w:val="000000"/>
          </w:rPr>
          <w:t>30</w:t>
        </w:r>
      </w:hyperlink>
    </w:p>
    <w:p>
      <w:pPr>
        <w:pStyle w:val="NavEntry"/>
        <w:tabs>
          <w:tab w:pos="9576" w:val="right" w:leader="dot"/>
        </w:tabs>
        <w:ind w:left="0"/>
      </w:pPr>
      <w:hyperlink w:anchor="figure16" w:history="1">
        <w:r>
          <w:rPr>
            <w:color w:val="000000"/>
          </w:rPr>
          <w:t>Figure 16. Price and full-density error across sensitivity settings</w:t>
        </w:r>
        <w:r>
          <w:rPr>
            <w:color w:val="000000"/>
          </w:rPr>
          <w:tab/>
        </w:r>
        <w:r>
          <w:rPr>
            <w:color w:val="000000"/>
          </w:rPr>
          <w:t>31</w:t>
        </w:r>
      </w:hyperlink>
    </w:p>
    <w:p>
      <w:pPr>
        <w:pStyle w:val="NavEntry"/>
        <w:tabs>
          <w:tab w:pos="9576" w:val="right" w:leader="dot"/>
        </w:tabs>
        <w:ind w:left="0"/>
      </w:pPr>
      <w:hyperlink w:anchor="figure17" w:history="1">
        <w:r>
          <w:rPr>
            <w:color w:val="000000"/>
          </w:rPr>
          <w:t>Figure 17. Tail-probability errors under alternative fitting choices</w:t>
        </w:r>
        <w:r>
          <w:rPr>
            <w:color w:val="000000"/>
          </w:rPr>
          <w:tab/>
        </w:r>
        <w:r>
          <w:rPr>
            <w:color w:val="000000"/>
          </w:rPr>
          <w:t>33</w:t>
        </w:r>
      </w:hyperlink>
    </w:p>
    <w:p>
      <w:pPr>
        <w:pStyle w:val="NavEntry"/>
        <w:tabs>
          <w:tab w:pos="9576" w:val="right" w:leader="dot"/>
        </w:tabs>
        <w:ind w:left="0"/>
      </w:pPr>
      <w:hyperlink w:anchor="figure18" w:history="1">
        <w:r>
          <w:rPr>
            <w:color w:val="000000"/>
          </w:rPr>
          <w:t>Figure 18. Nested strike patterns and tail-threshold coverage</w:t>
        </w:r>
        <w:r>
          <w:rPr>
            <w:color w:val="000000"/>
          </w:rPr>
          <w:tab/>
        </w:r>
        <w:r>
          <w:rPr>
            <w:color w:val="000000"/>
          </w:rPr>
          <w:t>36</w:t>
        </w:r>
      </w:hyperlink>
    </w:p>
    <w:p>
      <w:pPr>
        <w:pStyle w:val="NavEntry"/>
        <w:tabs>
          <w:tab w:pos="9576" w:val="right" w:leader="dot"/>
        </w:tabs>
        <w:ind w:left="0"/>
      </w:pPr>
      <w:hyperlink w:anchor="figure19" w:history="1">
        <w:r>
          <w:rPr>
            <w:color w:val="000000"/>
          </w:rPr>
          <w:t>Figure 19. Repeated recovery errors and Monte Carlo precision</w:t>
        </w:r>
        <w:r>
          <w:rPr>
            <w:color w:val="000000"/>
          </w:rPr>
          <w:tab/>
        </w:r>
        <w:r>
          <w:rPr>
            <w:color w:val="000000"/>
          </w:rPr>
          <w:t>40</w:t>
        </w:r>
      </w:hyperlink>
    </w:p>
    <w:p>
      <w:pPr>
        <w:pStyle w:val="NavEntry"/>
        <w:tabs>
          <w:tab w:pos="9576" w:val="right" w:leader="dot"/>
        </w:tabs>
        <w:ind w:left="0"/>
      </w:pPr>
      <w:hyperlink w:anchor="figure20" w:history="1">
        <w:r>
          <w:rPr>
            <w:color w:val="000000"/>
          </w:rPr>
          <w:t>Figure 20. Repeated upper-tail errors and clean-input controls</w:t>
        </w:r>
        <w:r>
          <w:rPr>
            <w:color w:val="000000"/>
          </w:rPr>
          <w:tab/>
        </w:r>
        <w:r>
          <w:rPr>
            <w:color w:val="000000"/>
          </w:rPr>
          <w:t>43</w:t>
        </w:r>
      </w:hyperlink>
    </w:p>
    <w:p>
      <w:pPr>
        <w:pStyle w:val="NavEntry"/>
        <w:tabs>
          <w:tab w:pos="9576" w:val="right" w:leader="dot"/>
        </w:tabs>
        <w:ind w:left="0"/>
      </w:pPr>
      <w:hyperlink w:anchor="figure21" w:history="1">
        <w:r>
          <w:rPr>
            <w:color w:val="000000"/>
          </w:rPr>
          <w:t>Figure 21. Noisy held-out price scores for smoothing selection</w:t>
        </w:r>
        <w:r>
          <w:rPr>
            <w:color w:val="000000"/>
          </w:rPr>
          <w:tab/>
        </w:r>
        <w:r>
          <w:rPr>
            <w:color w:val="000000"/>
          </w:rPr>
          <w:t>46</w:t>
        </w:r>
      </w:hyperlink>
    </w:p>
    <w:p>
      <w:pPr>
        <w:pStyle w:val="NavEntry"/>
        <w:tabs>
          <w:tab w:pos="9576" w:val="right" w:leader="dot"/>
        </w:tabs>
        <w:ind w:left="0"/>
      </w:pPr>
      <w:hyperlink w:anchor="figure22" w:history="1">
        <w:r>
          <w:rPr>
            <w:color w:val="000000"/>
          </w:rPr>
          <w:t>Figure 22. Selected and fixed smoothing on separate recovery measures</w:t>
        </w:r>
        <w:r>
          <w:rPr>
            <w:color w:val="000000"/>
          </w:rPr>
          <w:tab/>
        </w:r>
        <w:r>
          <w:rPr>
            <w:color w:val="000000"/>
          </w:rPr>
          <w:t>49</w:t>
        </w:r>
      </w:hyperlink>
    </w:p>
    <w:p>
      <w:pPr>
        <w:pStyle w:val="NavEntry"/>
        <w:tabs>
          <w:tab w:pos="9576" w:val="right" w:leader="dot"/>
        </w:tabs>
        <w:ind w:left="0"/>
      </w:pPr>
      <w:hyperlink w:anchor="figure23" w:history="1">
        <w:r>
          <w:rPr>
            <w:color w:val="000000"/>
          </w:rPr>
          <w:t>Figure 23. Density, price and fixed-event tail sensitivity to supplied forwards</w:t>
        </w:r>
        <w:r>
          <w:rPr>
            <w:color w:val="000000"/>
          </w:rPr>
          <w:tab/>
        </w:r>
        <w:r>
          <w:rPr>
            <w:color w:val="000000"/>
          </w:rPr>
          <w:t>53</w:t>
        </w:r>
      </w:hyperlink>
    </w:p>
    <w:p>
      <w:pPr>
        <w:pStyle w:val="NavEntry"/>
        <w:tabs>
          <w:tab w:pos="9576" w:val="right" w:leader="dot"/>
        </w:tabs>
        <w:ind w:left="0"/>
      </w:pPr>
      <w:hyperlink w:anchor="figure24" w:history="1">
        <w:r>
          <w:rPr>
            <w:color w:val="000000"/>
          </w:rPr>
          <w:t>Figure 24. Matched-pair forward intervals and an intentionally incompatible quote</w:t>
        </w:r>
        <w:r>
          <w:rPr>
            <w:color w:val="000000"/>
          </w:rPr>
          <w:tab/>
        </w:r>
        <w:r>
          <w:rPr>
            <w:color w:val="000000"/>
          </w:rPr>
          <w:t>57</w:t>
        </w:r>
      </w:hyperlink>
    </w:p>
    <w:p>
      <w:pPr>
        <w:pStyle w:val="NavEntry"/>
        <w:tabs>
          <w:tab w:pos="9576" w:val="right" w:leader="dot"/>
        </w:tabs>
        <w:ind w:left="0"/>
      </w:pPr>
      <w:hyperlink w:anchor="figure25" w:history="1">
        <w:r>
          <w:rPr>
            <w:color w:val="000000"/>
          </w:rPr>
          <w:t>Figure 25. Synthetic input-fixture density recovery and bid–ask residuals</w:t>
        </w:r>
        <w:r>
          <w:rPr>
            <w:color w:val="000000"/>
          </w:rPr>
          <w:tab/>
        </w:r>
        <w:r>
          <w:rPr>
            <w:color w:val="000000"/>
          </w:rPr>
          <w:t>62</w:t>
        </w:r>
      </w:hyperlink>
    </w:p>
    <w:p>
      <w:pPr>
        <w:pStyle w:val="NavEntry"/>
        <w:tabs>
          <w:tab w:pos="9576" w:val="right" w:leader="dot"/>
        </w:tabs>
        <w:ind w:left="0"/>
      </w:pPr>
      <w:hyperlink w:anchor="figure26" w:history="1">
        <w:r>
          <w:rPr>
            <w:color w:val="000000"/>
          </w:rPr>
          <w:t>Figure 26. Observed market prices and complete call–put spread residuals</w:t>
        </w:r>
        <w:r>
          <w:rPr>
            <w:color w:val="000000"/>
          </w:rPr>
          <w:tab/>
        </w:r>
        <w:r>
          <w:rPr>
            <w:color w:val="000000"/>
          </w:rPr>
          <w:t>70</w:t>
        </w:r>
      </w:hyperlink>
    </w:p>
    <w:p>
      <w:pPr>
        <w:pStyle w:val="NavEntry"/>
        <w:tabs>
          <w:tab w:pos="9576" w:val="right" w:leader="dot"/>
        </w:tabs>
        <w:ind w:left="0"/>
      </w:pPr>
      <w:hyperlink w:anchor="figure27" w:history="1">
        <w:r>
          <w:rPr>
            <w:color w:val="000000"/>
          </w:rPr>
          <w:t>Figure 27. Empirical density sensitivity on full support and central detail</w:t>
        </w:r>
        <w:r>
          <w:rPr>
            <w:color w:val="000000"/>
          </w:rPr>
          <w:tab/>
        </w:r>
        <w:r>
          <w:rPr>
            <w:color w:val="000000"/>
          </w:rPr>
          <w:t>73</w:t>
        </w:r>
      </w:hyperlink>
    </w:p>
    <w:p>
      <w:pPr>
        <w:pStyle w:val="NavEntry"/>
        <w:tabs>
          <w:tab w:pos="9576" w:val="right" w:leader="dot"/>
        </w:tabs>
        <w:ind w:left="0"/>
      </w:pPr>
      <w:hyperlink w:anchor="figure28" w:history="1">
        <w:r>
          <w:rPr>
            <w:color w:val="000000"/>
          </w:rPr>
          <w:t>Figure 28. First empirical maturity surface and offline explorer</w:t>
        </w:r>
        <w:r>
          <w:rPr>
            <w:color w:val="000000"/>
          </w:rPr>
          <w:tab/>
        </w:r>
        <w:r>
          <w:rPr>
            <w:color w:val="000000"/>
          </w:rPr>
          <w:t>75</w:t>
        </w:r>
      </w:hyperlink>
    </w:p>
    <w:p>
      <w:pPr>
        <w:pStyle w:val="NavEntry"/>
        <w:tabs>
          <w:tab w:pos="9576" w:val="right" w:leader="dot"/>
        </w:tabs>
        <w:ind w:left="0"/>
      </w:pPr>
      <w:hyperlink w:anchor="figure29" w:history="1">
        <w:r>
          <w:rPr>
            <w:color w:val="000000"/>
          </w:rPr>
          <w:t>Figure 29. Original call/put spread residuals before and after hard-bound fitting</w:t>
        </w:r>
        <w:r>
          <w:rPr>
            <w:color w:val="000000"/>
          </w:rPr>
          <w:tab/>
        </w:r>
        <w:r>
          <w:rPr>
            <w:color w:val="000000"/>
          </w:rPr>
          <w:t>82</w:t>
        </w:r>
      </w:hyperlink>
    </w:p>
    <w:p>
      <w:pPr>
        <w:pStyle w:val="NavEntry"/>
        <w:tabs>
          <w:tab w:pos="9576" w:val="right" w:leader="dot"/>
        </w:tabs>
        <w:ind w:left="0"/>
      </w:pPr>
      <w:hyperlink w:anchor="figure30" w:history="1">
        <w:r>
          <w:rPr>
            <w:color w:val="000000"/>
          </w:rPr>
          <w:t>Figure 30. Fixed-expiry comparisons across the three observed snapshots</w:t>
        </w:r>
        <w:r>
          <w:rPr>
            <w:color w:val="000000"/>
          </w:rPr>
          <w:tab/>
        </w:r>
        <w:r>
          <w:rPr>
            <w:color w:val="000000"/>
          </w:rPr>
          <w:t>86</w:t>
        </w:r>
      </w:hyperlink>
    </w:p>
    <w:p>
      <w:pPr>
        <w:pStyle w:val="NavEntry"/>
        <w:tabs>
          <w:tab w:pos="9576" w:val="right" w:leader="dot"/>
        </w:tabs>
        <w:ind w:left="0"/>
      </w:pPr>
      <w:hyperlink w:anchor="figure31" w:history="1">
        <w:r>
          <w:rPr>
            <w:color w:val="000000"/>
          </w:rPr>
          <w:t>Figure 31. Assumed common-60-day densities and common-contract control</w:t>
        </w:r>
        <w:r>
          <w:rPr>
            <w:color w:val="000000"/>
          </w:rPr>
          <w:tab/>
        </w:r>
        <w:r>
          <w:rPr>
            <w:color w:val="000000"/>
          </w:rPr>
          <w:t>88</w:t>
        </w:r>
      </w:hyperlink>
    </w:p>
    <w:p>
      <w:pPr>
        <w:pStyle w:val="NavEntry"/>
        <w:tabs>
          <w:tab w:pos="9576" w:val="right" w:leader="dot"/>
        </w:tabs>
        <w:ind w:left="0"/>
      </w:pPr>
      <w:hyperlink w:anchor="figure32" w:history="1">
        <w:r>
          <w:rPr>
            <w:color w:val="000000"/>
          </w:rPr>
          <w:t>Figure 32. Chosen tail estimates and conditional feasible probability ranges</w:t>
        </w:r>
        <w:r>
          <w:rPr>
            <w:color w:val="000000"/>
          </w:rPr>
          <w:tab/>
        </w:r>
        <w:r>
          <w:rPr>
            <w:color w:val="000000"/>
          </w:rPr>
          <w:t>92</w:t>
        </w:r>
      </w:hyperlink>
    </w:p>
    <w:p>
      <w:pPr>
        <w:pStyle w:val="NavEntry"/>
        <w:tabs>
          <w:tab w:pos="9576" w:val="right" w:leader="dot"/>
        </w:tabs>
        <w:ind w:left="0"/>
      </w:pPr>
      <w:hyperlink w:anchor="figure33" w:history="1">
        <w:r>
          <w:rPr>
            <w:color w:val="000000"/>
          </w:rPr>
          <w:t>Figure 33. Dated density surfaces on shared scales; offline date-aware companion</w:t>
        </w:r>
        <w:r>
          <w:rPr>
            <w:color w:val="000000"/>
          </w:rPr>
          <w:tab/>
        </w:r>
        <w:r>
          <w:rPr>
            <w:color w:val="000000"/>
          </w:rPr>
          <w:t>94</w:t>
        </w:r>
      </w:hyperlink>
    </w:p>
    <w:bookmarkEnd w:id="22"/>
    <w:bookmarkStart w:id="23" w:name="list-of-tables"/>
    <w:p>
      <w:bookmarkStart w:id="504" w:name="front_list_of_tables"/>
      <w:pPr>
        <w:pStyle w:val="FrontHeading"/>
      </w:pPr>
      <w:r>
        <w:t xml:space="preserve">List of tables</w:t>
      </w:r>
      <w:bookmarkEnd w:id="504"/>
    </w:p>
    <w:p>
      <w:pPr>
        <w:pStyle w:val="NavEntry"/>
        <w:tabs>
          <w:tab w:pos="9576" w:val="right" w:leader="dot"/>
        </w:tabs>
        <w:ind w:left="0"/>
      </w:pPr>
      <w:hyperlink w:anchor="table1" w:history="1">
        <w:r>
          <w:rPr>
            <w:color w:val="000000"/>
          </w:rPr>
          <w:t>Table 1. Measured baseline validation</w:t>
        </w:r>
        <w:r>
          <w:rPr>
            <w:color w:val="000000"/>
          </w:rPr>
          <w:tab/>
        </w:r>
        <w:r>
          <w:rPr>
            <w:color w:val="000000"/>
          </w:rPr>
          <w:t>5</w:t>
        </w:r>
      </w:hyperlink>
    </w:p>
    <w:p>
      <w:pPr>
        <w:pStyle w:val="NavEntry"/>
        <w:tabs>
          <w:tab w:pos="9576" w:val="right" w:leader="dot"/>
        </w:tabs>
        <w:ind w:left="0"/>
      </w:pPr>
      <w:hyperlink w:anchor="table2" w:history="1">
        <w:r>
          <w:rPr>
            <w:color w:val="000000"/>
          </w:rPr>
          <w:t>Table 2. Data-source assessment and access status</w:t>
        </w:r>
        <w:r>
          <w:rPr>
            <w:color w:val="000000"/>
          </w:rPr>
          <w:tab/>
        </w:r>
        <w:r>
          <w:rPr>
            <w:color w:val="000000"/>
          </w:rPr>
          <w:t>7</w:t>
        </w:r>
      </w:hyperlink>
    </w:p>
    <w:p>
      <w:pPr>
        <w:pStyle w:val="NavEntry"/>
        <w:tabs>
          <w:tab w:pos="9576" w:val="right" w:leader="dot"/>
        </w:tabs>
        <w:ind w:left="0"/>
      </w:pPr>
      <w:hyperlink w:anchor="table3" w:history="1">
        <w:r>
          <w:rPr>
            <w:color w:val="000000"/>
          </w:rPr>
          <w:t>Table 3. Candidate-snapshot audit results</w:t>
        </w:r>
        <w:r>
          <w:rPr>
            <w:color w:val="000000"/>
          </w:rPr>
          <w:tab/>
        </w:r>
        <w:r>
          <w:rPr>
            <w:color w:val="000000"/>
          </w:rPr>
          <w:t>8</w:t>
        </w:r>
      </w:hyperlink>
    </w:p>
    <w:p>
      <w:pPr>
        <w:pStyle w:val="NavEntry"/>
        <w:tabs>
          <w:tab w:pos="9576" w:val="right" w:leader="dot"/>
        </w:tabs>
        <w:ind w:left="0"/>
      </w:pPr>
      <w:hyperlink w:anchor="table4" w:history="1">
        <w:r>
          <w:rPr>
            <w:color w:val="000000"/>
          </w:rPr>
          <w:t>Table 4. Required market-data fields</w:t>
        </w:r>
        <w:r>
          <w:rPr>
            <w:color w:val="000000"/>
          </w:rPr>
          <w:tab/>
        </w:r>
        <w:r>
          <w:rPr>
            <w:color w:val="000000"/>
          </w:rPr>
          <w:t>11</w:t>
        </w:r>
      </w:hyperlink>
    </w:p>
    <w:p>
      <w:pPr>
        <w:pStyle w:val="NavEntry"/>
        <w:tabs>
          <w:tab w:pos="9576" w:val="right" w:leader="dot"/>
        </w:tabs>
        <w:ind w:left="0"/>
      </w:pPr>
      <w:hyperlink w:anchor="table5" w:history="1">
        <w:r>
          <w:rPr>
            <w:color w:val="000000"/>
          </w:rPr>
          <w:t>Table 5. Baseline constrained-fit diagnostics</w:t>
        </w:r>
        <w:r>
          <w:rPr>
            <w:color w:val="000000"/>
          </w:rPr>
          <w:tab/>
        </w:r>
        <w:r>
          <w:rPr>
            <w:color w:val="000000"/>
          </w:rPr>
          <w:t>13</w:t>
        </w:r>
      </w:hyperlink>
    </w:p>
    <w:p>
      <w:pPr>
        <w:pStyle w:val="NavEntry"/>
        <w:tabs>
          <w:tab w:pos="9576" w:val="right" w:leader="dot"/>
        </w:tabs>
        <w:ind w:left="0"/>
      </w:pPr>
      <w:hyperlink w:anchor="table6" w:history="1">
        <w:r>
          <w:rPr>
            <w:color w:val="000000"/>
          </w:rPr>
          <w:t>Table 6. Smoothing sensitivity</w:t>
        </w:r>
        <w:r>
          <w:rPr>
            <w:color w:val="000000"/>
          </w:rPr>
          <w:tab/>
        </w:r>
        <w:r>
          <w:rPr>
            <w:color w:val="000000"/>
          </w:rPr>
          <w:t>15</w:t>
        </w:r>
      </w:hyperlink>
    </w:p>
    <w:p>
      <w:pPr>
        <w:pStyle w:val="NavEntry"/>
        <w:tabs>
          <w:tab w:pos="9576" w:val="right" w:leader="dot"/>
        </w:tabs>
        <w:ind w:left="0"/>
      </w:pPr>
      <w:hyperlink w:anchor="table7" w:history="1">
        <w:r>
          <w:rPr>
            <w:color w:val="000000"/>
          </w:rPr>
          <w:t>Table 7. Synthetic validation by expiry horizon</w:t>
        </w:r>
        <w:r>
          <w:rPr>
            <w:color w:val="000000"/>
          </w:rPr>
          <w:tab/>
        </w:r>
        <w:r>
          <w:rPr>
            <w:color w:val="000000"/>
          </w:rPr>
          <w:t>17</w:t>
        </w:r>
      </w:hyperlink>
    </w:p>
    <w:p>
      <w:pPr>
        <w:pStyle w:val="NavEntry"/>
        <w:tabs>
          <w:tab w:pos="9576" w:val="right" w:leader="dot"/>
        </w:tabs>
        <w:ind w:left="0"/>
      </w:pPr>
      <w:hyperlink w:anchor="table8" w:history="1">
        <w:r>
          <w:rPr>
            <w:color w:val="000000"/>
          </w:rPr>
          <w:t>Table 8. Cross-maturity calendar diagnostic</w:t>
        </w:r>
        <w:r>
          <w:rPr>
            <w:color w:val="000000"/>
          </w:rPr>
          <w:tab/>
        </w:r>
        <w:r>
          <w:rPr>
            <w:color w:val="000000"/>
          </w:rPr>
          <w:t>19</w:t>
        </w:r>
      </w:hyperlink>
    </w:p>
    <w:p>
      <w:pPr>
        <w:pStyle w:val="NavEntry"/>
        <w:tabs>
          <w:tab w:pos="9576" w:val="right" w:leader="dot"/>
        </w:tabs>
        <w:ind w:left="0"/>
      </w:pPr>
      <w:hyperlink w:anchor="table9" w:history="1">
        <w:r>
          <w:rPr>
            <w:color w:val="000000"/>
          </w:rPr>
          <w:t>Table 9. Independent and joint consistency and recovery accuracy</w:t>
        </w:r>
        <w:r>
          <w:rPr>
            <w:color w:val="000000"/>
          </w:rPr>
          <w:tab/>
        </w:r>
        <w:r>
          <w:rPr>
            <w:color w:val="000000"/>
          </w:rPr>
          <w:t>21</w:t>
        </w:r>
      </w:hyperlink>
    </w:p>
    <w:p>
      <w:pPr>
        <w:pStyle w:val="NavEntry"/>
        <w:tabs>
          <w:tab w:pos="9576" w:val="right" w:leader="dot"/>
        </w:tabs>
        <w:ind w:left="0"/>
      </w:pPr>
      <w:hyperlink w:anchor="table10" w:history="1">
        <w:r>
          <w:rPr>
            <w:color w:val="000000"/>
          </w:rPr>
          <w:t>Table 10. Joint-fit recovery accuracy by horizon</w:t>
        </w:r>
        <w:r>
          <w:rPr>
            <w:color w:val="000000"/>
          </w:rPr>
          <w:tab/>
        </w:r>
        <w:r>
          <w:rPr>
            <w:color w:val="000000"/>
          </w:rPr>
          <w:t>23</w:t>
        </w:r>
      </w:hyperlink>
    </w:p>
    <w:p>
      <w:pPr>
        <w:pStyle w:val="NavEntry"/>
        <w:tabs>
          <w:tab w:pos="9576" w:val="right" w:leader="dot"/>
        </w:tabs>
        <w:ind w:left="0"/>
      </w:pPr>
      <w:hyperlink w:anchor="table11" w:history="1">
        <w:r>
          <w:rPr>
            <w:color w:val="000000"/>
          </w:rPr>
          <w:t>Table 11. Declared sensitivity settings and comparable smoothing coefficients</w:t>
        </w:r>
        <w:r>
          <w:rPr>
            <w:color w:val="000000"/>
          </w:rPr>
          <w:tab/>
        </w:r>
        <w:r>
          <w:rPr>
            <w:color w:val="000000"/>
          </w:rPr>
          <w:t>27</w:t>
        </w:r>
      </w:hyperlink>
    </w:p>
    <w:p>
      <w:pPr>
        <w:pStyle w:val="NavEntry"/>
        <w:tabs>
          <w:tab w:pos="9576" w:val="right" w:leader="dot"/>
        </w:tabs>
        <w:ind w:left="0"/>
      </w:pPr>
      <w:hyperlink w:anchor="table12" w:history="1">
        <w:r>
          <w:rPr>
            <w:color w:val="000000"/>
          </w:rPr>
          <w:t>Table 12. Recovery accuracy across two benchmarks and seven settings</w:t>
        </w:r>
        <w:r>
          <w:rPr>
            <w:color w:val="000000"/>
          </w:rPr>
          <w:tab/>
        </w:r>
        <w:r>
          <w:rPr>
            <w:color w:val="000000"/>
          </w:rPr>
          <w:t>29</w:t>
        </w:r>
      </w:hyperlink>
    </w:p>
    <w:p>
      <w:pPr>
        <w:pStyle w:val="NavEntry"/>
        <w:tabs>
          <w:tab w:pos="9576" w:val="right" w:leader="dot"/>
        </w:tabs>
        <w:ind w:left="0"/>
      </w:pPr>
      <w:hyperlink w:anchor="table13" w:history="1">
        <w:r>
          <w:rPr>
            <w:color w:val="000000"/>
          </w:rPr>
          <w:t>Table 13. Known and fitted tail probabilities and variance at 365 days</w:t>
        </w:r>
        <w:r>
          <w:rPr>
            <w:color w:val="000000"/>
          </w:rPr>
          <w:tab/>
        </w:r>
        <w:r>
          <w:rPr>
            <w:color w:val="000000"/>
          </w:rPr>
          <w:t>32</w:t>
        </w:r>
      </w:hyperlink>
    </w:p>
    <w:p>
      <w:pPr>
        <w:pStyle w:val="NavEntry"/>
        <w:tabs>
          <w:tab w:pos="9576" w:val="right" w:leader="dot"/>
        </w:tabs>
        <w:ind w:left="0"/>
      </w:pPr>
      <w:hyperlink w:anchor="table14" w:history="1">
        <w:r>
          <w:rPr>
            <w:color w:val="000000"/>
          </w:rPr>
          <w:t>Table 14. Quote patterns, counts and threshold coverage</w:t>
        </w:r>
        <w:r>
          <w:rPr>
            <w:color w:val="000000"/>
          </w:rPr>
          <w:tab/>
        </w:r>
        <w:r>
          <w:rPr>
            <w:color w:val="000000"/>
          </w:rPr>
          <w:t>35</w:t>
        </w:r>
      </w:hyperlink>
    </w:p>
    <w:p>
      <w:pPr>
        <w:pStyle w:val="NavEntry"/>
        <w:tabs>
          <w:tab w:pos="9576" w:val="right" w:leader="dot"/>
        </w:tabs>
        <w:ind w:left="0"/>
      </w:pPr>
      <w:hyperlink w:anchor="table15" w:history="1">
        <w:r>
          <w:rPr>
            <w:color w:val="000000"/>
          </w:rPr>
          <w:t>Table 15. Mean recovery errors and Monte Carlo standard errors</w:t>
        </w:r>
        <w:r>
          <w:rPr>
            <w:color w:val="000000"/>
          </w:rPr>
          <w:tab/>
        </w:r>
        <w:r>
          <w:rPr>
            <w:color w:val="000000"/>
          </w:rPr>
          <w:t>39</w:t>
        </w:r>
      </w:hyperlink>
    </w:p>
    <w:p>
      <w:pPr>
        <w:pStyle w:val="NavEntry"/>
        <w:tabs>
          <w:tab w:pos="9576" w:val="right" w:leader="dot"/>
        </w:tabs>
        <w:ind w:left="0"/>
      </w:pPr>
      <w:hyperlink w:anchor="table16" w:history="1">
        <w:r>
          <w:rPr>
            <w:color w:val="000000"/>
          </w:rPr>
          <w:t>Table 16. Clean-input and repeated upper-tail errors</w:t>
        </w:r>
        <w:r>
          <w:rPr>
            <w:color w:val="000000"/>
          </w:rPr>
          <w:tab/>
        </w:r>
        <w:r>
          <w:rPr>
            <w:color w:val="000000"/>
          </w:rPr>
          <w:t>42</w:t>
        </w:r>
      </w:hyperlink>
    </w:p>
    <w:p>
      <w:pPr>
        <w:pStyle w:val="NavEntry"/>
        <w:tabs>
          <w:tab w:pos="9576" w:val="right" w:leader="dot"/>
        </w:tabs>
        <w:ind w:left="0"/>
      </w:pPr>
      <w:hyperlink w:anchor="table17" w:history="1">
        <w:r>
          <w:rPr>
            <w:color w:val="000000"/>
          </w:rPr>
          <w:t>Table 17. Paired changes in density and absolute tail errors</w:t>
        </w:r>
        <w:r>
          <w:rPr>
            <w:color w:val="000000"/>
          </w:rPr>
          <w:tab/>
        </w:r>
        <w:r>
          <w:rPr>
            <w:color w:val="000000"/>
          </w:rPr>
          <w:t>44</w:t>
        </w:r>
      </w:hyperlink>
    </w:p>
    <w:p>
      <w:pPr>
        <w:pStyle w:val="NavEntry"/>
        <w:tabs>
          <w:tab w:pos="9576" w:val="right" w:leader="dot"/>
        </w:tabs>
        <w:ind w:left="0"/>
      </w:pPr>
      <w:hyperlink w:anchor="table18" w:history="1">
        <w:r>
          <w:rPr>
            <w:color w:val="000000"/>
          </w:rPr>
          <w:t>Table 18. Smoothing-selection frequencies across repetitions</w:t>
        </w:r>
        <w:r>
          <w:rPr>
            <w:color w:val="000000"/>
          </w:rPr>
          <w:tab/>
        </w:r>
        <w:r>
          <w:rPr>
            <w:color w:val="000000"/>
          </w:rPr>
          <w:t>45</w:t>
        </w:r>
      </w:hyperlink>
    </w:p>
    <w:p>
      <w:pPr>
        <w:pStyle w:val="NavEntry"/>
        <w:tabs>
          <w:tab w:pos="9576" w:val="right" w:leader="dot"/>
        </w:tabs>
        <w:ind w:left="0"/>
      </w:pPr>
      <w:hyperlink w:anchor="table19" w:history="1">
        <w:r>
          <w:rPr>
            <w:color w:val="000000"/>
          </w:rPr>
          <w:t>Table 19. Recovery under selected and fixed smoothing</w:t>
        </w:r>
        <w:r>
          <w:rPr>
            <w:color w:val="000000"/>
          </w:rPr>
          <w:tab/>
        </w:r>
        <w:r>
          <w:rPr>
            <w:color w:val="000000"/>
          </w:rPr>
          <w:t>48</w:t>
        </w:r>
      </w:hyperlink>
    </w:p>
    <w:p>
      <w:pPr>
        <w:pStyle w:val="NavEntry"/>
        <w:tabs>
          <w:tab w:pos="9576" w:val="right" w:leader="dot"/>
        </w:tabs>
        <w:ind w:left="0"/>
      </w:pPr>
      <w:hyperlink w:anchor="table20" w:history="1">
        <w:r>
          <w:rPr>
            <w:color w:val="000000"/>
          </w:rPr>
          <w:t>Table 20. Paired selected-minus-fixed recovery errors</w:t>
        </w:r>
        <w:r>
          <w:rPr>
            <w:color w:val="000000"/>
          </w:rPr>
          <w:tab/>
        </w:r>
        <w:r>
          <w:rPr>
            <w:color w:val="000000"/>
          </w:rPr>
          <w:t>50</w:t>
        </w:r>
      </w:hyperlink>
    </w:p>
    <w:p>
      <w:pPr>
        <w:pStyle w:val="NavEntry"/>
        <w:tabs>
          <w:tab w:pos="9576" w:val="right" w:leader="dot"/>
        </w:tabs>
        <w:ind w:left="0"/>
      </w:pPr>
      <w:hyperlink w:anchor="table21" w:history="1">
        <w:r>
          <w:rPr>
            <w:color w:val="000000"/>
          </w:rPr>
          <w:t>Table 21. Forward sensitivity and incompatible lower-bound quotes</w:t>
        </w:r>
        <w:r>
          <w:rPr>
            <w:color w:val="000000"/>
          </w:rPr>
          <w:tab/>
        </w:r>
        <w:r>
          <w:rPr>
            <w:color w:val="000000"/>
          </w:rPr>
          <w:t>52</w:t>
        </w:r>
      </w:hyperlink>
    </w:p>
    <w:p>
      <w:pPr>
        <w:pStyle w:val="NavEntry"/>
        <w:tabs>
          <w:tab w:pos="9576" w:val="right" w:leader="dot"/>
        </w:tabs>
        <w:ind w:left="0"/>
      </w:pPr>
      <w:hyperlink w:anchor="table22" w:history="1">
        <w:r>
          <w:rPr>
            <w:color w:val="000000"/>
          </w:rPr>
          <w:t>Table 22. Updated source-access assessment for empirical calibration</w:t>
        </w:r>
        <w:r>
          <w:rPr>
            <w:color w:val="000000"/>
          </w:rPr>
          <w:tab/>
        </w:r>
        <w:r>
          <w:rPr>
            <w:color w:val="000000"/>
          </w:rPr>
          <w:t>55</w:t>
        </w:r>
      </w:hyperlink>
    </w:p>
    <w:p>
      <w:pPr>
        <w:pStyle w:val="NavEntry"/>
        <w:tabs>
          <w:tab w:pos="9576" w:val="right" w:leader="dot"/>
        </w:tabs>
        <w:ind w:left="0"/>
      </w:pPr>
      <w:hyperlink w:anchor="table23" w:history="1">
        <w:r>
          <w:rPr>
            <w:color w:val="000000"/>
          </w:rPr>
          <w:t>Table 23. Synthetic input pairs and conditional forward inference</w:t>
        </w:r>
        <w:r>
          <w:rPr>
            <w:color w:val="000000"/>
          </w:rPr>
          <w:tab/>
        </w:r>
        <w:r>
          <w:rPr>
            <w:color w:val="000000"/>
          </w:rPr>
          <w:t>59</w:t>
        </w:r>
      </w:hyperlink>
    </w:p>
    <w:p>
      <w:pPr>
        <w:pStyle w:val="NavEntry"/>
        <w:tabs>
          <w:tab w:pos="9576" w:val="right" w:leader="dot"/>
        </w:tabs>
        <w:ind w:left="0"/>
      </w:pPr>
      <w:hyperlink w:anchor="table24" w:history="1">
        <w:r>
          <w:rPr>
            <w:color w:val="000000"/>
          </w:rPr>
          <w:t>Table 24. Separate fixture recovery and in-sample spread diagnostics</w:t>
        </w:r>
        <w:r>
          <w:rPr>
            <w:color w:val="000000"/>
          </w:rPr>
          <w:tab/>
        </w:r>
        <w:r>
          <w:rPr>
            <w:color w:val="000000"/>
          </w:rPr>
          <w:t>61</w:t>
        </w:r>
      </w:hyperlink>
    </w:p>
    <w:p>
      <w:pPr>
        <w:pStyle w:val="NavEntry"/>
        <w:tabs>
          <w:tab w:pos="9576" w:val="right" w:leader="dot"/>
        </w:tabs>
        <w:ind w:left="0"/>
      </w:pPr>
      <w:hyperlink w:anchor="table25" w:history="1">
        <w:r>
          <w:rPr>
            <w:color w:val="000000"/>
          </w:rPr>
          <w:t>Table 25. Deliberately invalid input cases and observed responses</w:t>
        </w:r>
        <w:r>
          <w:rPr>
            <w:color w:val="000000"/>
          </w:rPr>
          <w:tab/>
        </w:r>
        <w:r>
          <w:rPr>
            <w:color w:val="000000"/>
          </w:rPr>
          <w:t>63</w:t>
        </w:r>
      </w:hyperlink>
    </w:p>
    <w:p>
      <w:pPr>
        <w:pStyle w:val="NavEntry"/>
        <w:tabs>
          <w:tab w:pos="9576" w:val="right" w:leader="dot"/>
        </w:tabs>
        <w:ind w:left="0"/>
      </w:pPr>
      <w:hyperlink w:anchor="table26" w:history="1">
        <w:r>
          <w:rPr>
            <w:color w:val="000000"/>
          </w:rPr>
          <w:t>Table 26. Supplied marking-price files, dates and assigned roles</w:t>
        </w:r>
        <w:r>
          <w:rPr>
            <w:color w:val="000000"/>
          </w:rPr>
          <w:tab/>
        </w:r>
        <w:r>
          <w:rPr>
            <w:color w:val="000000"/>
          </w:rPr>
          <w:t>64</w:t>
        </w:r>
      </w:hyperlink>
    </w:p>
    <w:p>
      <w:pPr>
        <w:pStyle w:val="NavEntry"/>
        <w:tabs>
          <w:tab w:pos="9576" w:val="right" w:leader="dot"/>
        </w:tabs>
        <w:ind w:left="0"/>
      </w:pPr>
      <w:hyperlink w:anchor="table27" w:history="1">
        <w:r>
          <w:rPr>
            <w:color w:val="000000"/>
          </w:rPr>
          <w:t>Table 27. Quote-implied discount/forward inputs and feasible discount projections</w:t>
        </w:r>
        <w:r>
          <w:rPr>
            <w:color w:val="000000"/>
          </w:rPr>
          <w:tab/>
        </w:r>
        <w:r>
          <w:rPr>
            <w:color w:val="000000"/>
          </w:rPr>
          <w:t>67</w:t>
        </w:r>
      </w:hyperlink>
    </w:p>
    <w:p>
      <w:pPr>
        <w:pStyle w:val="NavEntry"/>
        <w:tabs>
          <w:tab w:pos="9576" w:val="right" w:leader="dot"/>
        </w:tabs>
        <w:ind w:left="0"/>
      </w:pPr>
      <w:hyperlink w:anchor="table28" w:history="1">
        <w:r>
          <w:rPr>
            <w:color w:val="000000"/>
          </w:rPr>
          <w:t>Table 28. Primary empirical coverage and call/put spread residuals</w:t>
        </w:r>
        <w:r>
          <w:rPr>
            <w:color w:val="000000"/>
          </w:rPr>
          <w:tab/>
        </w:r>
        <w:r>
          <w:rPr>
            <w:color w:val="000000"/>
          </w:rPr>
          <w:t>69</w:t>
        </w:r>
      </w:hyperlink>
    </w:p>
    <w:p>
      <w:pPr>
        <w:pStyle w:val="NavEntry"/>
        <w:tabs>
          <w:tab w:pos="9576" w:val="right" w:leader="dot"/>
        </w:tabs>
        <w:ind w:left="0"/>
      </w:pPr>
      <w:hyperlink w:anchor="table29" w:history="1">
        <w:r>
          <w:rPr>
            <w:color w:val="000000"/>
          </w:rPr>
          <w:t>Table 29. Primary and post-hoc smoothing grids and fit diagnostics</w:t>
        </w:r>
        <w:r>
          <w:rPr>
            <w:color w:val="000000"/>
          </w:rPr>
          <w:tab/>
        </w:r>
        <w:r>
          <w:rPr>
            <w:color w:val="000000"/>
          </w:rPr>
          <w:t>72</w:t>
        </w:r>
      </w:hyperlink>
    </w:p>
    <w:p>
      <w:pPr>
        <w:pStyle w:val="NavEntry"/>
        <w:tabs>
          <w:tab w:pos="9576" w:val="right" w:leader="dot"/>
        </w:tabs>
        <w:ind w:left="0"/>
      </w:pPr>
      <w:hyperlink w:anchor="table30" w:history="1">
        <w:r>
          <w:rPr>
            <w:color w:val="000000"/>
          </w:rPr>
          <w:t>Table 30. Conditional empirical tail probabilities and variance sensitivity</w:t>
        </w:r>
        <w:r>
          <w:rPr>
            <w:color w:val="000000"/>
          </w:rPr>
          <w:tab/>
        </w:r>
        <w:r>
          <w:rPr>
            <w:color w:val="000000"/>
          </w:rPr>
          <w:t>74</w:t>
        </w:r>
      </w:hyperlink>
    </w:p>
    <w:p>
      <w:pPr>
        <w:pStyle w:val="NavEntry"/>
        <w:tabs>
          <w:tab w:pos="9576" w:val="right" w:leader="dot"/>
        </w:tabs>
        <w:ind w:left="0"/>
      </w:pPr>
      <w:hyperlink w:anchor="table31" w:history="1">
        <w:r>
          <w:rPr>
            <w:color w:val="000000"/>
          </w:rPr>
          <w:t>Table 31. Dated quote coverage, common strikes and inferred carry</w:t>
        </w:r>
        <w:r>
          <w:rPr>
            <w:color w:val="000000"/>
          </w:rPr>
          <w:tab/>
        </w:r>
        <w:r>
          <w:rPr>
            <w:color w:val="000000"/>
          </w:rPr>
          <w:t>77</w:t>
        </w:r>
      </w:hyperlink>
    </w:p>
    <w:p>
      <w:pPr>
        <w:pStyle w:val="NavEntry"/>
        <w:tabs>
          <w:tab w:pos="9576" w:val="right" w:leader="dot"/>
        </w:tabs>
        <w:ind w:left="0"/>
      </w:pPr>
      <w:hyperlink w:anchor="table32" w:history="1">
        <w:r>
          <w:rPr>
            <w:color w:val="000000"/>
          </w:rPr>
          <w:t>Table 32. Finite-grid price feasibility and equivalent numerical formulations</w:t>
        </w:r>
        <w:r>
          <w:rPr>
            <w:color w:val="000000"/>
          </w:rPr>
          <w:tab/>
        </w:r>
        <w:r>
          <w:rPr>
            <w:color w:val="000000"/>
          </w:rPr>
          <w:t>79</w:t>
        </w:r>
      </w:hyperlink>
    </w:p>
    <w:p>
      <w:pPr>
        <w:pStyle w:val="NavEntry"/>
        <w:tabs>
          <w:tab w:pos="9576" w:val="right" w:leader="dot"/>
        </w:tabs>
        <w:ind w:left="0"/>
      </w:pPr>
      <w:hyperlink w:anchor="table33" w:history="1">
        <w:r>
          <w:rPr>
            <w:color w:val="000000"/>
          </w:rPr>
          <w:t>Table 33. Original call/put spread fit and midpoint residual comparisons</w:t>
        </w:r>
        <w:r>
          <w:rPr>
            <w:color w:val="000000"/>
          </w:rPr>
          <w:tab/>
        </w:r>
        <w:r>
          <w:rPr>
            <w:color w:val="000000"/>
          </w:rPr>
          <w:t>81</w:t>
        </w:r>
      </w:hyperlink>
    </w:p>
    <w:p>
      <w:pPr>
        <w:pStyle w:val="NavEntry"/>
        <w:tabs>
          <w:tab w:pos="9576" w:val="right" w:leader="dot"/>
        </w:tabs>
        <w:ind w:left="0"/>
      </w:pPr>
      <w:hyperlink w:anchor="table34" w:history="1">
        <w:r>
          <w:rPr>
            <w:color w:val="000000"/>
          </w:rPr>
          <w:t>Table 34. Paired held-out price errors and successful-fold coverage</w:t>
        </w:r>
        <w:r>
          <w:rPr>
            <w:color w:val="000000"/>
          </w:rPr>
          <w:tab/>
        </w:r>
        <w:r>
          <w:rPr>
            <w:color w:val="000000"/>
          </w:rPr>
          <w:t>84</w:t>
        </w:r>
      </w:hyperlink>
    </w:p>
    <w:p>
      <w:pPr>
        <w:pStyle w:val="NavEntry"/>
        <w:tabs>
          <w:tab w:pos="9576" w:val="right" w:leader="dot"/>
        </w:tabs>
        <w:ind w:left="0"/>
      </w:pPr>
      <w:hyperlink w:anchor="table35" w:history="1">
        <w:r>
          <w:rPr>
            <w:color w:val="000000"/>
          </w:rPr>
          <w:t>Table 35. Common-horizon conditional risk summaries and sample sensitivity</w:t>
        </w:r>
        <w:r>
          <w:rPr>
            <w:color w:val="000000"/>
          </w:rPr>
          <w:tab/>
        </w:r>
        <w:r>
          <w:rPr>
            <w:color w:val="000000"/>
          </w:rPr>
          <w:t>89</w:t>
        </w:r>
      </w:hyperlink>
    </w:p>
    <w:p>
      <w:pPr>
        <w:pStyle w:val="NavEntry"/>
        <w:tabs>
          <w:tab w:pos="9576" w:val="right" w:leader="dot"/>
        </w:tabs>
        <w:ind w:left="0"/>
      </w:pPr>
      <w:hyperlink w:anchor="table36" w:history="1">
        <w:r>
          <w:rPr>
            <w:color w:val="000000"/>
          </w:rPr>
          <w:t>Table 36. Conditional feasible ranges for common-horizon tail events</w:t>
        </w:r>
        <w:r>
          <w:rPr>
            <w:color w:val="000000"/>
          </w:rPr>
          <w:tab/>
        </w:r>
        <w:r>
          <w:rPr>
            <w:color w:val="000000"/>
          </w:rPr>
          <w:t>91</w:t>
        </w:r>
      </w:hyperlink>
    </w:p>
    <w:bookmarkEnd w:id="23"/>
    <w:bookmarkStart w:id="24" w:name="list-of-equations"/>
    <w:p>
      <w:bookmarkStart w:id="505" w:name="front_list_of_equations"/>
      <w:pPr>
        <w:pStyle w:val="FrontHeading"/>
      </w:pPr>
      <w:r>
        <w:t xml:space="preserve">List of equations</w:t>
      </w:r>
      <w:bookmarkEnd w:id="505"/>
    </w:p>
    <w:p>
      <w:pPr>
        <w:pStyle w:val="NavEntry"/>
        <w:tabs>
          <w:tab w:pos="9576" w:val="right" w:leader="dot"/>
        </w:tabs>
        <w:ind w:left="0"/>
      </w:pPr>
      <w:hyperlink w:anchor="equation1" w:history="1">
        <w:r>
          <w:rPr>
            <w:color w:val="000000"/>
          </w:rPr>
          <w:t>Equation 1. Discounted expected call payoff</w:t>
        </w:r>
        <w:r>
          <w:rPr>
            <w:color w:val="000000"/>
          </w:rPr>
          <w:tab/>
        </w:r>
        <w:r>
          <w:rPr>
            <w:color w:val="000000"/>
          </w:rPr>
          <w:t>3</w:t>
        </w:r>
      </w:hyperlink>
    </w:p>
    <w:p>
      <w:pPr>
        <w:pStyle w:val="NavEntry"/>
        <w:tabs>
          <w:tab w:pos="9576" w:val="right" w:leader="dot"/>
        </w:tabs>
        <w:ind w:left="0"/>
      </w:pPr>
      <w:hyperlink w:anchor="equation2" w:history="1">
        <w:r>
          <w:rPr>
            <w:color w:val="000000"/>
          </w:rPr>
          <w:t>Equation 2. First strike derivative of the call price</w:t>
        </w:r>
        <w:r>
          <w:rPr>
            <w:color w:val="000000"/>
          </w:rPr>
          <w:tab/>
        </w:r>
        <w:r>
          <w:rPr>
            <w:color w:val="000000"/>
          </w:rPr>
          <w:t>3</w:t>
        </w:r>
      </w:hyperlink>
    </w:p>
    <w:p>
      <w:pPr>
        <w:pStyle w:val="NavEntry"/>
        <w:tabs>
          <w:tab w:pos="9576" w:val="right" w:leader="dot"/>
        </w:tabs>
        <w:ind w:left="0"/>
      </w:pPr>
      <w:hyperlink w:anchor="equation3" w:history="1">
        <w:r>
          <w:rPr>
            <w:color w:val="000000"/>
          </w:rPr>
          <w:t>Equation 3. Breeden–Litzenberger density-extraction relationship</w:t>
        </w:r>
        <w:r>
          <w:rPr>
            <w:color w:val="000000"/>
          </w:rPr>
          <w:tab/>
        </w:r>
        <w:r>
          <w:rPr>
            <w:color w:val="000000"/>
          </w:rPr>
          <w:t>3</w:t>
        </w:r>
      </w:hyperlink>
    </w:p>
    <w:p>
      <w:pPr>
        <w:pStyle w:val="NavEntry"/>
        <w:tabs>
          <w:tab w:pos="9576" w:val="right" w:leader="dot"/>
        </w:tabs>
        <w:ind w:left="0"/>
      </w:pPr>
      <w:hyperlink w:anchor="equation4" w:history="1">
        <w:r>
          <w:rPr>
            <w:color w:val="000000"/>
          </w:rPr>
          <w:t>Equation 4. Centred finite-difference density estimate</w:t>
        </w:r>
        <w:r>
          <w:rPr>
            <w:color w:val="000000"/>
          </w:rPr>
          <w:tab/>
        </w:r>
        <w:r>
          <w:rPr>
            <w:color w:val="000000"/>
          </w:rPr>
          <w:t>4</w:t>
        </w:r>
      </w:hyperlink>
    </w:p>
    <w:p>
      <w:pPr>
        <w:pStyle w:val="NavEntry"/>
        <w:tabs>
          <w:tab w:pos="9576" w:val="right" w:leader="dot"/>
        </w:tabs>
        <w:ind w:left="0"/>
      </w:pPr>
      <w:hyperlink w:anchor="equation5" w:history="1">
        <w:r>
          <w:rPr>
            <w:color w:val="000000"/>
          </w:rPr>
          <w:t>Equation 5. Bid–ask midpoint</w:t>
        </w:r>
        <w:r>
          <w:rPr>
            <w:color w:val="000000"/>
          </w:rPr>
          <w:tab/>
        </w:r>
        <w:r>
          <w:rPr>
            <w:color w:val="000000"/>
          </w:rPr>
          <w:t>7</w:t>
        </w:r>
      </w:hyperlink>
    </w:p>
    <w:p>
      <w:pPr>
        <w:pStyle w:val="NavEntry"/>
        <w:tabs>
          <w:tab w:pos="9576" w:val="right" w:leader="dot"/>
        </w:tabs>
        <w:ind w:left="0"/>
      </w:pPr>
      <w:hyperlink w:anchor="equation6" w:history="1">
        <w:r>
          <w:rPr>
            <w:color w:val="000000"/>
          </w:rPr>
          <w:t>Equation 6. Relative bid–ask spread</w:t>
        </w:r>
        <w:r>
          <w:rPr>
            <w:color w:val="000000"/>
          </w:rPr>
          <w:tab/>
        </w:r>
        <w:r>
          <w:rPr>
            <w:color w:val="000000"/>
          </w:rPr>
          <w:t>7</w:t>
        </w:r>
      </w:hyperlink>
    </w:p>
    <w:p>
      <w:pPr>
        <w:pStyle w:val="NavEntry"/>
        <w:tabs>
          <w:tab w:pos="9576" w:val="right" w:leader="dot"/>
        </w:tabs>
        <w:ind w:left="0"/>
      </w:pPr>
      <w:hyperlink w:anchor="equation7" w:history="1">
        <w:r>
          <w:rPr>
            <w:color w:val="000000"/>
          </w:rPr>
          <w:t>Equation 7. Discounted put–call parity</w:t>
        </w:r>
        <w:r>
          <w:rPr>
            <w:color w:val="000000"/>
          </w:rPr>
          <w:tab/>
        </w:r>
        <w:r>
          <w:rPr>
            <w:color w:val="000000"/>
          </w:rPr>
          <w:t>10</w:t>
        </w:r>
      </w:hyperlink>
    </w:p>
    <w:p>
      <w:pPr>
        <w:pStyle w:val="NavEntry"/>
        <w:tabs>
          <w:tab w:pos="9576" w:val="right" w:leader="dot"/>
        </w:tabs>
        <w:ind w:left="0"/>
      </w:pPr>
      <w:hyperlink w:anchor="equation8" w:history="1">
        <w:r>
          <w:rPr>
            <w:color w:val="000000"/>
          </w:rPr>
          <w:t>Equation 8. Indicative forward interval from bid–ask quotes</w:t>
        </w:r>
        <w:r>
          <w:rPr>
            <w:color w:val="000000"/>
          </w:rPr>
          <w:tab/>
        </w:r>
        <w:r>
          <w:rPr>
            <w:color w:val="000000"/>
          </w:rPr>
          <w:t>10</w:t>
        </w:r>
      </w:hyperlink>
    </w:p>
    <w:p>
      <w:pPr>
        <w:pStyle w:val="NavEntry"/>
        <w:tabs>
          <w:tab w:pos="9576" w:val="right" w:leader="dot"/>
        </w:tabs>
        <w:ind w:left="0"/>
      </w:pPr>
      <w:hyperlink w:anchor="equation9" w:history="1">
        <w:r>
          <w:rPr>
            <w:color w:val="000000"/>
          </w:rPr>
          <w:t>Equation 9. Piecewise-constant probability density</w:t>
        </w:r>
        <w:r>
          <w:rPr>
            <w:color w:val="000000"/>
          </w:rPr>
          <w:tab/>
        </w:r>
        <w:r>
          <w:rPr>
            <w:color w:val="000000"/>
          </w:rPr>
          <w:t>11</w:t>
        </w:r>
      </w:hyperlink>
    </w:p>
    <w:p>
      <w:pPr>
        <w:pStyle w:val="NavEntry"/>
        <w:tabs>
          <w:tab w:pos="9576" w:val="right" w:leader="dot"/>
        </w:tabs>
        <w:ind w:left="0"/>
      </w:pPr>
      <w:hyperlink w:anchor="equation10" w:history="1">
        <w:r>
          <w:rPr>
            <w:color w:val="000000"/>
          </w:rPr>
          <w:t>Equation 10. Non-negativity, total-mass and forward constraints</w:t>
        </w:r>
        <w:r>
          <w:rPr>
            <w:color w:val="000000"/>
          </w:rPr>
          <w:tab/>
        </w:r>
        <w:r>
          <w:rPr>
            <w:color w:val="000000"/>
          </w:rPr>
          <w:t>11</w:t>
        </w:r>
      </w:hyperlink>
    </w:p>
    <w:p>
      <w:pPr>
        <w:pStyle w:val="NavEntry"/>
        <w:tabs>
          <w:tab w:pos="9576" w:val="right" w:leader="dot"/>
        </w:tabs>
        <w:ind w:left="0"/>
      </w:pPr>
      <w:hyperlink w:anchor="equation11" w:history="1">
        <w:r>
          <w:rPr>
            <w:color w:val="000000"/>
          </w:rPr>
          <w:t>Equation 11. Exact call valuation under interval probabilities</w:t>
        </w:r>
        <w:r>
          <w:rPr>
            <w:color w:val="000000"/>
          </w:rPr>
          <w:tab/>
        </w:r>
        <w:r>
          <w:rPr>
            <w:color w:val="000000"/>
          </w:rPr>
          <w:t>12</w:t>
        </w:r>
      </w:hyperlink>
    </w:p>
    <w:p>
      <w:pPr>
        <w:pStyle w:val="NavEntry"/>
        <w:tabs>
          <w:tab w:pos="9576" w:val="right" w:leader="dot"/>
        </w:tabs>
        <w:ind w:left="0"/>
      </w:pPr>
      <w:hyperlink w:anchor="equation12" w:history="1">
        <w:r>
          <w:rPr>
            <w:color w:val="000000"/>
          </w:rPr>
          <w:t>Equation 12. Regularised constrained fitting objective</w:t>
        </w:r>
        <w:r>
          <w:rPr>
            <w:color w:val="000000"/>
          </w:rPr>
          <w:tab/>
        </w:r>
        <w:r>
          <w:rPr>
            <w:color w:val="000000"/>
          </w:rPr>
          <w:t>12</w:t>
        </w:r>
      </w:hyperlink>
    </w:p>
    <w:p>
      <w:pPr>
        <w:pStyle w:val="NavEntry"/>
        <w:tabs>
          <w:tab w:pos="9576" w:val="right" w:leader="dot"/>
        </w:tabs>
        <w:ind w:left="0"/>
      </w:pPr>
      <w:hyperlink w:anchor="equation13" w:history="1">
        <w:r>
          <w:rPr>
            <w:color w:val="000000"/>
          </w:rPr>
          <w:t>Equation 13. Forward-normalised call value</w:t>
        </w:r>
        <w:r>
          <w:rPr>
            <w:color w:val="000000"/>
          </w:rPr>
          <w:tab/>
        </w:r>
        <w:r>
          <w:rPr>
            <w:color w:val="000000"/>
          </w:rPr>
          <w:t>16</w:t>
        </w:r>
      </w:hyperlink>
    </w:p>
    <w:p>
      <w:pPr>
        <w:pStyle w:val="NavEntry"/>
        <w:tabs>
          <w:tab w:pos="9576" w:val="right" w:leader="dot"/>
        </w:tabs>
        <w:ind w:left="0"/>
      </w:pPr>
      <w:hyperlink w:anchor="equation14" w:history="1">
        <w:r>
          <w:rPr>
            <w:color w:val="000000"/>
          </w:rPr>
          <w:t>Equation 14. Cross-maturity consistency at fixed forward moneyness</w:t>
        </w:r>
        <w:r>
          <w:rPr>
            <w:color w:val="000000"/>
          </w:rPr>
          <w:tab/>
        </w:r>
        <w:r>
          <w:rPr>
            <w:color w:val="000000"/>
          </w:rPr>
          <w:t>16</w:t>
        </w:r>
      </w:hyperlink>
    </w:p>
    <w:p>
      <w:pPr>
        <w:pStyle w:val="NavEntry"/>
        <w:tabs>
          <w:tab w:pos="9576" w:val="right" w:leader="dot"/>
        </w:tabs>
        <w:ind w:left="0"/>
      </w:pPr>
      <w:hyperlink w:anchor="equation15" w:history="1">
        <w:r>
          <w:rPr>
            <w:color w:val="000000"/>
          </w:rPr>
          <w:t>Equation 15. Integrated absolute density error on fitting support</w:t>
        </w:r>
        <w:r>
          <w:rPr>
            <w:color w:val="000000"/>
          </w:rPr>
          <w:tab/>
        </w:r>
        <w:r>
          <w:rPr>
            <w:color w:val="000000"/>
          </w:rPr>
          <w:t>16</w:t>
        </w:r>
      </w:hyperlink>
    </w:p>
    <w:p>
      <w:pPr>
        <w:pStyle w:val="NavEntry"/>
        <w:tabs>
          <w:tab w:pos="9576" w:val="right" w:leader="dot"/>
        </w:tabs>
        <w:ind w:left="0"/>
      </w:pPr>
      <w:hyperlink w:anchor="equation16" w:history="1">
        <w:r>
          <w:rPr>
            <w:color w:val="000000"/>
          </w:rPr>
          <w:t>Equation 16. Common forward-coordinate density and physical density</w:t>
        </w:r>
        <w:r>
          <w:rPr>
            <w:color w:val="000000"/>
          </w:rPr>
          <w:tab/>
        </w:r>
        <w:r>
          <w:rPr>
            <w:color w:val="000000"/>
          </w:rPr>
          <w:t>19</w:t>
        </w:r>
      </w:hyperlink>
    </w:p>
    <w:p>
      <w:pPr>
        <w:pStyle w:val="NavEntry"/>
        <w:tabs>
          <w:tab w:pos="9576" w:val="right" w:leader="dot"/>
        </w:tabs>
        <w:ind w:left="0"/>
      </w:pPr>
      <w:hyperlink w:anchor="equation17" w:history="1">
        <w:r>
          <w:rPr>
            <w:color w:val="000000"/>
          </w:rPr>
          <w:t>Equation 17. Joint quadratic programme with calendar constraints</w:t>
        </w:r>
        <w:r>
          <w:rPr>
            <w:color w:val="000000"/>
          </w:rPr>
          <w:tab/>
        </w:r>
        <w:r>
          <w:rPr>
            <w:color w:val="000000"/>
          </w:rPr>
          <w:t>20</w:t>
        </w:r>
      </w:hyperlink>
    </w:p>
    <w:p>
      <w:pPr>
        <w:pStyle w:val="NavEntry"/>
        <w:tabs>
          <w:tab w:pos="9576" w:val="right" w:leader="dot"/>
        </w:tabs>
        <w:ind w:left="0"/>
      </w:pPr>
      <w:hyperlink w:anchor="equation18" w:history="1">
        <w:r>
          <w:rPr>
            <w:color w:val="000000"/>
          </w:rPr>
          <w:t>Equation 18. Within-bin quadratic calendar gap</w:t>
        </w:r>
        <w:r>
          <w:rPr>
            <w:color w:val="000000"/>
          </w:rPr>
          <w:tab/>
        </w:r>
        <w:r>
          <w:rPr>
            <w:color w:val="000000"/>
          </w:rPr>
          <w:t>20</w:t>
        </w:r>
      </w:hyperlink>
    </w:p>
    <w:p>
      <w:pPr>
        <w:pStyle w:val="NavEntry"/>
        <w:tabs>
          <w:tab w:pos="9576" w:val="right" w:leader="dot"/>
        </w:tabs>
        <w:ind w:left="0"/>
      </w:pPr>
      <w:hyperlink w:anchor="equation19" w:history="1">
        <w:r>
          <w:rPr>
            <w:color w:val="000000"/>
          </w:rPr>
          <w:t>Equation 19. Interior calendar-gap minimum</w:t>
        </w:r>
        <w:r>
          <w:rPr>
            <w:color w:val="000000"/>
          </w:rPr>
          <w:tab/>
        </w:r>
        <w:r>
          <w:rPr>
            <w:color w:val="000000"/>
          </w:rPr>
          <w:t>20</w:t>
        </w:r>
      </w:hyperlink>
    </w:p>
    <w:p>
      <w:pPr>
        <w:pStyle w:val="NavEntry"/>
        <w:tabs>
          <w:tab w:pos="9576" w:val="right" w:leader="dot"/>
        </w:tabs>
        <w:ind w:left="0"/>
      </w:pPr>
      <w:hyperlink w:anchor="equation20" w:history="1">
        <w:r>
          <w:rPr>
            <w:color w:val="000000"/>
          </w:rPr>
          <w:t>Equation 20. Lognormal-mixture density and weighted option prices</w:t>
        </w:r>
        <w:r>
          <w:rPr>
            <w:color w:val="000000"/>
          </w:rPr>
          <w:tab/>
        </w:r>
        <w:r>
          <w:rPr>
            <w:color w:val="000000"/>
          </w:rPr>
          <w:t>26</w:t>
        </w:r>
      </w:hyperlink>
    </w:p>
    <w:p>
      <w:pPr>
        <w:pStyle w:val="NavEntry"/>
        <w:tabs>
          <w:tab w:pos="9576" w:val="right" w:leader="dot"/>
        </w:tabs>
        <w:ind w:left="0"/>
      </w:pPr>
      <w:hyperlink w:anchor="equation21" w:history="1">
        <w:r>
          <w:rPr>
            <w:color w:val="000000"/>
          </w:rPr>
          <w:t>Equation 21. Grid-scaled discrete density roughness</w:t>
        </w:r>
        <w:r>
          <w:rPr>
            <w:color w:val="000000"/>
          </w:rPr>
          <w:tab/>
        </w:r>
        <w:r>
          <w:rPr>
            <w:color w:val="000000"/>
          </w:rPr>
          <w:t>26</w:t>
        </w:r>
      </w:hyperlink>
    </w:p>
    <w:p>
      <w:pPr>
        <w:pStyle w:val="NavEntry"/>
        <w:tabs>
          <w:tab w:pos="9576" w:val="right" w:leader="dot"/>
        </w:tabs>
        <w:ind w:left="0"/>
      </w:pPr>
      <w:hyperlink w:anchor="equation22" w:history="1">
        <w:r>
          <w:rPr>
            <w:color w:val="000000"/>
          </w:rPr>
          <w:t>Equation 22. Equivalent smoothing coefficient across grids</w:t>
        </w:r>
        <w:r>
          <w:rPr>
            <w:color w:val="000000"/>
          </w:rPr>
          <w:tab/>
        </w:r>
        <w:r>
          <w:rPr>
            <w:color w:val="000000"/>
          </w:rPr>
          <w:t>26</w:t>
        </w:r>
      </w:hyperlink>
    </w:p>
    <w:p>
      <w:pPr>
        <w:pStyle w:val="NavEntry"/>
        <w:tabs>
          <w:tab w:pos="9576" w:val="right" w:leader="dot"/>
        </w:tabs>
        <w:ind w:left="0"/>
      </w:pPr>
      <w:hyperlink w:anchor="equation23" w:history="1">
        <w:r>
          <w:rPr>
            <w:color w:val="000000"/>
          </w:rPr>
          <w:t>Equation 23. Full-domain density error including omitted tails</w:t>
        </w:r>
        <w:r>
          <w:rPr>
            <w:color w:val="000000"/>
          </w:rPr>
          <w:tab/>
        </w:r>
        <w:r>
          <w:rPr>
            <w:color w:val="000000"/>
          </w:rPr>
          <w:t>27</w:t>
        </w:r>
      </w:hyperlink>
    </w:p>
    <w:p>
      <w:pPr>
        <w:pStyle w:val="NavEntry"/>
        <w:tabs>
          <w:tab w:pos="9576" w:val="right" w:leader="dot"/>
        </w:tabs>
        <w:ind w:left="0"/>
      </w:pPr>
      <w:hyperlink w:anchor="equation24" w:history="1">
        <w:r>
          <w:rPr>
            <w:color w:val="000000"/>
          </w:rPr>
          <w:t>Equation 24. Risk-neutral tail probabilities at stated forward thresholds</w:t>
        </w:r>
        <w:r>
          <w:rPr>
            <w:color w:val="000000"/>
          </w:rPr>
          <w:tab/>
        </w:r>
        <w:r>
          <w:rPr>
            <w:color w:val="000000"/>
          </w:rPr>
          <w:t>27</w:t>
        </w:r>
      </w:hyperlink>
    </w:p>
    <w:p>
      <w:pPr>
        <w:pStyle w:val="NavEntry"/>
        <w:tabs>
          <w:tab w:pos="9576" w:val="right" w:leader="dot"/>
        </w:tabs>
        <w:ind w:left="0"/>
      </w:pPr>
      <w:hyperlink w:anchor="equation25" w:history="1">
        <w:r>
          <w:rPr>
            <w:color w:val="000000"/>
          </w:rPr>
          <w:t>Equation 25. Normalised terminal-level variance for histograms and mixtures</w:t>
        </w:r>
        <w:r>
          <w:rPr>
            <w:color w:val="000000"/>
          </w:rPr>
          <w:tab/>
        </w:r>
        <w:r>
          <w:rPr>
            <w:color w:val="000000"/>
          </w:rPr>
          <w:t>28</w:t>
        </w:r>
      </w:hyperlink>
    </w:p>
    <w:p>
      <w:pPr>
        <w:pStyle w:val="NavEntry"/>
        <w:tabs>
          <w:tab w:pos="9576" w:val="right" w:leader="dot"/>
        </w:tabs>
        <w:ind w:left="0"/>
      </w:pPr>
      <w:hyperlink w:anchor="equation26" w:history="1">
        <w:r>
          <w:rPr>
            <w:color w:val="000000"/>
          </w:rPr>
          <w:t>Equation 26. Paired bounded synthetic quote perturbations</w:t>
        </w:r>
        <w:r>
          <w:rPr>
            <w:color w:val="000000"/>
          </w:rPr>
          <w:tab/>
        </w:r>
        <w:r>
          <w:rPr>
            <w:color w:val="000000"/>
          </w:rPr>
          <w:t>37</w:t>
        </w:r>
      </w:hyperlink>
    </w:p>
    <w:p>
      <w:pPr>
        <w:pStyle w:val="NavEntry"/>
        <w:tabs>
          <w:tab w:pos="9576" w:val="right" w:leader="dot"/>
        </w:tabs>
        <w:ind w:left="0"/>
      </w:pPr>
      <w:hyperlink w:anchor="equation27" w:history="1">
        <w:r>
          <w:rPr>
            <w:color w:val="000000"/>
          </w:rPr>
          <w:t>Equation 27. Simulation bias, empirical variance and finite-sample MSE decomposition</w:t>
        </w:r>
        <w:r>
          <w:rPr>
            <w:color w:val="000000"/>
          </w:rPr>
          <w:tab/>
        </w:r>
        <w:r>
          <w:rPr>
            <w:color w:val="000000"/>
          </w:rPr>
          <w:t>37</w:t>
        </w:r>
      </w:hyperlink>
    </w:p>
    <w:p>
      <w:pPr>
        <w:pStyle w:val="NavEntry"/>
        <w:tabs>
          <w:tab w:pos="9576" w:val="right" w:leader="dot"/>
        </w:tabs>
        <w:ind w:left="0"/>
      </w:pPr>
      <w:hyperlink w:anchor="equation28" w:history="1">
        <w:r>
          <w:rPr>
            <w:color w:val="000000"/>
          </w:rPr>
          <w:t>Equation 28. Monte Carlo standard error of a mean</w:t>
        </w:r>
        <w:r>
          <w:rPr>
            <w:color w:val="000000"/>
          </w:rPr>
          <w:tab/>
        </w:r>
        <w:r>
          <w:rPr>
            <w:color w:val="000000"/>
          </w:rPr>
          <w:t>37</w:t>
        </w:r>
      </w:hyperlink>
    </w:p>
    <w:p>
      <w:pPr>
        <w:pStyle w:val="NavEntry"/>
        <w:tabs>
          <w:tab w:pos="9576" w:val="right" w:leader="dot"/>
        </w:tabs>
        <w:ind w:left="0"/>
      </w:pPr>
      <w:hyperlink w:anchor="equation29" w:history="1">
        <w:r>
          <w:rPr>
            <w:color w:val="000000"/>
          </w:rPr>
          <w:t>Equation 29. Mean paired contrast and its Monte Carlo standard error</w:t>
        </w:r>
        <w:r>
          <w:rPr>
            <w:color w:val="000000"/>
          </w:rPr>
          <w:tab/>
        </w:r>
        <w:r>
          <w:rPr>
            <w:color w:val="000000"/>
          </w:rPr>
          <w:t>37</w:t>
        </w:r>
      </w:hyperlink>
    </w:p>
    <w:p>
      <w:pPr>
        <w:pStyle w:val="NavEntry"/>
        <w:tabs>
          <w:tab w:pos="9576" w:val="right" w:leader="dot"/>
        </w:tabs>
        <w:ind w:left="0"/>
      </w:pPr>
      <w:hyperlink w:anchor="equation30" w:history="1">
        <w:r>
          <w:rPr>
            <w:color w:val="000000"/>
          </w:rPr>
          <w:t>Equation 30. Pooled noisy-price validation score and penalty selection</w:t>
        </w:r>
        <w:r>
          <w:rPr>
            <w:color w:val="000000"/>
          </w:rPr>
          <w:tab/>
        </w:r>
        <w:r>
          <w:rPr>
            <w:color w:val="000000"/>
          </w:rPr>
          <w:t>45</w:t>
        </w:r>
      </w:hyperlink>
    </w:p>
    <w:p>
      <w:pPr>
        <w:pStyle w:val="NavEntry"/>
        <w:tabs>
          <w:tab w:pos="9576" w:val="right" w:leader="dot"/>
        </w:tabs>
        <w:ind w:left="0"/>
      </w:pPr>
      <w:hyperlink w:anchor="equation31" w:history="1">
        <w:r>
          <w:rPr>
            <w:color w:val="000000"/>
          </w:rPr>
          <w:t>Equation 31. Relative perturbation of the supplied forward curve</w:t>
        </w:r>
        <w:r>
          <w:rPr>
            <w:color w:val="000000"/>
          </w:rPr>
          <w:tab/>
        </w:r>
        <w:r>
          <w:rPr>
            <w:color w:val="000000"/>
          </w:rPr>
          <w:t>50</w:t>
        </w:r>
      </w:hyperlink>
    </w:p>
    <w:p>
      <w:pPr>
        <w:pStyle w:val="NavEntry"/>
        <w:tabs>
          <w:tab w:pos="9576" w:val="right" w:leader="dot"/>
        </w:tabs>
        <w:ind w:left="0"/>
      </w:pPr>
      <w:hyperlink w:anchor="equation32" w:history="1">
        <w:r>
          <w:rPr>
            <w:color w:val="000000"/>
          </w:rPr>
          <w:t>Equation 32. Density evaluation and fixed risk event in reference coordinates</w:t>
        </w:r>
        <w:r>
          <w:rPr>
            <w:color w:val="000000"/>
          </w:rPr>
          <w:tab/>
        </w:r>
        <w:r>
          <w:rPr>
            <w:color w:val="000000"/>
          </w:rPr>
          <w:t>51</w:t>
        </w:r>
      </w:hyperlink>
    </w:p>
    <w:p>
      <w:pPr>
        <w:pStyle w:val="NavEntry"/>
        <w:tabs>
          <w:tab w:pos="9576" w:val="right" w:leader="dot"/>
        </w:tabs>
        <w:ind w:left="0"/>
      </w:pPr>
      <w:hyperlink w:anchor="equation33" w:history="1">
        <w:r>
          <w:rPr>
            <w:color w:val="000000"/>
          </w:rPr>
          <w:t>Equation 33. Supplied-forward call lower bound and quote shortfall</w:t>
        </w:r>
        <w:r>
          <w:rPr>
            <w:color w:val="000000"/>
          </w:rPr>
          <w:tab/>
        </w:r>
        <w:r>
          <w:rPr>
            <w:color w:val="000000"/>
          </w:rPr>
          <w:t>51</w:t>
        </w:r>
      </w:hyperlink>
    </w:p>
    <w:p>
      <w:pPr>
        <w:pStyle w:val="NavEntry"/>
        <w:tabs>
          <w:tab w:pos="9576" w:val="right" w:leader="dot"/>
        </w:tabs>
        <w:ind w:left="0"/>
      </w:pPr>
      <w:hyperlink w:anchor="equation34" w:history="1">
        <w:r>
          <w:rPr>
            <w:color w:val="000000"/>
          </w:rPr>
          <w:t>Equation 34. Common bid–ask forward intersection and point convention</w:t>
        </w:r>
        <w:r>
          <w:rPr>
            <w:color w:val="000000"/>
          </w:rPr>
          <w:tab/>
        </w:r>
        <w:r>
          <w:rPr>
            <w:color w:val="000000"/>
          </w:rPr>
          <w:t>56</w:t>
        </w:r>
      </w:hyperlink>
    </w:p>
    <w:p>
      <w:pPr>
        <w:pStyle w:val="NavEntry"/>
        <w:tabs>
          <w:tab w:pos="9576" w:val="right" w:leader="dot"/>
        </w:tabs>
        <w:ind w:left="0"/>
      </w:pPr>
      <w:hyperlink w:anchor="equation35" w:history="1">
        <w:r>
          <w:rPr>
            <w:color w:val="000000"/>
          </w:rPr>
          <w:t>Equation 35. Minimum uniform widening of incompatible forward intervals</w:t>
        </w:r>
        <w:r>
          <w:rPr>
            <w:color w:val="000000"/>
          </w:rPr>
          <w:tab/>
        </w:r>
        <w:r>
          <w:rPr>
            <w:color w:val="000000"/>
          </w:rPr>
          <w:t>56</w:t>
        </w:r>
      </w:hyperlink>
    </w:p>
    <w:p>
      <w:pPr>
        <w:pStyle w:val="NavEntry"/>
        <w:tabs>
          <w:tab w:pos="9576" w:val="right" w:leader="dot"/>
        </w:tabs>
        <w:ind w:left="0"/>
      </w:pPr>
      <w:hyperlink w:anchor="equation36" w:history="1">
        <w:r>
          <w:rPr>
            <w:color w:val="000000"/>
          </w:rPr>
          <w:t>Equation 36. Smoothing selection with training-only inferred forwards</w:t>
        </w:r>
        <w:r>
          <w:rPr>
            <w:color w:val="000000"/>
          </w:rPr>
          <w:tab/>
        </w:r>
        <w:r>
          <w:rPr>
            <w:color w:val="000000"/>
          </w:rPr>
          <w:t>58</w:t>
        </w:r>
      </w:hyperlink>
    </w:p>
    <w:p>
      <w:pPr>
        <w:pStyle w:val="NavEntry"/>
        <w:tabs>
          <w:tab w:pos="9576" w:val="right" w:leader="dot"/>
        </w:tabs>
        <w:ind w:left="0"/>
      </w:pPr>
      <w:hyperlink w:anchor="equation37" w:history="1">
        <w:r>
          <w:rPr>
            <w:color w:val="000000"/>
          </w:rPr>
          <w:t>Equation 37. Fitted option-price distance outside its bid–ask range</w:t>
        </w:r>
        <w:r>
          <w:rPr>
            <w:color w:val="000000"/>
          </w:rPr>
          <w:tab/>
        </w:r>
        <w:r>
          <w:rPr>
            <w:color w:val="000000"/>
          </w:rPr>
          <w:t>60</w:t>
        </w:r>
      </w:hyperlink>
    </w:p>
    <w:p>
      <w:pPr>
        <w:pStyle w:val="NavEntry"/>
        <w:tabs>
          <w:tab w:pos="9576" w:val="right" w:leader="dot"/>
        </w:tabs>
        <w:ind w:left="0"/>
      </w:pPr>
      <w:hyperlink w:anchor="equation38" w:history="1">
        <w:r>
          <w:rPr>
            <w:color w:val="000000"/>
          </w:rPr>
          <w:t>Equation 38. Linear put–call parity and bid–ask difference bounds</w:t>
        </w:r>
        <w:r>
          <w:rPr>
            <w:color w:val="000000"/>
          </w:rPr>
          <w:tab/>
        </w:r>
        <w:r>
          <w:rPr>
            <w:color w:val="000000"/>
          </w:rPr>
          <w:t>65</w:t>
        </w:r>
      </w:hyperlink>
    </w:p>
    <w:p>
      <w:pPr>
        <w:pStyle w:val="NavEntry"/>
        <w:tabs>
          <w:tab w:pos="9576" w:val="right" w:leader="dot"/>
        </w:tabs>
        <w:ind w:left="0"/>
      </w:pPr>
      <w:hyperlink w:anchor="equation39" w:history="1">
        <w:r>
          <w:rPr>
            <w:color w:val="000000"/>
          </w:rPr>
          <w:t>Equation 39. Constrained quote-implied discount and forward estimation</w:t>
        </w:r>
        <w:r>
          <w:rPr>
            <w:color w:val="000000"/>
          </w:rPr>
          <w:tab/>
        </w:r>
        <w:r>
          <w:rPr>
            <w:color w:val="000000"/>
          </w:rPr>
          <w:t>65</w:t>
        </w:r>
      </w:hyperlink>
    </w:p>
    <w:p>
      <w:pPr>
        <w:pStyle w:val="NavEntry"/>
        <w:tabs>
          <w:tab w:pos="9576" w:val="right" w:leader="dot"/>
        </w:tabs>
        <w:ind w:left="0"/>
      </w:pPr>
      <w:hyperlink w:anchor="equation40" w:history="1">
        <w:r>
          <w:rPr>
            <w:color w:val="000000"/>
          </w:rPr>
          <w:t>Equation 40. Quote-implied continuously compounded rate equivalent</w:t>
        </w:r>
        <w:r>
          <w:rPr>
            <w:color w:val="000000"/>
          </w:rPr>
          <w:tab/>
        </w:r>
        <w:r>
          <w:rPr>
            <w:color w:val="000000"/>
          </w:rPr>
          <w:t>66</w:t>
        </w:r>
      </w:hyperlink>
    </w:p>
    <w:p>
      <w:pPr>
        <w:pStyle w:val="NavEntry"/>
        <w:tabs>
          <w:tab w:pos="9576" w:val="right" w:leader="dot"/>
        </w:tabs>
        <w:ind w:left="0"/>
      </w:pPr>
      <w:hyperlink w:anchor="equation41" w:history="1">
        <w:r>
          <w:rPr>
            <w:color w:val="000000"/>
          </w:rPr>
          <w:t>Equation 41. Intersection of original call and parity-transformed put intervals</w:t>
        </w:r>
        <w:r>
          <w:rPr>
            <w:color w:val="000000"/>
          </w:rPr>
          <w:tab/>
        </w:r>
        <w:r>
          <w:rPr>
            <w:color w:val="000000"/>
          </w:rPr>
          <w:t>78</w:t>
        </w:r>
      </w:hyperlink>
    </w:p>
    <w:p>
      <w:pPr>
        <w:pStyle w:val="NavEntry"/>
        <w:tabs>
          <w:tab w:pos="9576" w:val="right" w:leader="dot"/>
        </w:tabs>
        <w:ind w:left="0"/>
      </w:pPr>
      <w:hyperlink w:anchor="equation42" w:history="1">
        <w:r>
          <w:rPr>
            <w:color w:val="000000"/>
          </w:rPr>
          <w:t>Equation 42. Minimum diagnostic quote widening under the finite density basis</w:t>
        </w:r>
        <w:r>
          <w:rPr>
            <w:color w:val="000000"/>
          </w:rPr>
          <w:tab/>
        </w:r>
        <w:r>
          <w:rPr>
            <w:color w:val="000000"/>
          </w:rPr>
          <w:t>78</w:t>
        </w:r>
      </w:hyperlink>
    </w:p>
    <w:p>
      <w:pPr>
        <w:pStyle w:val="NavEntry"/>
        <w:tabs>
          <w:tab w:pos="9576" w:val="right" w:leader="dot"/>
        </w:tabs>
        <w:ind w:left="0"/>
      </w:pPr>
      <w:hyperlink w:anchor="equation43" w:history="1">
        <w:r>
          <w:rPr>
            <w:color w:val="000000"/>
          </w:rPr>
          <w:t>Equation 43. Minimum-curvature density inside original quote restrictions</w:t>
        </w:r>
        <w:r>
          <w:rPr>
            <w:color w:val="000000"/>
          </w:rPr>
          <w:tab/>
        </w:r>
        <w:r>
          <w:rPr>
            <w:color w:val="000000"/>
          </w:rPr>
          <w:t>80</w:t>
        </w:r>
      </w:hyperlink>
    </w:p>
    <w:p>
      <w:pPr>
        <w:pStyle w:val="NavEntry"/>
        <w:tabs>
          <w:tab w:pos="9576" w:val="right" w:leader="dot"/>
        </w:tabs>
        <w:ind w:left="0"/>
      </w:pPr>
      <w:hyperlink w:anchor="equation44" w:history="1">
        <w:r>
          <w:rPr>
            <w:color w:val="000000"/>
          </w:rPr>
          <w:t>Equation 44. Conditional feasible lower and upper event probabilities</w:t>
        </w:r>
        <w:r>
          <w:rPr>
            <w:color w:val="000000"/>
          </w:rPr>
          <w:tab/>
        </w:r>
        <w:r>
          <w:rPr>
            <w:color w:val="000000"/>
          </w:rPr>
          <w:t>85</w:t>
        </w:r>
      </w:hyperlink>
    </w:p>
    <w:p>
      <w:pPr>
        <w:pStyle w:val="NavEntry"/>
        <w:tabs>
          <w:tab w:pos="9576" w:val="right" w:leader="dot"/>
        </w:tabs>
        <w:ind w:left="0"/>
      </w:pPr>
      <w:hyperlink w:anchor="equation45" w:history="1">
        <w:r>
          <w:rPr>
            <w:color w:val="000000"/>
          </w:rPr>
          <w:t>Equation 45. Assumed interpolation of normalised distributions at a common horizon</w:t>
        </w:r>
        <w:r>
          <w:rPr>
            <w:color w:val="000000"/>
          </w:rPr>
          <w:tab/>
        </w:r>
        <w:r>
          <w:rPr>
            <w:color w:val="000000"/>
          </w:rPr>
          <w:t>87</w:t>
        </w:r>
      </w:hyperlink>
    </w:p>
    <w:p>
      <w:pPr>
        <w:pStyle w:val="NavEntry"/>
        <w:tabs>
          <w:tab w:pos="9576" w:val="right" w:leader="dot"/>
        </w:tabs>
        <w:ind w:left="0"/>
      </w:pPr>
      <w:hyperlink w:anchor="equation46" w:history="1">
        <w:r>
          <w:rPr>
            <w:color w:val="000000"/>
          </w:rPr>
          <w:t>Equation 46. Absolute distance between two fitted normalised densities</w:t>
        </w:r>
        <w:r>
          <w:rPr>
            <w:color w:val="000000"/>
          </w:rPr>
          <w:tab/>
        </w:r>
        <w:r>
          <w:rPr>
            <w:color w:val="000000"/>
          </w:rPr>
          <w:t>90</w:t>
        </w:r>
      </w:hyperlink>
    </w:p>
    <w:bookmarkEnd w:id="24"/>
    <w:bookmarkStart w:id="25" w:name="list-of-abbreviations"/>
    <w:p>
      <w:bookmarkStart w:id="506" w:name="front_list_of_abbreviations"/>
      <w:pPr>
        <w:pStyle w:val="FrontHeading"/>
      </w:pPr>
      <w:r>
        <w:t xml:space="preserve">List of abbreviations</w:t>
      </w:r>
      <w:bookmarkEnd w:id="506"/>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724"/>
        <w:gridCol w:w="7852"/>
      </w:tblGrid>
      <w:tr>
        <w:trPr>
          <w:tblHeader w:val="true"/>
          <w:cantSplit/>
          <w:tblHeader/>
        </w:trPr>
        <w:tc>
          <w:tcPr>
            <w:tcW w:type="dxa" w:w="1724"/>
            <w:vAlign w:val="center"/>
            <w:shd w:fill="E9EEF3"/>
          </w:tcPr>
          <w:p>
            <w:pPr>
              <w:pStyle w:val="Compact"/>
              <w:keepNext/>
              <w:keepLines/>
              <w:spacing w:after="40" w:before="40" w:line="252" w:lineRule="auto"/>
              <w:jc w:val="left"/>
            </w:pPr>
            <w:r>
              <w:rPr>
                <w:b/>
                <w:sz w:val="20"/>
              </w:rPr>
              <w:t xml:space="preserve">Abbreviation</w:t>
            </w:r>
          </w:p>
        </w:tc>
        <w:tc>
          <w:tcPr>
            <w:tcW w:type="dxa" w:w="7852"/>
            <w:vAlign w:val="center"/>
            <w:shd w:fill="E9EEF3"/>
          </w:tcPr>
          <w:p>
            <w:pPr>
              <w:pStyle w:val="Compact"/>
              <w:keepNext/>
              <w:keepLines/>
              <w:spacing w:after="40" w:before="40" w:line="252" w:lineRule="auto"/>
              <w:jc w:val="left"/>
            </w:pPr>
            <w:r>
              <w:rPr>
                <w:b/>
                <w:sz w:val="20"/>
              </w:rPr>
              <w:t xml:space="preserve">Meaning</w:t>
            </w:r>
          </w:p>
        </w:tc>
      </w:tr>
      <w:tr>
        <w:trPr>
          <w:cantSplit/>
        </w:trPr>
        <w:tc>
          <w:tcPr>
            <w:tcW w:type="dxa" w:w="1724"/>
            <w:vAlign w:val="center"/>
          </w:tcPr>
          <w:p>
            <w:pPr>
              <w:pStyle w:val="Compact"/>
              <w:keepNext w:val="0"/>
              <w:keepLines/>
              <w:spacing w:after="40" w:before="40" w:line="252" w:lineRule="auto"/>
              <w:jc w:val="right"/>
            </w:pPr>
            <w:r>
              <w:rPr>
                <w:b w:val="0"/>
                <w:sz w:val="20"/>
              </w:rPr>
              <w:t xml:space="preserve">3D</w:t>
            </w:r>
          </w:p>
        </w:tc>
        <w:tc>
          <w:tcPr>
            <w:tcW w:type="dxa" w:w="7852"/>
            <w:vAlign w:val="center"/>
          </w:tcPr>
          <w:p>
            <w:pPr>
              <w:pStyle w:val="Compact"/>
              <w:keepNext w:val="0"/>
              <w:keepLines/>
              <w:spacing w:after="40" w:before="40" w:line="252" w:lineRule="auto"/>
              <w:jc w:val="left"/>
            </w:pPr>
            <w:r>
              <w:rPr>
                <w:b w:val="0"/>
                <w:sz w:val="20"/>
              </w:rPr>
              <w:t xml:space="preserve">Three-dimensional</w:t>
            </w:r>
          </w:p>
        </w:tc>
      </w:tr>
      <w:tr>
        <w:trPr>
          <w:cantSplit/>
        </w:trPr>
        <w:tc>
          <w:tcPr>
            <w:tcW w:type="dxa" w:w="1724"/>
            <w:vAlign w:val="center"/>
          </w:tcPr>
          <w:p>
            <w:pPr>
              <w:pStyle w:val="Compact"/>
              <w:keepNext w:val="0"/>
              <w:keepLines/>
              <w:spacing w:after="40" w:before="40" w:line="252" w:lineRule="auto"/>
              <w:jc w:val="left"/>
            </w:pPr>
            <w:r>
              <w:rPr>
                <w:b w:val="0"/>
                <w:sz w:val="20"/>
              </w:rPr>
              <w:t xml:space="preserve">ACT/365F</w:t>
            </w:r>
          </w:p>
        </w:tc>
        <w:tc>
          <w:tcPr>
            <w:tcW w:type="dxa" w:w="7852"/>
            <w:vAlign w:val="center"/>
          </w:tcPr>
          <w:p>
            <w:pPr>
              <w:pStyle w:val="Compact"/>
              <w:keepNext w:val="0"/>
              <w:keepLines/>
              <w:spacing w:after="40" w:before="40" w:line="252" w:lineRule="auto"/>
              <w:jc w:val="left"/>
            </w:pPr>
            <w:r>
              <w:rPr>
                <w:b w:val="0"/>
                <w:sz w:val="20"/>
              </w:rPr>
              <w:t xml:space="preserve">Actual elapsed time divided by a fixed 365-day year; UTC seconds are used here</w:t>
            </w:r>
          </w:p>
        </w:tc>
      </w:tr>
      <w:tr>
        <w:trPr>
          <w:cantSplit/>
        </w:trPr>
        <w:tc>
          <w:tcPr>
            <w:tcW w:type="dxa" w:w="1724"/>
            <w:vAlign w:val="center"/>
          </w:tcPr>
          <w:p>
            <w:pPr>
              <w:pStyle w:val="Compact"/>
              <w:keepNext w:val="0"/>
              <w:keepLines/>
              <w:spacing w:after="40" w:before="40" w:line="252" w:lineRule="auto"/>
              <w:jc w:val="left"/>
            </w:pPr>
            <w:r>
              <w:rPr>
                <w:b w:val="0"/>
                <w:sz w:val="20"/>
              </w:rPr>
              <w:t xml:space="preserve">AM / PM</w:t>
            </w:r>
          </w:p>
        </w:tc>
        <w:tc>
          <w:tcPr>
            <w:tcW w:type="dxa" w:w="7852"/>
            <w:vAlign w:val="center"/>
          </w:tcPr>
          <w:p>
            <w:pPr>
              <w:pStyle w:val="Compact"/>
              <w:keepNext w:val="0"/>
              <w:keepLines/>
              <w:spacing w:after="40" w:before="40" w:line="252" w:lineRule="auto"/>
              <w:jc w:val="left"/>
            </w:pPr>
            <w:r>
              <w:rPr>
                <w:b w:val="0"/>
                <w:sz w:val="20"/>
              </w:rPr>
              <w:t xml:space="preserve">Before / after noon; settlement conventions require contract-specific confirmation</w:t>
            </w:r>
          </w:p>
        </w:tc>
      </w:tr>
      <w:tr>
        <w:trPr>
          <w:cantSplit/>
        </w:trPr>
        <w:tc>
          <w:tcPr>
            <w:tcW w:type="dxa" w:w="1724"/>
            <w:vAlign w:val="center"/>
          </w:tcPr>
          <w:p>
            <w:pPr>
              <w:pStyle w:val="Compact"/>
              <w:keepNext w:val="0"/>
              <w:keepLines/>
              <w:spacing w:after="40" w:before="40" w:line="252" w:lineRule="auto"/>
              <w:jc w:val="left"/>
            </w:pPr>
            <w:r>
              <w:rPr>
                <w:b w:val="0"/>
                <w:sz w:val="20"/>
              </w:rPr>
              <w:t xml:space="preserve">API</w:t>
            </w:r>
          </w:p>
        </w:tc>
        <w:tc>
          <w:tcPr>
            <w:tcW w:type="dxa" w:w="7852"/>
            <w:vAlign w:val="center"/>
          </w:tcPr>
          <w:p>
            <w:pPr>
              <w:pStyle w:val="Compact"/>
              <w:keepNext w:val="0"/>
              <w:keepLines/>
              <w:spacing w:after="40" w:before="40" w:line="252" w:lineRule="auto"/>
              <w:jc w:val="left"/>
            </w:pPr>
            <w:r>
              <w:rPr>
                <w:b w:val="0"/>
                <w:sz w:val="20"/>
              </w:rPr>
              <w:t xml:space="preserve">Application programming interface</w:t>
            </w:r>
          </w:p>
        </w:tc>
      </w:tr>
      <w:tr>
        <w:trPr>
          <w:cantSplit/>
        </w:trPr>
        <w:tc>
          <w:tcPr>
            <w:tcW w:type="dxa" w:w="1724"/>
            <w:vAlign w:val="center"/>
          </w:tcPr>
          <w:p>
            <w:pPr>
              <w:pStyle w:val="Compact"/>
              <w:keepNext w:val="0"/>
              <w:keepLines/>
              <w:spacing w:after="40" w:before="40" w:line="252" w:lineRule="auto"/>
              <w:jc w:val="left"/>
            </w:pPr>
            <w:r>
              <w:rPr>
                <w:b w:val="0"/>
                <w:sz w:val="20"/>
              </w:rPr>
              <w:t xml:space="preserve">BBO</w:t>
            </w:r>
          </w:p>
        </w:tc>
        <w:tc>
          <w:tcPr>
            <w:tcW w:type="dxa" w:w="7852"/>
            <w:vAlign w:val="center"/>
          </w:tcPr>
          <w:p>
            <w:pPr>
              <w:pStyle w:val="Compact"/>
              <w:keepNext w:val="0"/>
              <w:keepLines/>
              <w:spacing w:after="40" w:before="40" w:line="252" w:lineRule="auto"/>
              <w:jc w:val="left"/>
            </w:pPr>
            <w:r>
              <w:rPr>
                <w:b w:val="0"/>
                <w:sz w:val="20"/>
              </w:rPr>
              <w:t xml:space="preserve">Best Bid and Offer on the stated exchange; not necessarily consolidated NBBO</w:t>
            </w:r>
          </w:p>
        </w:tc>
      </w:tr>
      <w:tr>
        <w:trPr>
          <w:cantSplit/>
        </w:trPr>
        <w:tc>
          <w:tcPr>
            <w:tcW w:type="dxa" w:w="1724"/>
            <w:vAlign w:val="center"/>
          </w:tcPr>
          <w:p>
            <w:pPr>
              <w:pStyle w:val="Compact"/>
              <w:keepNext w:val="0"/>
              <w:keepLines/>
              <w:spacing w:after="40" w:before="40" w:line="252" w:lineRule="auto"/>
              <w:jc w:val="left"/>
            </w:pPr>
            <w:r>
              <w:rPr>
                <w:b w:val="0"/>
                <w:sz w:val="20"/>
              </w:rPr>
              <w:t xml:space="preserve">BS</w:t>
            </w:r>
          </w:p>
        </w:tc>
        <w:tc>
          <w:tcPr>
            <w:tcW w:type="dxa" w:w="7852"/>
            <w:vAlign w:val="center"/>
          </w:tcPr>
          <w:p>
            <w:pPr>
              <w:pStyle w:val="Compact"/>
              <w:keepNext w:val="0"/>
              <w:keepLines/>
              <w:spacing w:after="40" w:before="40" w:line="252" w:lineRule="auto"/>
              <w:jc w:val="left"/>
            </w:pPr>
            <w:r>
              <w:rPr>
                <w:b w:val="0"/>
                <w:sz w:val="20"/>
              </w:rPr>
              <w:t xml:space="preserve">Black–Scholes, used as a component-pricing subscript</w:t>
            </w:r>
          </w:p>
        </w:tc>
      </w:tr>
      <w:tr>
        <w:trPr>
          <w:cantSplit/>
        </w:trPr>
        <w:tc>
          <w:tcPr>
            <w:tcW w:type="dxa" w:w="1724"/>
            <w:vAlign w:val="center"/>
          </w:tcPr>
          <w:p>
            <w:pPr>
              <w:pStyle w:val="Compact"/>
              <w:keepNext w:val="0"/>
              <w:keepLines/>
              <w:spacing w:after="40" w:before="40" w:line="252" w:lineRule="auto"/>
              <w:jc w:val="left"/>
            </w:pPr>
            <w:r>
              <w:rPr>
                <w:b w:val="0"/>
                <w:sz w:val="20"/>
              </w:rPr>
              <w:t xml:space="preserve">CSV</w:t>
            </w:r>
          </w:p>
        </w:tc>
        <w:tc>
          <w:tcPr>
            <w:tcW w:type="dxa" w:w="7852"/>
            <w:vAlign w:val="center"/>
          </w:tcPr>
          <w:p>
            <w:pPr>
              <w:pStyle w:val="Compact"/>
              <w:keepNext w:val="0"/>
              <w:keepLines/>
              <w:spacing w:after="40" w:before="40" w:line="252" w:lineRule="auto"/>
              <w:jc w:val="left"/>
            </w:pPr>
            <w:r>
              <w:rPr>
                <w:b w:val="0"/>
                <w:sz w:val="20"/>
              </w:rPr>
              <w:t xml:space="preserve">Comma-separated values</w:t>
            </w:r>
          </w:p>
        </w:tc>
      </w:tr>
      <w:tr>
        <w:trPr>
          <w:cantSplit/>
        </w:trPr>
        <w:tc>
          <w:tcPr>
            <w:tcW w:type="dxa" w:w="1724"/>
            <w:vAlign w:val="center"/>
          </w:tcPr>
          <w:p>
            <w:pPr>
              <w:pStyle w:val="Compact"/>
              <w:keepNext w:val="0"/>
              <w:keepLines/>
              <w:spacing w:after="40" w:before="40" w:line="252" w:lineRule="auto"/>
              <w:jc w:val="left"/>
            </w:pPr>
            <w:r>
              <w:rPr>
                <w:b w:val="0"/>
                <w:sz w:val="20"/>
              </w:rPr>
              <w:t xml:space="preserve">CT / ET</w:t>
            </w:r>
          </w:p>
        </w:tc>
        <w:tc>
          <w:tcPr>
            <w:tcW w:type="dxa" w:w="7852"/>
            <w:vAlign w:val="center"/>
          </w:tcPr>
          <w:p>
            <w:pPr>
              <w:pStyle w:val="Compact"/>
              <w:keepNext w:val="0"/>
              <w:keepLines/>
              <w:spacing w:after="40" w:before="40" w:line="252" w:lineRule="auto"/>
              <w:jc w:val="left"/>
            </w:pPr>
            <w:r>
              <w:rPr>
                <w:b w:val="0"/>
                <w:sz w:val="20"/>
              </w:rPr>
              <w:t xml:space="preserve">Chicago / New York civil time, with the date-specific UTC offset</w:t>
            </w:r>
          </w:p>
        </w:tc>
      </w:tr>
      <w:tr>
        <w:trPr>
          <w:cantSplit/>
        </w:trPr>
        <w:tc>
          <w:tcPr>
            <w:tcW w:type="dxa" w:w="1724"/>
            <w:vAlign w:val="center"/>
          </w:tcPr>
          <w:p>
            <w:pPr>
              <w:pStyle w:val="Compact"/>
              <w:keepNext w:val="0"/>
              <w:keepLines/>
              <w:spacing w:after="40" w:before="40" w:line="252" w:lineRule="auto"/>
              <w:jc w:val="left"/>
            </w:pPr>
            <w:r>
              <w:rPr>
                <w:b w:val="0"/>
                <w:sz w:val="20"/>
              </w:rPr>
              <w:t xml:space="preserve">CV</w:t>
            </w:r>
          </w:p>
        </w:tc>
        <w:tc>
          <w:tcPr>
            <w:tcW w:type="dxa" w:w="7852"/>
            <w:vAlign w:val="center"/>
          </w:tcPr>
          <w:p>
            <w:pPr>
              <w:pStyle w:val="Compact"/>
              <w:keepNext w:val="0"/>
              <w:keepLines/>
              <w:spacing w:after="40" w:before="40" w:line="252" w:lineRule="auto"/>
              <w:jc w:val="left"/>
            </w:pPr>
            <w:r>
              <w:rPr>
                <w:b w:val="0"/>
                <w:sz w:val="20"/>
              </w:rPr>
              <w:t xml:space="preserve">Cross-validation; here an interlaced interior-price selection rule</w:t>
            </w:r>
          </w:p>
        </w:tc>
      </w:tr>
      <w:tr>
        <w:trPr>
          <w:cantSplit/>
        </w:trPr>
        <w:tc>
          <w:tcPr>
            <w:tcW w:type="dxa" w:w="1724"/>
            <w:vAlign w:val="center"/>
          </w:tcPr>
          <w:p>
            <w:pPr>
              <w:pStyle w:val="Compact"/>
              <w:keepNext w:val="0"/>
              <w:keepLines/>
              <w:spacing w:after="40" w:before="40" w:line="252" w:lineRule="auto"/>
              <w:jc w:val="left"/>
            </w:pPr>
            <w:r>
              <w:rPr>
                <w:b w:val="0"/>
                <w:sz w:val="20"/>
              </w:rPr>
              <w:t xml:space="preserve">DOI</w:t>
            </w:r>
          </w:p>
        </w:tc>
        <w:tc>
          <w:tcPr>
            <w:tcW w:type="dxa" w:w="7852"/>
            <w:vAlign w:val="center"/>
          </w:tcPr>
          <w:p>
            <w:pPr>
              <w:pStyle w:val="Compact"/>
              <w:keepNext w:val="0"/>
              <w:keepLines/>
              <w:spacing w:after="40" w:before="40" w:line="252" w:lineRule="auto"/>
              <w:jc w:val="left"/>
            </w:pPr>
            <w:r>
              <w:rPr>
                <w:b w:val="0"/>
                <w:sz w:val="20"/>
              </w:rPr>
              <w:t xml:space="preserve">Digital object identifier</w:t>
            </w:r>
          </w:p>
        </w:tc>
      </w:tr>
      <w:tr>
        <w:trPr>
          <w:cantSplit/>
        </w:trPr>
        <w:tc>
          <w:tcPr>
            <w:tcW w:type="dxa" w:w="1724"/>
            <w:vAlign w:val="center"/>
          </w:tcPr>
          <w:p>
            <w:pPr>
              <w:pStyle w:val="Compact"/>
              <w:keepNext w:val="0"/>
              <w:keepLines/>
              <w:spacing w:after="40" w:before="40" w:line="252" w:lineRule="auto"/>
              <w:jc w:val="left"/>
            </w:pPr>
            <w:r>
              <w:rPr>
                <w:b w:val="0"/>
                <w:sz w:val="20"/>
              </w:rPr>
              <w:t xml:space="preserve">EOD</w:t>
            </w:r>
          </w:p>
        </w:tc>
        <w:tc>
          <w:tcPr>
            <w:tcW w:type="dxa" w:w="7852"/>
            <w:vAlign w:val="center"/>
          </w:tcPr>
          <w:p>
            <w:pPr>
              <w:pStyle w:val="Compact"/>
              <w:keepNext w:val="0"/>
              <w:keepLines/>
              <w:spacing w:after="40" w:before="40" w:line="252" w:lineRule="auto"/>
              <w:jc w:val="left"/>
            </w:pPr>
            <w:r>
              <w:rPr>
                <w:b w:val="0"/>
                <w:sz w:val="20"/>
              </w:rPr>
              <w:t xml:space="preserve">End of day; a provider product can also contain a separately specified intraday snapshot</w:t>
            </w:r>
          </w:p>
        </w:tc>
      </w:tr>
      <w:tr>
        <w:trPr>
          <w:cantSplit/>
        </w:trPr>
        <w:tc>
          <w:tcPr>
            <w:tcW w:type="dxa" w:w="1724"/>
            <w:vAlign w:val="center"/>
          </w:tcPr>
          <w:p>
            <w:pPr>
              <w:pStyle w:val="Compact"/>
              <w:keepNext w:val="0"/>
              <w:keepLines/>
              <w:spacing w:after="40" w:before="40" w:line="252" w:lineRule="auto"/>
              <w:jc w:val="left"/>
            </w:pPr>
            <w:r>
              <w:rPr>
                <w:b w:val="0"/>
                <w:sz w:val="20"/>
              </w:rPr>
              <w:t xml:space="preserve">EOM</w:t>
            </w:r>
          </w:p>
        </w:tc>
        <w:tc>
          <w:tcPr>
            <w:tcW w:type="dxa" w:w="7852"/>
            <w:vAlign w:val="center"/>
          </w:tcPr>
          <w:p>
            <w:pPr>
              <w:pStyle w:val="Compact"/>
              <w:keepNext w:val="0"/>
              <w:keepLines/>
              <w:spacing w:after="40" w:before="40" w:line="252" w:lineRule="auto"/>
              <w:jc w:val="left"/>
            </w:pPr>
            <w:r>
              <w:rPr>
                <w:b w:val="0"/>
                <w:sz w:val="20"/>
              </w:rPr>
              <w:t xml:space="preserve">End of month</w:t>
            </w:r>
          </w:p>
        </w:tc>
      </w:tr>
      <w:tr>
        <w:trPr>
          <w:cantSplit/>
        </w:trPr>
        <w:tc>
          <w:tcPr>
            <w:tcW w:type="dxa" w:w="1724"/>
            <w:vAlign w:val="center"/>
          </w:tcPr>
          <w:p>
            <w:pPr>
              <w:pStyle w:val="Compact"/>
              <w:keepNext w:val="0"/>
              <w:keepLines/>
              <w:spacing w:after="40" w:before="40" w:line="252" w:lineRule="auto"/>
              <w:jc w:val="left"/>
            </w:pPr>
            <w:r>
              <w:rPr>
                <w:b w:val="0"/>
                <w:sz w:val="20"/>
              </w:rPr>
              <w:t xml:space="preserve">HTML</w:t>
            </w:r>
          </w:p>
        </w:tc>
        <w:tc>
          <w:tcPr>
            <w:tcW w:type="dxa" w:w="7852"/>
            <w:vAlign w:val="center"/>
          </w:tcPr>
          <w:p>
            <w:pPr>
              <w:pStyle w:val="Compact"/>
              <w:keepNext w:val="0"/>
              <w:keepLines/>
              <w:spacing w:after="40" w:before="40" w:line="252" w:lineRule="auto"/>
              <w:jc w:val="left"/>
            </w:pPr>
            <w:r>
              <w:rPr>
                <w:b w:val="0"/>
                <w:sz w:val="20"/>
              </w:rPr>
              <w:t xml:space="preserve">HyperText Markup Language</w:t>
            </w:r>
          </w:p>
        </w:tc>
      </w:tr>
      <w:tr>
        <w:trPr>
          <w:cantSplit/>
        </w:trPr>
        <w:tc>
          <w:tcPr>
            <w:tcW w:type="dxa" w:w="1724"/>
            <w:vAlign w:val="center"/>
          </w:tcPr>
          <w:p>
            <w:pPr>
              <w:pStyle w:val="Compact"/>
              <w:keepNext w:val="0"/>
              <w:keepLines/>
              <w:spacing w:after="40" w:before="40" w:line="252" w:lineRule="auto"/>
              <w:jc w:val="left"/>
            </w:pPr>
            <w:r>
              <w:rPr>
                <w:b w:val="0"/>
                <w:sz w:val="20"/>
              </w:rPr>
              <w:t xml:space="preserve">ISO</w:t>
            </w:r>
          </w:p>
        </w:tc>
        <w:tc>
          <w:tcPr>
            <w:tcW w:type="dxa" w:w="7852"/>
            <w:vAlign w:val="center"/>
          </w:tcPr>
          <w:p>
            <w:pPr>
              <w:pStyle w:val="Compact"/>
              <w:keepNext w:val="0"/>
              <w:keepLines/>
              <w:spacing w:after="40" w:before="40" w:line="252" w:lineRule="auto"/>
              <w:jc w:val="left"/>
            </w:pPr>
            <w:r>
              <w:rPr>
                <w:b w:val="0"/>
                <w:sz w:val="20"/>
              </w:rPr>
              <w:t xml:space="preserve">International Organization for Standardization; ISO datetime notation is used in the input format</w:t>
            </w:r>
          </w:p>
        </w:tc>
      </w:tr>
      <w:tr>
        <w:trPr>
          <w:cantSplit/>
        </w:trPr>
        <w:tc>
          <w:tcPr>
            <w:tcW w:type="dxa" w:w="1724"/>
            <w:vAlign w:val="center"/>
          </w:tcPr>
          <w:p>
            <w:pPr>
              <w:pStyle w:val="Compact"/>
              <w:keepNext w:val="0"/>
              <w:keepLines/>
              <w:spacing w:after="40" w:before="40" w:line="252" w:lineRule="auto"/>
              <w:jc w:val="left"/>
            </w:pPr>
            <w:r>
              <w:rPr>
                <w:b w:val="0"/>
                <w:sz w:val="20"/>
              </w:rPr>
              <w:t xml:space="preserve">JSON</w:t>
            </w:r>
          </w:p>
        </w:tc>
        <w:tc>
          <w:tcPr>
            <w:tcW w:type="dxa" w:w="7852"/>
            <w:vAlign w:val="center"/>
          </w:tcPr>
          <w:p>
            <w:pPr>
              <w:pStyle w:val="Compact"/>
              <w:keepNext w:val="0"/>
              <w:keepLines/>
              <w:spacing w:after="40" w:before="40" w:line="252" w:lineRule="auto"/>
              <w:jc w:val="left"/>
            </w:pPr>
            <w:r>
              <w:rPr>
                <w:b w:val="0"/>
                <w:sz w:val="20"/>
              </w:rPr>
              <w:t xml:space="preserve">JavaScript Object Notation</w:t>
            </w:r>
          </w:p>
        </w:tc>
      </w:tr>
      <w:tr>
        <w:trPr>
          <w:cantSplit/>
        </w:trPr>
        <w:tc>
          <w:tcPr>
            <w:tcW w:type="dxa" w:w="1724"/>
            <w:vAlign w:val="center"/>
          </w:tcPr>
          <w:p>
            <w:pPr>
              <w:pStyle w:val="Compact"/>
              <w:keepNext w:val="0"/>
              <w:keepLines/>
              <w:spacing w:after="40" w:before="40" w:line="252" w:lineRule="auto"/>
              <w:jc w:val="left"/>
            </w:pPr>
            <w:r>
              <w:rPr>
                <w:b w:val="0"/>
                <w:sz w:val="20"/>
              </w:rPr>
              <w:t xml:space="preserve">LN</w:t>
            </w:r>
          </w:p>
        </w:tc>
        <w:tc>
          <w:tcPr>
            <w:tcW w:type="dxa" w:w="7852"/>
            <w:vAlign w:val="center"/>
          </w:tcPr>
          <w:p>
            <w:pPr>
              <w:pStyle w:val="Compact"/>
              <w:keepNext w:val="0"/>
              <w:keepLines/>
              <w:spacing w:after="40" w:before="40" w:line="252" w:lineRule="auto"/>
              <w:jc w:val="left"/>
            </w:pPr>
            <w:r>
              <w:rPr>
                <w:b w:val="0"/>
                <w:sz w:val="20"/>
              </w:rPr>
              <w:t xml:space="preserve">Lognormal, used as a component-density subscript</w:t>
            </w:r>
          </w:p>
        </w:tc>
      </w:tr>
      <w:tr>
        <w:trPr>
          <w:cantSplit/>
        </w:trPr>
        <w:tc>
          <w:tcPr>
            <w:tcW w:type="dxa" w:w="1724"/>
            <w:vAlign w:val="center"/>
          </w:tcPr>
          <w:p>
            <w:pPr>
              <w:pStyle w:val="Compact"/>
              <w:keepNext w:val="0"/>
              <w:keepLines/>
              <w:spacing w:after="40" w:before="40" w:line="252" w:lineRule="auto"/>
              <w:jc w:val="left"/>
            </w:pPr>
            <w:r>
              <w:rPr>
                <w:b w:val="0"/>
                <w:sz w:val="20"/>
              </w:rPr>
              <w:t xml:space="preserve">LP</w:t>
            </w:r>
          </w:p>
        </w:tc>
        <w:tc>
          <w:tcPr>
            <w:tcW w:type="dxa" w:w="7852"/>
            <w:vAlign w:val="center"/>
          </w:tcPr>
          <w:p>
            <w:pPr>
              <w:pStyle w:val="Compact"/>
              <w:keepNext w:val="0"/>
              <w:keepLines/>
              <w:spacing w:after="40" w:before="40" w:line="252" w:lineRule="auto"/>
              <w:jc w:val="left"/>
            </w:pPr>
            <w:r>
              <w:rPr>
                <w:b w:val="0"/>
                <w:sz w:val="20"/>
              </w:rPr>
              <w:t xml:space="preserve">Linear programme</w:t>
            </w:r>
          </w:p>
        </w:tc>
      </w:tr>
      <w:tr>
        <w:trPr>
          <w:cantSplit/>
        </w:trPr>
        <w:tc>
          <w:tcPr>
            <w:tcW w:type="dxa" w:w="1724"/>
            <w:vAlign w:val="center"/>
          </w:tcPr>
          <w:p>
            <w:pPr>
              <w:pStyle w:val="Compact"/>
              <w:keepNext w:val="0"/>
              <w:keepLines/>
              <w:spacing w:after="40" w:before="40" w:line="252" w:lineRule="auto"/>
              <w:jc w:val="left"/>
            </w:pPr>
            <w:r>
              <w:rPr>
                <w:b w:val="0"/>
                <w:sz w:val="20"/>
              </w:rPr>
              <w:t xml:space="preserve">MCSE</w:t>
            </w:r>
          </w:p>
        </w:tc>
        <w:tc>
          <w:tcPr>
            <w:tcW w:type="dxa" w:w="7852"/>
            <w:vAlign w:val="center"/>
          </w:tcPr>
          <w:p>
            <w:pPr>
              <w:pStyle w:val="Compact"/>
              <w:keepNext w:val="0"/>
              <w:keepLines/>
              <w:spacing w:after="40" w:before="40" w:line="252" w:lineRule="auto"/>
              <w:jc w:val="left"/>
            </w:pPr>
            <w:r>
              <w:rPr>
                <w:b w:val="0"/>
                <w:sz w:val="20"/>
              </w:rPr>
              <w:t xml:space="preserve">Monte Carlo standard error of an estimated simulation summary</w:t>
            </w:r>
          </w:p>
        </w:tc>
      </w:tr>
      <w:tr>
        <w:trPr>
          <w:cantSplit/>
        </w:trPr>
        <w:tc>
          <w:tcPr>
            <w:tcW w:type="dxa" w:w="1724"/>
            <w:vAlign w:val="center"/>
          </w:tcPr>
          <w:p>
            <w:pPr>
              <w:pStyle w:val="Compact"/>
              <w:keepNext w:val="0"/>
              <w:keepLines/>
              <w:spacing w:after="40" w:before="40" w:line="252" w:lineRule="auto"/>
              <w:jc w:val="left"/>
            </w:pPr>
            <w:r>
              <w:rPr>
                <w:b w:val="0"/>
                <w:sz w:val="20"/>
              </w:rPr>
              <w:t xml:space="preserve">MSE</w:t>
            </w:r>
          </w:p>
        </w:tc>
        <w:tc>
          <w:tcPr>
            <w:tcW w:type="dxa" w:w="7852"/>
            <w:vAlign w:val="center"/>
          </w:tcPr>
          <w:p>
            <w:pPr>
              <w:pStyle w:val="Compact"/>
              <w:keepNext w:val="0"/>
              <w:keepLines/>
              <w:spacing w:after="40" w:before="40" w:line="252" w:lineRule="auto"/>
              <w:jc w:val="left"/>
            </w:pPr>
            <w:r>
              <w:rPr>
                <w:b w:val="0"/>
                <w:sz w:val="20"/>
              </w:rPr>
              <w:t xml:space="preserve">Mean squared error</w:t>
            </w:r>
          </w:p>
        </w:tc>
      </w:tr>
      <w:tr>
        <w:trPr>
          <w:cantSplit/>
        </w:trPr>
        <w:tc>
          <w:tcPr>
            <w:tcW w:type="dxa" w:w="1724"/>
            <w:vAlign w:val="center"/>
          </w:tcPr>
          <w:p>
            <w:pPr>
              <w:pStyle w:val="Compact"/>
              <w:keepNext w:val="0"/>
              <w:keepLines/>
              <w:spacing w:after="40" w:before="40" w:line="252" w:lineRule="auto"/>
              <w:jc w:val="left"/>
            </w:pPr>
            <w:r>
              <w:rPr>
                <w:b w:val="0"/>
                <w:sz w:val="20"/>
              </w:rPr>
              <w:t xml:space="preserve">NBBO</w:t>
            </w:r>
          </w:p>
        </w:tc>
        <w:tc>
          <w:tcPr>
            <w:tcW w:type="dxa" w:w="7852"/>
            <w:vAlign w:val="center"/>
          </w:tcPr>
          <w:p>
            <w:pPr>
              <w:pStyle w:val="Compact"/>
              <w:keepNext w:val="0"/>
              <w:keepLines/>
              <w:spacing w:after="40" w:before="40" w:line="252" w:lineRule="auto"/>
              <w:jc w:val="left"/>
            </w:pPr>
            <w:r>
              <w:rPr>
                <w:b w:val="0"/>
                <w:sz w:val="20"/>
              </w:rPr>
              <w:t xml:space="preserve">National Best Bid and Offer</w:t>
            </w:r>
          </w:p>
        </w:tc>
      </w:tr>
      <w:tr>
        <w:trPr>
          <w:cantSplit/>
        </w:trPr>
        <w:tc>
          <w:tcPr>
            <w:tcW w:type="dxa" w:w="1724"/>
            <w:vAlign w:val="center"/>
          </w:tcPr>
          <w:p>
            <w:pPr>
              <w:pStyle w:val="Compact"/>
              <w:keepNext w:val="0"/>
              <w:keepLines/>
              <w:spacing w:after="40" w:before="40" w:line="252" w:lineRule="auto"/>
              <w:jc w:val="left"/>
            </w:pPr>
            <w:r>
              <w:rPr>
                <w:b w:val="0"/>
                <w:sz w:val="20"/>
              </w:rPr>
              <w:t xml:space="preserve">OSI</w:t>
            </w:r>
          </w:p>
        </w:tc>
        <w:tc>
          <w:tcPr>
            <w:tcW w:type="dxa" w:w="7852"/>
            <w:vAlign w:val="center"/>
          </w:tcPr>
          <w:p>
            <w:pPr>
              <w:pStyle w:val="Compact"/>
              <w:keepNext w:val="0"/>
              <w:keepLines/>
              <w:spacing w:after="40" w:before="40" w:line="252" w:lineRule="auto"/>
              <w:jc w:val="left"/>
            </w:pPr>
            <w:r>
              <w:rPr>
                <w:b w:val="0"/>
                <w:sz w:val="20"/>
              </w:rPr>
              <w:t xml:space="preserve">Options Symbology Initiative; encoded contract identifier</w:t>
            </w:r>
          </w:p>
        </w:tc>
      </w:tr>
      <w:tr>
        <w:trPr>
          <w:cantSplit/>
        </w:trPr>
        <w:tc>
          <w:tcPr>
            <w:tcW w:type="dxa" w:w="1724"/>
            <w:vAlign w:val="center"/>
          </w:tcPr>
          <w:p>
            <w:pPr>
              <w:pStyle w:val="Compact"/>
              <w:keepNext w:val="0"/>
              <w:keepLines/>
              <w:spacing w:after="40" w:before="40" w:line="252" w:lineRule="auto"/>
              <w:jc w:val="left"/>
            </w:pPr>
            <w:r>
              <w:rPr>
                <w:b w:val="0"/>
                <w:sz w:val="20"/>
              </w:rPr>
              <w:t xml:space="preserve">OSQP</w:t>
            </w:r>
          </w:p>
        </w:tc>
        <w:tc>
          <w:tcPr>
            <w:tcW w:type="dxa" w:w="7852"/>
            <w:vAlign w:val="center"/>
          </w:tcPr>
          <w:p>
            <w:pPr>
              <w:pStyle w:val="Compact"/>
              <w:keepNext w:val="0"/>
              <w:keepLines/>
              <w:spacing w:after="40" w:before="40" w:line="252" w:lineRule="auto"/>
              <w:jc w:val="left"/>
            </w:pPr>
            <w:r>
              <w:rPr>
                <w:b w:val="0"/>
                <w:sz w:val="20"/>
              </w:rPr>
              <w:t xml:space="preserve">Operator Splitting Quadratic Program; the solver used in Milestone 5</w:t>
            </w:r>
          </w:p>
        </w:tc>
      </w:tr>
      <w:tr>
        <w:trPr>
          <w:cantSplit/>
        </w:trPr>
        <w:tc>
          <w:tcPr>
            <w:tcW w:type="dxa" w:w="1724"/>
            <w:vAlign w:val="center"/>
          </w:tcPr>
          <w:p>
            <w:pPr>
              <w:pStyle w:val="Compact"/>
              <w:keepNext w:val="0"/>
              <w:keepLines/>
              <w:spacing w:after="40" w:before="40" w:line="252" w:lineRule="auto"/>
              <w:jc w:val="left"/>
            </w:pPr>
            <w:r>
              <w:rPr>
                <w:b w:val="0"/>
                <w:sz w:val="20"/>
              </w:rPr>
              <w:t xml:space="preserve">PCG64</w:t>
            </w:r>
          </w:p>
        </w:tc>
        <w:tc>
          <w:tcPr>
            <w:tcW w:type="dxa" w:w="7852"/>
            <w:vAlign w:val="center"/>
          </w:tcPr>
          <w:p>
            <w:pPr>
              <w:pStyle w:val="Compact"/>
              <w:keepNext w:val="0"/>
              <w:keepLines/>
              <w:spacing w:after="40" w:before="40" w:line="252" w:lineRule="auto"/>
              <w:jc w:val="left"/>
            </w:pPr>
            <w:r>
              <w:rPr>
                <w:b w:val="0"/>
                <w:sz w:val="20"/>
              </w:rPr>
              <w:t xml:space="preserve">NumPy’s 64-bit permuted congruential random-number generator</w:t>
            </w:r>
          </w:p>
        </w:tc>
      </w:tr>
      <w:tr>
        <w:trPr>
          <w:cantSplit/>
        </w:trPr>
        <w:tc>
          <w:tcPr>
            <w:tcW w:type="dxa" w:w="1724"/>
            <w:vAlign w:val="center"/>
          </w:tcPr>
          <w:p>
            <w:pPr>
              <w:pStyle w:val="Compact"/>
              <w:keepNext w:val="0"/>
              <w:keepLines/>
              <w:spacing w:after="40" w:before="40" w:line="252" w:lineRule="auto"/>
              <w:jc w:val="left"/>
            </w:pPr>
            <w:r>
              <w:rPr>
                <w:b w:val="0"/>
                <w:sz w:val="20"/>
              </w:rPr>
              <w:t xml:space="preserve">PDF</w:t>
            </w:r>
          </w:p>
        </w:tc>
        <w:tc>
          <w:tcPr>
            <w:tcW w:type="dxa" w:w="7852"/>
            <w:vAlign w:val="center"/>
          </w:tcPr>
          <w:p>
            <w:pPr>
              <w:pStyle w:val="Compact"/>
              <w:keepNext w:val="0"/>
              <w:keepLines/>
              <w:spacing w:after="40" w:before="40" w:line="252" w:lineRule="auto"/>
              <w:jc w:val="left"/>
            </w:pPr>
            <w:r>
              <w:rPr>
                <w:b w:val="0"/>
                <w:sz w:val="20"/>
              </w:rPr>
              <w:t xml:space="preserve">Probability density function; a</w:t>
            </w:r>
            <w:r>
              <w:rPr>
                <w:b w:val="0"/>
                <w:sz w:val="20"/>
              </w:rPr>
              <w:t xml:space="preserve"> </w:t>
            </w:r>
            <w:r>
              <w:rPr>
                <w:rStyle w:val="VerbatimChar"/>
                <w:b w:val="0"/>
                <w:sz w:val="20"/>
              </w:rPr>
              <w:t xml:space="preserve">.pdf</w:t>
            </w:r>
            <w:r>
              <w:rPr>
                <w:b w:val="0"/>
                <w:sz w:val="20"/>
              </w:rPr>
              <w:t xml:space="preserve"> </w:t>
            </w:r>
            <w:r>
              <w:rPr>
                <w:b w:val="0"/>
                <w:sz w:val="20"/>
              </w:rPr>
              <w:t xml:space="preserve">document separately denotes Portable Document Format</w:t>
            </w:r>
          </w:p>
        </w:tc>
      </w:tr>
      <w:tr>
        <w:trPr>
          <w:cantSplit/>
        </w:trPr>
        <w:tc>
          <w:tcPr>
            <w:tcW w:type="dxa" w:w="1724"/>
            <w:vAlign w:val="center"/>
          </w:tcPr>
          <w:p>
            <w:pPr>
              <w:pStyle w:val="Compact"/>
              <w:keepNext w:val="0"/>
              <w:keepLines/>
              <w:spacing w:after="40" w:before="40" w:line="252" w:lineRule="auto"/>
              <w:jc w:val="left"/>
            </w:pPr>
            <w:r>
              <w:rPr>
                <w:b w:val="0"/>
                <w:sz w:val="20"/>
              </w:rPr>
              <w:t xml:space="preserve">QDLDL</w:t>
            </w:r>
          </w:p>
        </w:tc>
        <w:tc>
          <w:tcPr>
            <w:tcW w:type="dxa" w:w="7852"/>
            <w:vAlign w:val="center"/>
          </w:tcPr>
          <w:p>
            <w:pPr>
              <w:pStyle w:val="Compact"/>
              <w:keepNext w:val="0"/>
              <w:keepLines/>
              <w:spacing w:after="40" w:before="40" w:line="252" w:lineRule="auto"/>
              <w:jc w:val="left"/>
            </w:pPr>
            <w:r>
              <w:rPr>
                <w:b w:val="0"/>
                <w:sz w:val="20"/>
              </w:rPr>
              <w:t xml:space="preserve">Named sparse LDL factorisation implementation used by the Clarabel backend</w:t>
            </w:r>
          </w:p>
        </w:tc>
      </w:tr>
      <w:tr>
        <w:trPr>
          <w:cantSplit/>
        </w:trPr>
        <w:tc>
          <w:tcPr>
            <w:tcW w:type="dxa" w:w="1724"/>
            <w:vAlign w:val="center"/>
          </w:tcPr>
          <w:p>
            <w:pPr>
              <w:pStyle w:val="Compact"/>
              <w:keepNext w:val="0"/>
              <w:keepLines/>
              <w:spacing w:after="40" w:before="40" w:line="252" w:lineRule="auto"/>
              <w:jc w:val="left"/>
            </w:pPr>
            <w:r>
              <w:rPr>
                <w:b w:val="0"/>
                <w:sz w:val="20"/>
              </w:rPr>
              <w:t xml:space="preserve">QP</w:t>
            </w:r>
          </w:p>
        </w:tc>
        <w:tc>
          <w:tcPr>
            <w:tcW w:type="dxa" w:w="7852"/>
            <w:vAlign w:val="center"/>
          </w:tcPr>
          <w:p>
            <w:pPr>
              <w:pStyle w:val="Compact"/>
              <w:keepNext w:val="0"/>
              <w:keepLines/>
              <w:spacing w:after="40" w:before="40" w:line="252" w:lineRule="auto"/>
              <w:jc w:val="left"/>
            </w:pPr>
            <w:r>
              <w:rPr>
                <w:b w:val="0"/>
                <w:sz w:val="20"/>
              </w:rPr>
              <w:t xml:space="preserve">Quadratic programme</w:t>
            </w:r>
          </w:p>
        </w:tc>
      </w:tr>
      <w:tr>
        <w:trPr>
          <w:cantSplit/>
        </w:trPr>
        <w:tc>
          <w:tcPr>
            <w:tcW w:type="dxa" w:w="1724"/>
            <w:vAlign w:val="center"/>
          </w:tcPr>
          <w:p>
            <w:pPr>
              <w:pStyle w:val="Compact"/>
              <w:keepNext w:val="0"/>
              <w:keepLines/>
              <w:spacing w:after="40" w:before="40" w:line="252" w:lineRule="auto"/>
              <w:jc w:val="left"/>
            </w:pPr>
            <w:r>
              <w:rPr>
                <w:b w:val="0"/>
                <w:sz w:val="20"/>
              </w:rPr>
              <w:t xml:space="preserve">RMSE</w:t>
            </w:r>
          </w:p>
        </w:tc>
        <w:tc>
          <w:tcPr>
            <w:tcW w:type="dxa" w:w="7852"/>
            <w:vAlign w:val="center"/>
          </w:tcPr>
          <w:p>
            <w:pPr>
              <w:pStyle w:val="Compact"/>
              <w:keepNext w:val="0"/>
              <w:keepLines/>
              <w:spacing w:after="40" w:before="40" w:line="252" w:lineRule="auto"/>
              <w:jc w:val="left"/>
            </w:pPr>
            <w:r>
              <w:rPr>
                <w:b w:val="0"/>
                <w:sz w:val="20"/>
              </w:rPr>
              <w:t xml:space="preserve">Root-mean-square error</w:t>
            </w:r>
          </w:p>
        </w:tc>
      </w:tr>
      <w:tr>
        <w:trPr>
          <w:cantSplit/>
        </w:trPr>
        <w:tc>
          <w:tcPr>
            <w:tcW w:type="dxa" w:w="1724"/>
            <w:vAlign w:val="center"/>
          </w:tcPr>
          <w:p>
            <w:pPr>
              <w:pStyle w:val="Compact"/>
              <w:keepNext w:val="0"/>
              <w:keepLines/>
              <w:spacing w:after="40" w:before="40" w:line="252" w:lineRule="auto"/>
              <w:jc w:val="left"/>
            </w:pPr>
            <w:r>
              <w:rPr>
                <w:b w:val="0"/>
                <w:sz w:val="20"/>
              </w:rPr>
              <w:t xml:space="preserve">RND</w:t>
            </w:r>
          </w:p>
        </w:tc>
        <w:tc>
          <w:tcPr>
            <w:tcW w:type="dxa" w:w="7852"/>
            <w:vAlign w:val="center"/>
          </w:tcPr>
          <w:p>
            <w:pPr>
              <w:pStyle w:val="Compact"/>
              <w:keepNext w:val="0"/>
              <w:keepLines/>
              <w:spacing w:after="40" w:before="40" w:line="252" w:lineRule="auto"/>
              <w:jc w:val="left"/>
            </w:pPr>
            <w:r>
              <w:rPr>
                <w:b w:val="0"/>
                <w:sz w:val="20"/>
              </w:rPr>
              <w:t xml:space="preserve">Risk-neutral density</w:t>
            </w:r>
          </w:p>
        </w:tc>
      </w:tr>
      <w:tr>
        <w:trPr>
          <w:cantSplit/>
        </w:trPr>
        <w:tc>
          <w:tcPr>
            <w:tcW w:type="dxa" w:w="1724"/>
            <w:vAlign w:val="center"/>
          </w:tcPr>
          <w:p>
            <w:pPr>
              <w:pStyle w:val="Compact"/>
              <w:keepNext w:val="0"/>
              <w:keepLines/>
              <w:spacing w:after="40" w:before="40" w:line="252" w:lineRule="auto"/>
              <w:jc w:val="left"/>
            </w:pPr>
            <w:r>
              <w:rPr>
                <w:b w:val="0"/>
                <w:sz w:val="20"/>
              </w:rPr>
              <w:t xml:space="preserve">SD</w:t>
            </w:r>
          </w:p>
        </w:tc>
        <w:tc>
          <w:tcPr>
            <w:tcW w:type="dxa" w:w="7852"/>
            <w:vAlign w:val="center"/>
          </w:tcPr>
          <w:p>
            <w:pPr>
              <w:pStyle w:val="Compact"/>
              <w:keepNext w:val="0"/>
              <w:keepLines/>
              <w:spacing w:after="40" w:before="40" w:line="252" w:lineRule="auto"/>
              <w:jc w:val="left"/>
            </w:pPr>
            <w:r>
              <w:rPr>
                <w:b w:val="0"/>
                <w:sz w:val="20"/>
              </w:rPr>
              <w:t xml:space="preserve">Standard deviation</w:t>
            </w:r>
          </w:p>
        </w:tc>
      </w:tr>
      <w:tr>
        <w:trPr>
          <w:cantSplit/>
        </w:trPr>
        <w:tc>
          <w:tcPr>
            <w:tcW w:type="dxa" w:w="1724"/>
            <w:vAlign w:val="center"/>
          </w:tcPr>
          <w:p>
            <w:pPr>
              <w:pStyle w:val="Compact"/>
              <w:keepNext w:val="0"/>
              <w:keepLines/>
              <w:spacing w:after="40" w:before="40" w:line="252" w:lineRule="auto"/>
              <w:jc w:val="left"/>
            </w:pPr>
            <w:r>
              <w:rPr>
                <w:b w:val="0"/>
                <w:sz w:val="20"/>
              </w:rPr>
              <w:t xml:space="preserve">SHA-256</w:t>
            </w:r>
          </w:p>
        </w:tc>
        <w:tc>
          <w:tcPr>
            <w:tcW w:type="dxa" w:w="7852"/>
            <w:vAlign w:val="center"/>
          </w:tcPr>
          <w:p>
            <w:pPr>
              <w:pStyle w:val="Compact"/>
              <w:keepNext w:val="0"/>
              <w:keepLines/>
              <w:spacing w:after="40" w:before="40" w:line="252" w:lineRule="auto"/>
              <w:jc w:val="left"/>
            </w:pPr>
            <w:r>
              <w:rPr>
                <w:b w:val="0"/>
                <w:sz w:val="20"/>
              </w:rPr>
              <w:t xml:space="preserve">Secure Hash Algorithm with a 256-bit digest</w:t>
            </w:r>
          </w:p>
        </w:tc>
      </w:tr>
      <w:tr>
        <w:trPr>
          <w:cantSplit/>
        </w:trPr>
        <w:tc>
          <w:tcPr>
            <w:tcW w:type="dxa" w:w="1724"/>
            <w:vAlign w:val="center"/>
          </w:tcPr>
          <w:p>
            <w:pPr>
              <w:pStyle w:val="Compact"/>
              <w:keepNext w:val="0"/>
              <w:keepLines/>
              <w:spacing w:after="40" w:before="40" w:line="252" w:lineRule="auto"/>
              <w:jc w:val="left"/>
            </w:pPr>
            <w:r>
              <w:rPr>
                <w:b w:val="0"/>
                <w:sz w:val="20"/>
              </w:rPr>
              <w:t xml:space="preserve">SLSQP</w:t>
            </w:r>
          </w:p>
        </w:tc>
        <w:tc>
          <w:tcPr>
            <w:tcW w:type="dxa" w:w="7852"/>
            <w:vAlign w:val="center"/>
          </w:tcPr>
          <w:p>
            <w:pPr>
              <w:pStyle w:val="Compact"/>
              <w:keepNext w:val="0"/>
              <w:keepLines/>
              <w:spacing w:after="40" w:before="40" w:line="252" w:lineRule="auto"/>
              <w:jc w:val="left"/>
            </w:pPr>
            <w:r>
              <w:rPr>
                <w:b w:val="0"/>
                <w:sz w:val="20"/>
              </w:rPr>
              <w:t xml:space="preserve">Sequential least-squares programming</w:t>
            </w:r>
          </w:p>
        </w:tc>
      </w:tr>
      <w:tr>
        <w:trPr>
          <w:cantSplit/>
        </w:trPr>
        <w:tc>
          <w:tcPr>
            <w:tcW w:type="dxa" w:w="1724"/>
            <w:vAlign w:val="center"/>
          </w:tcPr>
          <w:p>
            <w:pPr>
              <w:pStyle w:val="Compact"/>
              <w:keepNext w:val="0"/>
              <w:keepLines/>
              <w:spacing w:after="40" w:before="40" w:line="252" w:lineRule="auto"/>
              <w:jc w:val="left"/>
            </w:pPr>
            <w:r>
              <w:rPr>
                <w:b w:val="0"/>
                <w:sz w:val="20"/>
              </w:rPr>
              <w:t xml:space="preserve">SPX</w:t>
            </w:r>
          </w:p>
        </w:tc>
        <w:tc>
          <w:tcPr>
            <w:tcW w:type="dxa" w:w="7852"/>
            <w:vAlign w:val="center"/>
          </w:tcPr>
          <w:p>
            <w:pPr>
              <w:pStyle w:val="Compact"/>
              <w:keepNext w:val="0"/>
              <w:keepLines/>
              <w:spacing w:after="40" w:before="40" w:line="252" w:lineRule="auto"/>
              <w:jc w:val="left"/>
            </w:pPr>
            <w:r>
              <w:rPr>
                <w:b w:val="0"/>
                <w:sz w:val="20"/>
              </w:rPr>
              <w:t xml:space="preserve">Cboe S&amp;P 500 Index option identifier; a product symbol rather than an ordinary abbreviation</w:t>
            </w:r>
          </w:p>
        </w:tc>
      </w:tr>
      <w:tr>
        <w:trPr>
          <w:cantSplit/>
        </w:trPr>
        <w:tc>
          <w:tcPr>
            <w:tcW w:type="dxa" w:w="1724"/>
            <w:vAlign w:val="center"/>
          </w:tcPr>
          <w:p>
            <w:pPr>
              <w:pStyle w:val="Compact"/>
              <w:keepNext w:val="0"/>
              <w:keepLines/>
              <w:spacing w:after="40" w:before="40" w:line="252" w:lineRule="auto"/>
              <w:jc w:val="left"/>
            </w:pPr>
            <w:r>
              <w:rPr>
                <w:b w:val="0"/>
                <w:sz w:val="20"/>
              </w:rPr>
              <w:t xml:space="preserve">SPXW</w:t>
            </w:r>
          </w:p>
        </w:tc>
        <w:tc>
          <w:tcPr>
            <w:tcW w:type="dxa" w:w="7852"/>
            <w:vAlign w:val="center"/>
          </w:tcPr>
          <w:p>
            <w:pPr>
              <w:pStyle w:val="Compact"/>
              <w:keepNext w:val="0"/>
              <w:keepLines/>
              <w:spacing w:after="40" w:before="40" w:line="252" w:lineRule="auto"/>
              <w:jc w:val="left"/>
            </w:pPr>
            <w:r>
              <w:rPr>
                <w:b w:val="0"/>
                <w:sz w:val="20"/>
              </w:rPr>
              <w:t xml:space="preserve">SPX option trading-class identifier; kept separate from SPX in the quote audit</w:t>
            </w:r>
          </w:p>
        </w:tc>
      </w:tr>
      <w:tr>
        <w:trPr>
          <w:cantSplit/>
        </w:trPr>
        <w:tc>
          <w:tcPr>
            <w:tcW w:type="dxa" w:w="1724"/>
            <w:vAlign w:val="center"/>
          </w:tcPr>
          <w:p>
            <w:pPr>
              <w:pStyle w:val="Compact"/>
              <w:keepNext w:val="0"/>
              <w:keepLines/>
              <w:spacing w:after="40" w:before="40" w:line="252" w:lineRule="auto"/>
              <w:jc w:val="left"/>
            </w:pPr>
            <w:r>
              <w:rPr>
                <w:b w:val="0"/>
                <w:sz w:val="20"/>
              </w:rPr>
              <w:t xml:space="preserve">SVI</w:t>
            </w:r>
          </w:p>
        </w:tc>
        <w:tc>
          <w:tcPr>
            <w:tcW w:type="dxa" w:w="7852"/>
            <w:vAlign w:val="center"/>
          </w:tcPr>
          <w:p>
            <w:pPr>
              <w:pStyle w:val="Compact"/>
              <w:keepNext w:val="0"/>
              <w:keepLines/>
              <w:spacing w:after="40" w:before="40" w:line="252" w:lineRule="auto"/>
              <w:jc w:val="left"/>
            </w:pPr>
            <w:r>
              <w:rPr>
                <w:b w:val="0"/>
                <w:sz w:val="20"/>
              </w:rPr>
              <w:t xml:space="preserve">Stochastic volatility inspired; the parameterisation in reference [12], not the estimator used here</w:t>
            </w:r>
          </w:p>
        </w:tc>
      </w:tr>
      <w:tr>
        <w:trPr>
          <w:cantSplit/>
        </w:trPr>
        <w:tc>
          <w:tcPr>
            <w:tcW w:type="dxa" w:w="1724"/>
            <w:vAlign w:val="center"/>
          </w:tcPr>
          <w:p>
            <w:pPr>
              <w:pStyle w:val="Compact"/>
              <w:keepNext w:val="0"/>
              <w:keepLines/>
              <w:spacing w:after="40" w:before="40" w:line="252" w:lineRule="auto"/>
              <w:jc w:val="left"/>
            </w:pPr>
            <w:r>
              <w:rPr>
                <w:b w:val="0"/>
                <w:sz w:val="20"/>
              </w:rPr>
              <w:t xml:space="preserve">UTC</w:t>
            </w:r>
          </w:p>
        </w:tc>
        <w:tc>
          <w:tcPr>
            <w:tcW w:type="dxa" w:w="7852"/>
            <w:vAlign w:val="center"/>
          </w:tcPr>
          <w:p>
            <w:pPr>
              <w:pStyle w:val="Compact"/>
              <w:keepNext w:val="0"/>
              <w:keepLines/>
              <w:spacing w:after="40" w:before="40" w:line="252" w:lineRule="auto"/>
              <w:jc w:val="left"/>
            </w:pPr>
            <w:r>
              <w:rPr>
                <w:b w:val="0"/>
                <w:sz w:val="20"/>
              </w:rPr>
              <w:t xml:space="preserve">Coordinated Universal Time</w:t>
            </w:r>
          </w:p>
        </w:tc>
      </w:tr>
      <w:tr>
        <w:trPr>
          <w:cantSplit/>
        </w:trPr>
        <w:tc>
          <w:tcPr>
            <w:tcW w:type="dxa" w:w="1724"/>
            <w:vAlign w:val="center"/>
          </w:tcPr>
          <w:p>
            <w:pPr>
              <w:pStyle w:val="Compact"/>
              <w:keepNext w:val="0"/>
              <w:keepLines/>
              <w:spacing w:after="40" w:before="40" w:line="252" w:lineRule="auto"/>
              <w:jc w:val="left"/>
            </w:pPr>
            <w:r>
              <w:rPr>
                <w:b w:val="0"/>
                <w:sz w:val="20"/>
              </w:rPr>
              <w:t xml:space="preserve">WRDS</w:t>
            </w:r>
          </w:p>
        </w:tc>
        <w:tc>
          <w:tcPr>
            <w:tcW w:type="dxa" w:w="7852"/>
            <w:vAlign w:val="center"/>
          </w:tcPr>
          <w:p>
            <w:pPr>
              <w:pStyle w:val="Compact"/>
              <w:keepNext w:val="0"/>
              <w:keepLines/>
              <w:spacing w:after="40" w:before="40" w:line="252" w:lineRule="auto"/>
              <w:jc w:val="left"/>
            </w:pPr>
            <w:r>
              <w:rPr>
                <w:b w:val="0"/>
                <w:sz w:val="20"/>
              </w:rPr>
              <w:t xml:space="preserve">Wharton Research Data Services</w:t>
            </w:r>
          </w:p>
        </w:tc>
      </w:tr>
    </w:tbl>
    <w:bookmarkEnd w:id="25"/>
    <w:bookmarkStart w:id="26" w:name="list-of-mathematical-symbols"/>
    <w:p>
      <w:bookmarkStart w:id="507" w:name="front_list_of_mathematical_symbols"/>
      <w:pPr>
        <w:pStyle w:val="FrontHeading"/>
      </w:pPr>
      <w:r>
        <w:t xml:space="preserve">List of mathematical symbols</w:t>
      </w:r>
      <w:bookmarkEnd w:id="507"/>
    </w:p>
    <w:p>
      <w:pPr>
        <w:pStyle w:val="FirstParagraph"/>
      </w:pPr>
      <w:r>
        <w:t xml:space="preserve">Symbols are defined in the context of their equation. Reused letters with different subscripts or roles are distinguished below.</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02"/>
        <w:gridCol w:w="4884"/>
        <w:gridCol w:w="2490"/>
      </w:tblGrid>
      <w:tr>
        <w:trPr>
          <w:tblHeader w:val="true"/>
          <w:cantSplit/>
          <w:tblHeader/>
        </w:trPr>
        <w:tc>
          <w:tcPr>
            <w:tcW w:type="dxa" w:w="2202"/>
            <w:vAlign w:val="center"/>
            <w:shd w:fill="E9EEF3"/>
          </w:tcPr>
          <w:p>
            <w:pPr>
              <w:pStyle w:val="Compact"/>
              <w:keepNext/>
              <w:keepLines/>
              <w:spacing w:after="40" w:before="40" w:line="252" w:lineRule="auto"/>
              <w:jc w:val="left"/>
            </w:pPr>
            <w:r>
              <w:rPr>
                <w:b/>
                <w:sz w:val="20"/>
              </w:rPr>
              <w:t xml:space="preserve">Symbol</w:t>
            </w:r>
          </w:p>
        </w:tc>
        <w:tc>
          <w:tcPr>
            <w:tcW w:type="dxa" w:w="4884"/>
            <w:vAlign w:val="center"/>
            <w:shd w:fill="E9EEF3"/>
          </w:tcPr>
          <w:p>
            <w:pPr>
              <w:pStyle w:val="Compact"/>
              <w:keepNext/>
              <w:keepLines/>
              <w:spacing w:after="40" w:before="40" w:line="252" w:lineRule="auto"/>
              <w:jc w:val="left"/>
            </w:pPr>
            <w:r>
              <w:rPr>
                <w:b/>
                <w:sz w:val="20"/>
              </w:rPr>
              <w:t xml:space="preserve">Definition</w:t>
            </w:r>
          </w:p>
        </w:tc>
        <w:tc>
          <w:tcPr>
            <w:tcW w:type="dxa" w:w="2490"/>
            <w:vAlign w:val="center"/>
            <w:shd w:fill="E9EEF3"/>
          </w:tcPr>
          <w:p>
            <w:pPr>
              <w:pStyle w:val="Compact"/>
              <w:keepNext/>
              <w:keepLines/>
              <w:spacing w:after="40" w:before="40" w:line="252" w:lineRule="auto"/>
              <w:jc w:val="left"/>
            </w:pPr>
            <w:r>
              <w:rPr>
                <w:b/>
                <w:sz w:val="20"/>
              </w:rPr>
              <w:t xml:space="preserve">Units</w:t>
            </w:r>
          </w:p>
        </w:tc>
      </w:tr>
      <w:tr>
        <w:trPr>
          <w:cantSplit/>
        </w:trPr>
        <w:tc>
          <w:tcPr>
            <w:tcW w:type="dxa" w:w="2202"/>
            <w:vAlign w:val="center"/>
          </w:tcPr>
          <w:p>
            <w:pPr>
              <w:pStyle w:val="Compact"/>
              <w:keepNext w:val="0"/>
              <w:keepLines/>
              <w:spacing w:after="40" w:before="40" w:line="252" w:lineRule="auto"/>
              <w:jc w:val="left"/>
            </w:pPr>
            <m:oMath>
              <m:sSub>
                <m:e>
                  <m:r>
                    <m:t>S</m:t>
                  </m:r>
                </m:e>
                <m:sub>
                  <m:r>
                    <m:t>0</m:t>
                  </m:r>
                </m:sub>
              </m:sSub>
            </m:oMath>
          </w:p>
        </w:tc>
        <w:tc>
          <w:tcPr>
            <w:tcW w:type="dxa" w:w="4884"/>
            <w:vAlign w:val="center"/>
          </w:tcPr>
          <w:p>
            <w:pPr>
              <w:pStyle w:val="Compact"/>
              <w:keepNext w:val="0"/>
              <w:keepLines/>
              <w:spacing w:after="40" w:before="40" w:line="252" w:lineRule="auto"/>
              <w:jc w:val="left"/>
            </w:pPr>
            <w:r>
              <w:rPr>
                <w:b w:val="0"/>
                <w:sz w:val="20"/>
              </w:rPr>
              <w:t xml:space="preserve">Initial index level</w:t>
            </w:r>
          </w:p>
        </w:tc>
        <w:tc>
          <w:tcPr>
            <w:tcW w:type="dxa" w:w="2490"/>
            <w:vAlign w:val="center"/>
          </w:tcPr>
          <w:p>
            <w:pPr>
              <w:pStyle w:val="Compact"/>
              <w:keepNext w:val="0"/>
              <w:keepLines/>
              <w:spacing w:after="40" w:before="40" w:line="252" w:lineRule="auto"/>
              <w:jc w:val="left"/>
            </w:pPr>
            <w:r>
              <w:rPr>
                <w:b w:val="0"/>
                <w:sz w:val="20"/>
              </w:rPr>
              <w:t xml:space="preserve">Index points</w:t>
            </w:r>
          </w:p>
        </w:tc>
      </w:tr>
      <w:tr>
        <w:trPr>
          <w:cantSplit/>
        </w:trPr>
        <w:tc>
          <w:tcPr>
            <w:tcW w:type="dxa" w:w="2202"/>
            <w:vAlign w:val="center"/>
          </w:tcPr>
          <w:p>
            <w:pPr>
              <w:pStyle w:val="Compact"/>
              <w:keepNext w:val="0"/>
              <w:keepLines/>
              <w:spacing w:after="40" w:before="40" w:line="252" w:lineRule="auto"/>
              <w:jc w:val="left"/>
            </w:pPr>
            <m:oMath>
              <m:sSub>
                <m:e>
                  <m:r>
                    <m:t>S</m:t>
                  </m:r>
                </m:e>
                <m:sub>
                  <m:r>
                    <m:t>T</m:t>
                  </m:r>
                </m:sub>
              </m:sSub>
            </m:oMath>
            <w:r>
              <w:rPr>
                <w:b w:val="0"/>
                <w:sz w:val="20"/>
              </w:rPr>
              <w:t xml:space="preserve">,</w:t>
            </w:r>
            <w:r>
              <w:rPr>
                <w:b w:val="0"/>
                <w:sz w:val="20"/>
              </w:rPr>
              <w:t xml:space="preserve"> </w:t>
            </w:r>
            <m:oMath>
              <m:r>
                <m:t>s</m:t>
              </m:r>
            </m:oMath>
          </w:p>
        </w:tc>
        <w:tc>
          <w:tcPr>
            <w:tcW w:type="dxa" w:w="4884"/>
            <w:vAlign w:val="center"/>
          </w:tcPr>
          <w:p>
            <w:pPr>
              <w:pStyle w:val="Compact"/>
              <w:keepNext w:val="0"/>
              <w:keepLines/>
              <w:spacing w:after="40" w:before="40" w:line="252" w:lineRule="auto"/>
              <w:jc w:val="left"/>
            </w:pPr>
            <w:r>
              <w:rPr>
                <w:b w:val="0"/>
                <w:sz w:val="20"/>
              </w:rPr>
              <w:t xml:space="preserve">Terminal index level, or its possible value</w:t>
            </w:r>
          </w:p>
        </w:tc>
        <w:tc>
          <w:tcPr>
            <w:tcW w:type="dxa" w:w="2490"/>
            <w:vAlign w:val="center"/>
          </w:tcPr>
          <w:p>
            <w:pPr>
              <w:pStyle w:val="Compact"/>
              <w:keepNext w:val="0"/>
              <w:keepLines/>
              <w:spacing w:after="40" w:before="40" w:line="252" w:lineRule="auto"/>
              <w:jc w:val="left"/>
            </w:pPr>
            <w:r>
              <w:rPr>
                <w:b w:val="0"/>
                <w:sz w:val="20"/>
              </w:rPr>
              <w:t xml:space="preserve">Index points</w:t>
            </w:r>
          </w:p>
        </w:tc>
      </w:tr>
      <w:tr>
        <w:trPr>
          <w:cantSplit/>
        </w:trPr>
        <w:tc>
          <w:tcPr>
            <w:tcW w:type="dxa" w:w="2202"/>
            <w:vAlign w:val="center"/>
          </w:tcPr>
          <w:p>
            <w:pPr>
              <w:pStyle w:val="Compact"/>
              <w:keepNext w:val="0"/>
              <w:keepLines/>
              <w:spacing w:after="40" w:before="40" w:line="252" w:lineRule="auto"/>
              <w:jc w:val="left"/>
            </w:pPr>
            <m:oMath>
              <m:r>
                <m:t>K</m:t>
              </m:r>
            </m:oMath>
            <w:r>
              <w:rPr>
                <w:b w:val="0"/>
                <w:sz w:val="20"/>
              </w:rPr>
              <w:t xml:space="preserve">,</w:t>
            </w:r>
            <w:r>
              <w:rPr>
                <w:b w:val="0"/>
                <w:sz w:val="20"/>
              </w:rPr>
              <w:t xml:space="preserve"> </w:t>
            </w:r>
            <m:oMath>
              <m:sSub>
                <m:e>
                  <m:r>
                    <m:t>K</m:t>
                  </m:r>
                </m:e>
                <m:sub>
                  <m:r>
                    <m:t>i</m:t>
                  </m:r>
                </m:sub>
              </m:sSub>
            </m:oMath>
          </w:p>
        </w:tc>
        <w:tc>
          <w:tcPr>
            <w:tcW w:type="dxa" w:w="4884"/>
            <w:vAlign w:val="center"/>
          </w:tcPr>
          <w:p>
            <w:pPr>
              <w:pStyle w:val="Compact"/>
              <w:keepNext w:val="0"/>
              <w:keepLines/>
              <w:spacing w:after="40" w:before="40" w:line="252" w:lineRule="auto"/>
              <w:jc w:val="left"/>
            </w:pPr>
            <w:r>
              <w:rPr>
                <w:b w:val="0"/>
                <w:sz w:val="20"/>
              </w:rPr>
              <w:t xml:space="preserve">Option strike</w:t>
            </w:r>
          </w:p>
        </w:tc>
        <w:tc>
          <w:tcPr>
            <w:tcW w:type="dxa" w:w="2490"/>
            <w:vAlign w:val="center"/>
          </w:tcPr>
          <w:p>
            <w:pPr>
              <w:pStyle w:val="Compact"/>
              <w:keepNext w:val="0"/>
              <w:keepLines/>
              <w:spacing w:after="40" w:before="40" w:line="252" w:lineRule="auto"/>
              <w:jc w:val="left"/>
            </w:pPr>
            <w:r>
              <w:rPr>
                <w:b w:val="0"/>
                <w:sz w:val="20"/>
              </w:rPr>
              <w:t xml:space="preserve">Index points</w:t>
            </w:r>
          </w:p>
        </w:tc>
      </w:tr>
      <w:tr>
        <w:trPr>
          <w:cantSplit/>
        </w:trPr>
        <w:tc>
          <w:tcPr>
            <w:tcW w:type="dxa" w:w="2202"/>
            <w:vAlign w:val="center"/>
          </w:tcPr>
          <w:p>
            <w:pPr>
              <w:pStyle w:val="Compact"/>
              <w:keepNext w:val="0"/>
              <w:keepLines/>
              <w:spacing w:after="40" w:before="40" w:line="252" w:lineRule="auto"/>
              <w:jc w:val="left"/>
            </w:pPr>
            <m:oMath>
              <m:r>
                <m:t>T</m:t>
              </m:r>
            </m:oMath>
          </w:p>
        </w:tc>
        <w:tc>
          <w:tcPr>
            <w:tcW w:type="dxa" w:w="4884"/>
            <w:vAlign w:val="center"/>
          </w:tcPr>
          <w:p>
            <w:pPr>
              <w:pStyle w:val="Compact"/>
              <w:keepNext w:val="0"/>
              <w:keepLines/>
              <w:spacing w:after="40" w:before="40" w:line="252" w:lineRule="auto"/>
              <w:jc w:val="left"/>
            </w:pPr>
            <w:r>
              <w:rPr>
                <w:b w:val="0"/>
                <w:sz w:val="20"/>
              </w:rPr>
              <w:t xml:space="preserve">Time from observation to settlement</w:t>
            </w:r>
          </w:p>
        </w:tc>
        <w:tc>
          <w:tcPr>
            <w:tcW w:type="dxa" w:w="2490"/>
            <w:vAlign w:val="center"/>
          </w:tcPr>
          <w:p>
            <w:pPr>
              <w:pStyle w:val="Compact"/>
              <w:keepNext w:val="0"/>
              <w:keepLines/>
              <w:spacing w:after="40" w:before="40" w:line="252" w:lineRule="auto"/>
              <w:jc w:val="left"/>
            </w:pPr>
            <w:r>
              <w:rPr>
                <w:b w:val="0"/>
                <w:sz w:val="20"/>
              </w:rPr>
              <w:t xml:space="preserve">Years</w:t>
            </w:r>
          </w:p>
        </w:tc>
      </w:tr>
      <w:tr>
        <w:trPr>
          <w:cantSplit/>
        </w:trPr>
        <w:tc>
          <w:tcPr>
            <w:tcW w:type="dxa" w:w="2202"/>
            <w:vAlign w:val="center"/>
          </w:tcPr>
          <w:p>
            <w:pPr>
              <w:pStyle w:val="Compact"/>
              <w:keepNext w:val="0"/>
              <w:keepLines/>
              <w:spacing w:after="40" w:before="40" w:line="252" w:lineRule="auto"/>
              <w:jc w:val="left"/>
            </w:pPr>
            <m:oMath>
              <m:r>
                <m:t>r</m:t>
              </m:r>
            </m:oMath>
          </w:p>
        </w:tc>
        <w:tc>
          <w:tcPr>
            <w:tcW w:type="dxa" w:w="4884"/>
            <w:vAlign w:val="center"/>
          </w:tcPr>
          <w:p>
            <w:pPr>
              <w:pStyle w:val="Compact"/>
              <w:keepNext w:val="0"/>
              <w:keepLines/>
              <w:spacing w:after="40" w:before="40" w:line="252" w:lineRule="auto"/>
              <w:jc w:val="left"/>
            </w:pPr>
            <w:r>
              <w:rPr>
                <w:b w:val="0"/>
                <w:sz w:val="20"/>
              </w:rPr>
              <w:t xml:space="preserve">Continuously compounded risk-free rate</w:t>
            </w:r>
          </w:p>
        </w:tc>
        <w:tc>
          <w:tcPr>
            <w:tcW w:type="dxa" w:w="2490"/>
            <w:vAlign w:val="center"/>
          </w:tcPr>
          <w:p>
            <w:pPr>
              <w:pStyle w:val="Compact"/>
              <w:keepNext w:val="0"/>
              <w:keepLines/>
              <w:spacing w:after="40" w:before="40" w:line="252" w:lineRule="auto"/>
              <w:jc w:val="left"/>
            </w:pPr>
            <w:r>
              <w:rPr>
                <w:b w:val="0"/>
                <w:sz w:val="20"/>
              </w:rPr>
              <w:t xml:space="preserve">Per year</w:t>
            </w:r>
          </w:p>
        </w:tc>
      </w:tr>
      <w:tr>
        <w:trPr>
          <w:cantSplit/>
        </w:trPr>
        <w:tc>
          <w:tcPr>
            <w:tcW w:type="dxa" w:w="2202"/>
            <w:vAlign w:val="center"/>
          </w:tcPr>
          <w:p>
            <w:pPr>
              <w:pStyle w:val="Compact"/>
              <w:keepNext w:val="0"/>
              <w:keepLines/>
              <w:spacing w:after="40" w:before="40" w:line="252" w:lineRule="auto"/>
              <w:jc w:val="left"/>
            </w:pPr>
            <m:oMath>
              <m:r>
                <m:t>q</m:t>
              </m:r>
            </m:oMath>
          </w:p>
        </w:tc>
        <w:tc>
          <w:tcPr>
            <w:tcW w:type="dxa" w:w="4884"/>
            <w:vAlign w:val="center"/>
          </w:tcPr>
          <w:p>
            <w:pPr>
              <w:pStyle w:val="Compact"/>
              <w:keepNext w:val="0"/>
              <w:keepLines/>
              <w:spacing w:after="40" w:before="40" w:line="252" w:lineRule="auto"/>
              <w:jc w:val="left"/>
            </w:pPr>
            <w:r>
              <w:rPr>
                <w:b w:val="0"/>
                <w:sz w:val="20"/>
              </w:rPr>
              <w:t xml:space="preserve">Continuous dividend yield;</w:t>
            </w:r>
            <w:r>
              <w:rPr>
                <w:b w:val="0"/>
                <w:sz w:val="20"/>
              </w:rPr>
              <w:t xml:space="preserve"> </w:t>
            </w:r>
            <w:r>
              <w:rPr>
                <w:rStyle w:val="VerbatimChar"/>
                <w:b w:val="0"/>
                <w:sz w:val="20"/>
              </w:rPr>
              <w:t xml:space="preserve">dividend</w:t>
            </w:r>
            <w:r>
              <w:rPr>
                <w:b w:val="0"/>
                <w:sz w:val="20"/>
              </w:rPr>
              <w:t xml:space="preserve"> </w:t>
            </w:r>
            <w:r>
              <w:rPr>
                <w:b w:val="0"/>
                <w:sz w:val="20"/>
              </w:rPr>
              <w:t xml:space="preserve">in the code</w:t>
            </w:r>
          </w:p>
        </w:tc>
        <w:tc>
          <w:tcPr>
            <w:tcW w:type="dxa" w:w="2490"/>
            <w:vAlign w:val="center"/>
          </w:tcPr>
          <w:p>
            <w:pPr>
              <w:pStyle w:val="Compact"/>
              <w:keepNext w:val="0"/>
              <w:keepLines/>
              <w:spacing w:after="40" w:before="40" w:line="252" w:lineRule="auto"/>
              <w:jc w:val="left"/>
            </w:pPr>
            <w:r>
              <w:rPr>
                <w:b w:val="0"/>
                <w:sz w:val="20"/>
              </w:rPr>
              <w:t xml:space="preserve">Per year</w:t>
            </w:r>
          </w:p>
        </w:tc>
      </w:tr>
      <w:tr>
        <w:trPr>
          <w:cantSplit/>
        </w:trPr>
        <w:tc>
          <w:tcPr>
            <w:tcW w:type="dxa" w:w="2202"/>
            <w:vAlign w:val="center"/>
          </w:tcPr>
          <w:p>
            <w:pPr>
              <w:pStyle w:val="Compact"/>
              <w:keepNext w:val="0"/>
              <w:keepLines/>
              <w:spacing w:after="40" w:before="40" w:line="252" w:lineRule="auto"/>
              <w:jc w:val="left"/>
            </w:pPr>
            <m:oMath>
              <m:r>
                <m:t>σ</m:t>
              </m:r>
            </m:oMath>
          </w:p>
        </w:tc>
        <w:tc>
          <w:tcPr>
            <w:tcW w:type="dxa" w:w="4884"/>
            <w:vAlign w:val="center"/>
          </w:tcPr>
          <w:p>
            <w:pPr>
              <w:pStyle w:val="Compact"/>
              <w:keepNext w:val="0"/>
              <w:keepLines/>
              <w:spacing w:after="40" w:before="40" w:line="252" w:lineRule="auto"/>
              <w:jc w:val="left"/>
            </w:pPr>
            <w:r>
              <w:rPr>
                <w:b w:val="0"/>
                <w:sz w:val="20"/>
              </w:rPr>
              <w:t xml:space="preserve">Annualised volatility</w:t>
            </w:r>
          </w:p>
        </w:tc>
        <w:tc>
          <w:tcPr>
            <w:tcW w:type="dxa" w:w="2490"/>
            <w:vAlign w:val="center"/>
          </w:tcPr>
          <w:p>
            <w:pPr>
              <w:pStyle w:val="Compact"/>
              <w:keepNext w:val="0"/>
              <w:keepLines/>
              <w:spacing w:after="40" w:before="40" w:line="252" w:lineRule="auto"/>
              <w:jc w:val="left"/>
            </w:pPr>
            <w:r>
              <w:rPr>
                <w:b w:val="0"/>
                <w:sz w:val="20"/>
              </w:rPr>
              <w:t xml:space="preserve">Per square-root year</w:t>
            </w:r>
          </w:p>
        </w:tc>
      </w:tr>
      <w:tr>
        <w:trPr>
          <w:cantSplit/>
        </w:trPr>
        <w:tc>
          <w:tcPr>
            <w:tcW w:type="dxa" w:w="2202"/>
            <w:vAlign w:val="center"/>
          </w:tcPr>
          <w:p>
            <w:pPr>
              <w:pStyle w:val="Compact"/>
              <w:keepNext w:val="0"/>
              <w:keepLines/>
              <w:spacing w:after="40" w:before="40" w:line="252" w:lineRule="auto"/>
              <w:jc w:val="left"/>
            </w:pPr>
            <m:oMath>
              <m:r>
                <m:t>Q</m:t>
              </m:r>
            </m:oMath>
          </w:p>
        </w:tc>
        <w:tc>
          <w:tcPr>
            <w:tcW w:type="dxa" w:w="4884"/>
            <w:vAlign w:val="center"/>
          </w:tcPr>
          <w:p>
            <w:pPr>
              <w:pStyle w:val="Compact"/>
              <w:keepNext w:val="0"/>
              <w:keepLines/>
              <w:spacing w:after="40" w:before="40" w:line="252" w:lineRule="auto"/>
              <w:jc w:val="left"/>
            </w:pPr>
            <w:r>
              <w:rPr>
                <w:b w:val="0"/>
                <w:sz w:val="20"/>
              </w:rPr>
              <w:t xml:space="preserve">Risk-neutral probability measure</w:t>
            </w:r>
          </w:p>
        </w:tc>
        <w:tc>
          <w:tcPr>
            <w:tcW w:type="dxa" w:w="2490"/>
            <w:vAlign w:val="center"/>
          </w:tcPr>
          <w:p>
            <w:pPr>
              <w:pStyle w:val="Compact"/>
              <w:keepNext w:val="0"/>
              <w:keepLines/>
              <w:spacing w:after="40" w:before="40" w:line="252" w:lineRule="auto"/>
              <w:jc w:val="left"/>
            </w:pPr>
            <w:r>
              <w:rPr>
                <w:b w:val="0"/>
                <w:sz w:val="20"/>
              </w:rPr>
              <w:t xml:space="preserve">Not applicable</w:t>
            </w:r>
          </w:p>
        </w:tc>
      </w:tr>
      <w:tr>
        <w:trPr>
          <w:cantSplit/>
        </w:trPr>
        <w:tc>
          <w:tcPr>
            <w:tcW w:type="dxa" w:w="2202"/>
            <w:vAlign w:val="center"/>
          </w:tcPr>
          <w:p>
            <w:pPr>
              <w:pStyle w:val="Compact"/>
              <w:keepNext w:val="0"/>
              <w:keepLines/>
              <w:spacing w:after="40" w:before="40" w:line="252" w:lineRule="auto"/>
              <w:jc w:val="left"/>
            </w:pPr>
            <m:oMath>
              <m:sSub>
                <m:e>
                  <m:r>
                    <m:t>f</m:t>
                  </m:r>
                </m:e>
                <m:sub>
                  <m:r>
                    <m:t>Q</m:t>
                  </m:r>
                </m:sub>
              </m:sSub>
            </m:oMath>
            <w:r>
              <w:rPr>
                <w:b w:val="0"/>
                <w:sz w:val="20"/>
              </w:rPr>
              <w:t xml:space="preserve">,</w:t>
            </w:r>
            <w:r>
              <w:rPr>
                <w:b w:val="0"/>
                <w:sz w:val="20"/>
              </w:rPr>
              <w:t xml:space="preserve"> </w:t>
            </w:r>
            <m:oMath>
              <m:sSub>
                <m:e>
                  <m:acc>
                    <m:accPr>
                      <m:chr m:val="̂"/>
                    </m:accPr>
                    <m:e>
                      <m:r>
                        <m:t>f</m:t>
                      </m:r>
                    </m:e>
                  </m:acc>
                </m:e>
                <m:sub>
                  <m:r>
                    <m:t>Q</m:t>
                  </m:r>
                </m:sub>
              </m:sSub>
            </m:oMath>
          </w:p>
        </w:tc>
        <w:tc>
          <w:tcPr>
            <w:tcW w:type="dxa" w:w="4884"/>
            <w:vAlign w:val="center"/>
          </w:tcPr>
          <w:p>
            <w:pPr>
              <w:pStyle w:val="Compact"/>
              <w:keepNext w:val="0"/>
              <w:keepLines/>
              <w:spacing w:after="40" w:before="40" w:line="252" w:lineRule="auto"/>
              <w:jc w:val="left"/>
            </w:pPr>
            <w:r>
              <w:rPr>
                <w:b w:val="0"/>
                <w:sz w:val="20"/>
              </w:rPr>
              <w:t xml:space="preserve">Known/theoretical and estimated risk-neutral densities</w:t>
            </w:r>
          </w:p>
        </w:tc>
        <w:tc>
          <w:tcPr>
            <w:tcW w:type="dxa" w:w="2490"/>
            <w:vAlign w:val="center"/>
          </w:tcPr>
          <w:p>
            <w:pPr>
              <w:pStyle w:val="Compact"/>
              <w:keepNext w:val="0"/>
              <w:keepLines/>
              <w:spacing w:after="40" w:before="40" w:line="252" w:lineRule="auto"/>
              <w:jc w:val="left"/>
            </w:pPr>
            <w:r>
              <w:rPr>
                <w:b w:val="0"/>
                <w:sz w:val="20"/>
              </w:rPr>
              <w:t xml:space="preserve">Inverse index points</w:t>
            </w:r>
          </w:p>
        </w:tc>
      </w:tr>
      <w:tr>
        <w:trPr>
          <w:cantSplit/>
        </w:trPr>
        <w:tc>
          <w:tcPr>
            <w:tcW w:type="dxa" w:w="2202"/>
            <w:vAlign w:val="center"/>
          </w:tcPr>
          <w:p>
            <w:pPr>
              <w:pStyle w:val="Compact"/>
              <w:keepNext w:val="0"/>
              <w:keepLines/>
              <w:spacing w:after="40" w:before="40" w:line="252" w:lineRule="auto"/>
              <w:jc w:val="left"/>
            </w:pPr>
            <m:oMath>
              <m:r>
                <m:t>C</m:t>
              </m:r>
            </m:oMath>
            <w:r>
              <w:rPr>
                <w:b w:val="0"/>
                <w:sz w:val="20"/>
              </w:rPr>
              <w:t xml:space="preserve">,</w:t>
            </w:r>
            <w:r>
              <w:rPr>
                <w:b w:val="0"/>
                <w:sz w:val="20"/>
              </w:rPr>
              <w:t xml:space="preserve"> </w:t>
            </w:r>
            <m:oMath>
              <m:r>
                <m:t>P</m:t>
              </m:r>
            </m:oMath>
          </w:p>
        </w:tc>
        <w:tc>
          <w:tcPr>
            <w:tcW w:type="dxa" w:w="4884"/>
            <w:vAlign w:val="center"/>
          </w:tcPr>
          <w:p>
            <w:pPr>
              <w:pStyle w:val="Compact"/>
              <w:keepNext w:val="0"/>
              <w:keepLines/>
              <w:spacing w:after="40" w:before="40" w:line="252" w:lineRule="auto"/>
              <w:jc w:val="left"/>
            </w:pPr>
            <w:r>
              <w:rPr>
                <w:b w:val="0"/>
                <w:sz w:val="20"/>
              </w:rPr>
              <w:t xml:space="preserve">European call and put prices</w:t>
            </w:r>
          </w:p>
        </w:tc>
        <w:tc>
          <w:tcPr>
            <w:tcW w:type="dxa" w:w="2490"/>
            <w:vAlign w:val="center"/>
          </w:tcPr>
          <w:p>
            <w:pPr>
              <w:pStyle w:val="Compact"/>
              <w:keepNext w:val="0"/>
              <w:keepLines/>
              <w:spacing w:after="40" w:before="40" w:line="252" w:lineRule="auto"/>
              <w:jc w:val="left"/>
            </w:pPr>
            <w:r>
              <w:rPr>
                <w:b w:val="0"/>
                <w:sz w:val="20"/>
              </w:rPr>
              <w:t xml:space="preserve">Index points</w:t>
            </w:r>
          </w:p>
        </w:tc>
      </w:tr>
      <w:tr>
        <w:trPr>
          <w:cantSplit/>
        </w:trPr>
        <w:tc>
          <w:tcPr>
            <w:tcW w:type="dxa" w:w="2202"/>
            <w:vAlign w:val="center"/>
          </w:tcPr>
          <w:p>
            <w:pPr>
              <w:pStyle w:val="Compact"/>
              <w:keepNext w:val="0"/>
              <w:keepLines/>
              <w:spacing w:after="40" w:before="40" w:line="252" w:lineRule="auto"/>
              <w:jc w:val="left"/>
            </w:pPr>
            <m:oMath>
              <m:r>
                <m:t>F</m:t>
              </m:r>
              <m:d>
                <m:dPr>
                  <m:begChr m:val="("/>
                  <m:endChr m:val=")"/>
                  <m:sepChr m:val=""/>
                  <m:grow/>
                </m:dPr>
                <m:e>
                  <m:r>
                    <m:t>T</m:t>
                  </m:r>
                </m:e>
              </m:d>
            </m:oMath>
          </w:p>
        </w:tc>
        <w:tc>
          <w:tcPr>
            <w:tcW w:type="dxa" w:w="4884"/>
            <w:vAlign w:val="center"/>
          </w:tcPr>
          <w:p>
            <w:pPr>
              <w:pStyle w:val="Compact"/>
              <w:keepNext w:val="0"/>
              <w:keepLines/>
              <w:spacing w:after="40" w:before="40" w:line="252" w:lineRule="auto"/>
              <w:jc w:val="left"/>
            </w:pPr>
            <w:r>
              <w:rPr>
                <w:b w:val="0"/>
                <w:sz w:val="20"/>
              </w:rPr>
              <w:t xml:space="preserve">Forward index level for the horizon</w:t>
            </w:r>
          </w:p>
        </w:tc>
        <w:tc>
          <w:tcPr>
            <w:tcW w:type="dxa" w:w="2490"/>
            <w:vAlign w:val="center"/>
          </w:tcPr>
          <w:p>
            <w:pPr>
              <w:pStyle w:val="Compact"/>
              <w:keepNext w:val="0"/>
              <w:keepLines/>
              <w:spacing w:after="40" w:before="40" w:line="252" w:lineRule="auto"/>
              <w:jc w:val="left"/>
            </w:pPr>
            <w:r>
              <w:rPr>
                <w:b w:val="0"/>
                <w:sz w:val="20"/>
              </w:rPr>
              <w:t xml:space="preserve">Index points</w:t>
            </w:r>
          </w:p>
        </w:tc>
      </w:tr>
      <w:tr>
        <w:trPr>
          <w:cantSplit/>
        </w:trPr>
        <w:tc>
          <w:tcPr>
            <w:tcW w:type="dxa" w:w="2202"/>
            <w:vAlign w:val="center"/>
          </w:tcPr>
          <w:p>
            <w:pPr>
              <w:pStyle w:val="Compact"/>
              <w:keepNext w:val="0"/>
              <w:keepLines/>
              <w:spacing w:after="40" w:before="40" w:line="252" w:lineRule="auto"/>
              <w:jc w:val="left"/>
            </w:pPr>
            <m:oMath>
              <m:r>
                <m:t>D</m:t>
              </m:r>
              <m:d>
                <m:dPr>
                  <m:begChr m:val="("/>
                  <m:endChr m:val=")"/>
                  <m:sepChr m:val=""/>
                  <m:grow/>
                </m:dPr>
                <m:e>
                  <m:r>
                    <m:t>T</m:t>
                  </m:r>
                </m:e>
              </m:d>
            </m:oMath>
          </w:p>
        </w:tc>
        <w:tc>
          <w:tcPr>
            <w:tcW w:type="dxa" w:w="4884"/>
            <w:vAlign w:val="center"/>
          </w:tcPr>
          <w:p>
            <w:pPr>
              <w:pStyle w:val="Compact"/>
              <w:keepNext w:val="0"/>
              <w:keepLines/>
              <w:spacing w:after="40" w:before="40" w:line="252" w:lineRule="auto"/>
              <w:jc w:val="left"/>
            </w:pPr>
            <w:r>
              <w:rPr>
                <w:b w:val="0"/>
                <w:sz w:val="20"/>
              </w:rPr>
              <w:t xml:space="preserve">Discount factor,</w:t>
            </w:r>
            <w:r>
              <w:rPr>
                <w:b w:val="0"/>
                <w:sz w:val="20"/>
              </w:rPr>
              <w:t xml:space="preserve"> </w:t>
            </w:r>
            <m:oMath>
              <m:sSup>
                <m:e>
                  <m:r>
                    <m:t>e</m:t>
                  </m:r>
                </m:e>
                <m:sup>
                  <m:r>
                    <m:rPr>
                      <m:sty m:val="p"/>
                    </m:rPr>
                    <m:t>−</m:t>
                  </m:r>
                  <m:r>
                    <m:t>r</m:t>
                  </m:r>
                  <m:r>
                    <m:t>T</m:t>
                  </m:r>
                </m:sup>
              </m:sSup>
            </m:oMath>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sSub>
                <m:e>
                  <m:r>
                    <m:t>T</m:t>
                  </m:r>
                </m:e>
                <m:sub>
                  <m:r>
                    <m:t>i</m:t>
                  </m:r>
                </m:sub>
              </m:sSub>
            </m:oMath>
          </w:p>
        </w:tc>
        <w:tc>
          <w:tcPr>
            <w:tcW w:type="dxa" w:w="4884"/>
            <w:vAlign w:val="center"/>
          </w:tcPr>
          <w:p>
            <w:pPr>
              <w:pStyle w:val="Compact"/>
              <w:keepNext w:val="0"/>
              <w:keepLines/>
              <w:spacing w:after="40" w:before="40" w:line="252" w:lineRule="auto"/>
              <w:jc w:val="left"/>
            </w:pPr>
            <w:r>
              <w:rPr>
                <w:b w:val="0"/>
                <w:sz w:val="20"/>
              </w:rPr>
              <w:t xml:space="preserve">The</w:t>
            </w:r>
            <w:r>
              <w:rPr>
                <w:b w:val="0"/>
                <w:sz w:val="20"/>
              </w:rPr>
              <w:t xml:space="preserve"> </w:t>
            </w:r>
            <m:oMath>
              <m:r>
                <m:t>i</m:t>
              </m:r>
            </m:oMath>
            <w:r>
              <w:rPr>
                <w:b w:val="0"/>
                <w:sz w:val="20"/>
              </w:rPr>
              <w:t xml:space="preserve">th increasing synthetic expiry horizon</w:t>
            </w:r>
          </w:p>
        </w:tc>
        <w:tc>
          <w:tcPr>
            <w:tcW w:type="dxa" w:w="2490"/>
            <w:vAlign w:val="center"/>
          </w:tcPr>
          <w:p>
            <w:pPr>
              <w:pStyle w:val="Compact"/>
              <w:keepNext w:val="0"/>
              <w:keepLines/>
              <w:spacing w:after="40" w:before="40" w:line="252" w:lineRule="auto"/>
              <w:jc w:val="left"/>
            </w:pPr>
            <w:r>
              <w:rPr>
                <w:b w:val="0"/>
                <w:sz w:val="20"/>
              </w:rPr>
              <w:t xml:space="preserve">Years</w:t>
            </w:r>
          </w:p>
        </w:tc>
      </w:tr>
      <w:tr>
        <w:trPr>
          <w:cantSplit/>
        </w:trPr>
        <w:tc>
          <w:tcPr>
            <w:tcW w:type="dxa" w:w="2202"/>
            <w:vAlign w:val="center"/>
          </w:tcPr>
          <w:p>
            <w:pPr>
              <w:pStyle w:val="Compact"/>
              <w:keepNext w:val="0"/>
              <w:keepLines/>
              <w:spacing w:after="40" w:before="40" w:line="252" w:lineRule="auto"/>
              <w:jc w:val="left"/>
            </w:pPr>
            <m:oMath>
              <m:r>
                <m:t>κ</m:t>
              </m:r>
            </m:oMath>
          </w:p>
        </w:tc>
        <w:tc>
          <w:tcPr>
            <w:tcW w:type="dxa" w:w="4884"/>
            <w:vAlign w:val="center"/>
          </w:tcPr>
          <w:p>
            <w:pPr>
              <w:pStyle w:val="Compact"/>
              <w:keepNext w:val="0"/>
              <w:keepLines/>
              <w:spacing w:after="40" w:before="40" w:line="252" w:lineRule="auto"/>
              <w:jc w:val="left"/>
            </w:pPr>
            <w:r>
              <w:rPr>
                <w:b w:val="0"/>
                <w:sz w:val="20"/>
              </w:rPr>
              <w:t xml:space="preserve">Forward moneyness,</w:t>
            </w:r>
            <w:r>
              <w:rPr>
                <w:b w:val="0"/>
                <w:sz w:val="20"/>
              </w:rPr>
              <w:t xml:space="preserve"> </w:t>
            </w:r>
            <m:oMath>
              <m:r>
                <m:t>K</m:t>
              </m:r>
              <m:r>
                <m:rPr>
                  <m:sty m:val="p"/>
                </m:rPr>
                <m:t>/</m:t>
              </m:r>
              <m:r>
                <m:t>F</m:t>
              </m:r>
              <m:d>
                <m:dPr>
                  <m:begChr m:val="("/>
                  <m:endChr m:val=")"/>
                  <m:sepChr m:val=""/>
                  <m:grow/>
                </m:dPr>
                <m:e>
                  <m:r>
                    <m:t>T</m:t>
                  </m:r>
                </m:e>
              </m:d>
            </m:oMath>
            <w:r>
              <w:rPr>
                <w:b w:val="0"/>
                <w:sz w:val="20"/>
              </w:rPr>
              <w:t xml:space="preserve">; not log-moneyness</w:t>
            </w:r>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bar>
                <m:barPr>
                  <m:pos m:val="top"/>
                </m:barPr>
                <m:e>
                  <m:r>
                    <m:t>C</m:t>
                  </m:r>
                </m:e>
              </m:bar>
            </m:oMath>
          </w:p>
        </w:tc>
        <w:tc>
          <w:tcPr>
            <w:tcW w:type="dxa" w:w="4884"/>
            <w:vAlign w:val="center"/>
          </w:tcPr>
          <w:p>
            <w:pPr>
              <w:pStyle w:val="Compact"/>
              <w:keepNext w:val="0"/>
              <w:keepLines/>
              <w:spacing w:after="40" w:before="40" w:line="252" w:lineRule="auto"/>
              <w:jc w:val="left"/>
            </w:pPr>
            <w:r>
              <w:rPr>
                <w:b w:val="0"/>
                <w:sz w:val="20"/>
              </w:rPr>
              <w:t xml:space="preserve">Call value divided by</w:t>
            </w:r>
            <w:r>
              <w:rPr>
                <w:b w:val="0"/>
                <w:sz w:val="20"/>
              </w:rPr>
              <w:t xml:space="preserve"> </w:t>
            </w:r>
            <m:oMath>
              <m:r>
                <m:t>D</m:t>
              </m:r>
              <m:d>
                <m:dPr>
                  <m:begChr m:val="("/>
                  <m:endChr m:val=")"/>
                  <m:sepChr m:val=""/>
                  <m:grow/>
                </m:dPr>
                <m:e>
                  <m:r>
                    <m:t>T</m:t>
                  </m:r>
                </m:e>
              </m:d>
              <m:r>
                <m:t>F</m:t>
              </m:r>
              <m:d>
                <m:dPr>
                  <m:begChr m:val="("/>
                  <m:endChr m:val=")"/>
                  <m:sepChr m:val=""/>
                  <m:grow/>
                </m:dPr>
                <m:e>
                  <m:r>
                    <m:t>T</m:t>
                  </m:r>
                </m:e>
              </m:d>
            </m:oMath>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sSup>
                <m:e>
                  <m:r>
                    <m:rPr>
                      <m:sty m:val="p"/>
                      <m:scr m:val="double-struck"/>
                    </m:rPr>
                    <m:t>E</m:t>
                  </m:r>
                </m:e>
                <m:sup>
                  <m:r>
                    <m:t>Q</m:t>
                  </m:r>
                </m:sup>
              </m:sSup>
            </m:oMath>
          </w:p>
        </w:tc>
        <w:tc>
          <w:tcPr>
            <w:tcW w:type="dxa" w:w="4884"/>
            <w:vAlign w:val="center"/>
          </w:tcPr>
          <w:p>
            <w:pPr>
              <w:pStyle w:val="Compact"/>
              <w:keepNext w:val="0"/>
              <w:keepLines/>
              <w:spacing w:after="40" w:before="40" w:line="252" w:lineRule="auto"/>
              <w:jc w:val="left"/>
            </w:pPr>
            <w:r>
              <w:rPr>
                <w:b w:val="0"/>
                <w:sz w:val="20"/>
              </w:rPr>
              <w:t xml:space="preserve">Expectation under the risk-neutral measure</w:t>
            </w:r>
          </w:p>
        </w:tc>
        <w:tc>
          <w:tcPr>
            <w:tcW w:type="dxa" w:w="2490"/>
            <w:vAlign w:val="center"/>
          </w:tcPr>
          <w:p>
            <w:pPr>
              <w:pStyle w:val="Compact"/>
              <w:keepNext w:val="0"/>
              <w:keepLines/>
              <w:spacing w:after="40" w:before="40" w:line="252" w:lineRule="auto"/>
              <w:jc w:val="left"/>
            </w:pPr>
            <w:r>
              <w:rPr>
                <w:b w:val="0"/>
                <w:sz w:val="20"/>
              </w:rPr>
              <w:t xml:space="preserve">Same as the random quantity averaged</w:t>
            </w:r>
          </w:p>
        </w:tc>
      </w:tr>
      <w:tr>
        <w:trPr>
          <w:cantSplit/>
        </w:trPr>
        <w:tc>
          <w:tcPr>
            <w:tcW w:type="dxa" w:w="2202"/>
            <w:vAlign w:val="center"/>
          </w:tcPr>
          <w:p>
            <w:pPr>
              <w:pStyle w:val="Compact"/>
              <w:keepNext w:val="0"/>
              <w:keepLines/>
              <w:spacing w:after="40" w:before="40" w:line="252" w:lineRule="auto"/>
              <w:jc w:val="left"/>
            </w:pPr>
            <m:oMath>
              <m:sSub>
                <m:e>
                  <m:r>
                    <m:t>L</m:t>
                  </m:r>
                </m:e>
                <m:sub>
                  <m:r>
                    <m:t>1</m:t>
                  </m:r>
                </m:sub>
              </m:sSub>
              <m:d>
                <m:dPr>
                  <m:begChr m:val="("/>
                  <m:endChr m:val=")"/>
                  <m:sepChr m:val=""/>
                  <m:grow/>
                </m:dPr>
                <m:e>
                  <m:r>
                    <m:t>T</m:t>
                  </m:r>
                </m:e>
              </m:d>
            </m:oMath>
          </w:p>
        </w:tc>
        <w:tc>
          <w:tcPr>
            <w:tcW w:type="dxa" w:w="4884"/>
            <w:vAlign w:val="center"/>
          </w:tcPr>
          <w:p>
            <w:pPr>
              <w:pStyle w:val="Compact"/>
              <w:keepNext w:val="0"/>
              <w:keepLines/>
              <w:spacing w:after="40" w:before="40" w:line="252" w:lineRule="auto"/>
              <w:jc w:val="left"/>
            </w:pPr>
            <w:r>
              <w:rPr>
                <w:b w:val="0"/>
                <w:sz w:val="20"/>
              </w:rPr>
              <w:t xml:space="preserve">Integrated absolute density error on the fitting support</w:t>
            </w:r>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r>
                <m:t>h</m:t>
              </m:r>
            </m:oMath>
          </w:p>
        </w:tc>
        <w:tc>
          <w:tcPr>
            <w:tcW w:type="dxa" w:w="4884"/>
            <w:vAlign w:val="center"/>
          </w:tcPr>
          <w:p>
            <w:pPr>
              <w:pStyle w:val="Compact"/>
              <w:keepNext w:val="0"/>
              <w:keepLines/>
              <w:spacing w:after="40" w:before="40" w:line="252" w:lineRule="auto"/>
              <w:jc w:val="left"/>
            </w:pPr>
            <w:r>
              <w:rPr>
                <w:b w:val="0"/>
                <w:sz w:val="20"/>
              </w:rPr>
              <w:t xml:space="preserve">Strike spacing in finite differences</w:t>
            </w:r>
          </w:p>
        </w:tc>
        <w:tc>
          <w:tcPr>
            <w:tcW w:type="dxa" w:w="2490"/>
            <w:vAlign w:val="center"/>
          </w:tcPr>
          <w:p>
            <w:pPr>
              <w:pStyle w:val="Compact"/>
              <w:keepNext w:val="0"/>
              <w:keepLines/>
              <w:spacing w:after="40" w:before="40" w:line="252" w:lineRule="auto"/>
              <w:jc w:val="left"/>
            </w:pPr>
            <w:r>
              <w:rPr>
                <w:b w:val="0"/>
                <w:sz w:val="20"/>
              </w:rPr>
              <w:t xml:space="preserve">Index points</w:t>
            </w:r>
          </w:p>
        </w:tc>
      </w:tr>
      <w:tr>
        <w:trPr>
          <w:cantSplit/>
        </w:trPr>
        <w:tc>
          <w:tcPr>
            <w:tcW w:type="dxa" w:w="2202"/>
            <w:vAlign w:val="center"/>
          </w:tcPr>
          <w:p>
            <w:pPr>
              <w:pStyle w:val="Compact"/>
              <w:keepNext w:val="0"/>
              <w:keepLines/>
              <w:spacing w:after="40" w:before="40" w:line="252" w:lineRule="auto"/>
              <w:jc w:val="left"/>
            </w:pPr>
            <m:oMath>
              <m:sSub>
                <m:e>
                  <m:r>
                    <m:t>B</m:t>
                  </m:r>
                </m:e>
                <m:sub>
                  <m:r>
                    <m:t>i</m:t>
                  </m:r>
                </m:sub>
              </m:sSub>
            </m:oMath>
            <w:r>
              <w:rPr>
                <w:b w:val="0"/>
                <w:sz w:val="20"/>
              </w:rPr>
              <w:t xml:space="preserve">,</w:t>
            </w:r>
            <w:r>
              <w:rPr>
                <w:b w:val="0"/>
                <w:sz w:val="20"/>
              </w:rPr>
              <w:t xml:space="preserve"> </w:t>
            </w:r>
            <m:oMath>
              <m:sSub>
                <m:e>
                  <m:r>
                    <m:t>A</m:t>
                  </m:r>
                </m:e>
                <m:sub>
                  <m:r>
                    <m:t>i</m:t>
                  </m:r>
                </m:sub>
              </m:sSub>
            </m:oMath>
          </w:p>
        </w:tc>
        <w:tc>
          <w:tcPr>
            <w:tcW w:type="dxa" w:w="4884"/>
            <w:vAlign w:val="center"/>
          </w:tcPr>
          <w:p>
            <w:pPr>
              <w:pStyle w:val="Compact"/>
              <w:keepNext w:val="0"/>
              <w:keepLines/>
              <w:spacing w:after="40" w:before="40" w:line="252" w:lineRule="auto"/>
              <w:jc w:val="left"/>
            </w:pPr>
            <w:r>
              <w:rPr>
                <w:b w:val="0"/>
                <w:sz w:val="20"/>
              </w:rPr>
              <w:t xml:space="preserve">Bid and ask of option observation</w:t>
            </w:r>
            <w:r>
              <w:rPr>
                <w:b w:val="0"/>
                <w:sz w:val="20"/>
              </w:rPr>
              <w:t xml:space="preserve"> </w:t>
            </w:r>
            <m:oMath>
              <m:r>
                <m:t>i</m:t>
              </m:r>
            </m:oMath>
          </w:p>
        </w:tc>
        <w:tc>
          <w:tcPr>
            <w:tcW w:type="dxa" w:w="2490"/>
            <w:vAlign w:val="center"/>
          </w:tcPr>
          <w:p>
            <w:pPr>
              <w:pStyle w:val="Compact"/>
              <w:keepNext w:val="0"/>
              <w:keepLines/>
              <w:spacing w:after="40" w:before="40" w:line="252" w:lineRule="auto"/>
              <w:jc w:val="left"/>
            </w:pPr>
            <w:r>
              <w:rPr>
                <w:b w:val="0"/>
                <w:sz w:val="20"/>
              </w:rPr>
              <w:t xml:space="preserve">Index points</w:t>
            </w:r>
          </w:p>
        </w:tc>
      </w:tr>
      <w:tr>
        <w:trPr>
          <w:cantSplit/>
        </w:trPr>
        <w:tc>
          <w:tcPr>
            <w:tcW w:type="dxa" w:w="2202"/>
            <w:vAlign w:val="center"/>
          </w:tcPr>
          <w:p>
            <w:pPr>
              <w:pStyle w:val="Compact"/>
              <w:keepNext w:val="0"/>
              <w:keepLines/>
              <w:spacing w:after="40" w:before="40" w:line="252" w:lineRule="auto"/>
              <w:jc w:val="left"/>
            </w:pPr>
            <m:oMath>
              <m:sSub>
                <m:e>
                  <m:r>
                    <m:t>M</m:t>
                  </m:r>
                </m:e>
                <m:sub>
                  <m:r>
                    <m:t>i</m:t>
                  </m:r>
                </m:sub>
              </m:sSub>
            </m:oMath>
          </w:p>
        </w:tc>
        <w:tc>
          <w:tcPr>
            <w:tcW w:type="dxa" w:w="4884"/>
            <w:vAlign w:val="center"/>
          </w:tcPr>
          <w:p>
            <w:pPr>
              <w:pStyle w:val="Compact"/>
              <w:keepNext w:val="0"/>
              <w:keepLines/>
              <w:spacing w:after="40" w:before="40" w:line="252" w:lineRule="auto"/>
              <w:jc w:val="left"/>
            </w:pPr>
            <w:r>
              <w:rPr>
                <w:b w:val="0"/>
                <w:sz w:val="20"/>
              </w:rPr>
              <w:t xml:space="preserve">Quote midpoint</w:t>
            </w:r>
          </w:p>
        </w:tc>
        <w:tc>
          <w:tcPr>
            <w:tcW w:type="dxa" w:w="2490"/>
            <w:vAlign w:val="center"/>
          </w:tcPr>
          <w:p>
            <w:pPr>
              <w:pStyle w:val="Compact"/>
              <w:keepNext w:val="0"/>
              <w:keepLines/>
              <w:spacing w:after="40" w:before="40" w:line="252" w:lineRule="auto"/>
              <w:jc w:val="left"/>
            </w:pPr>
            <w:r>
              <w:rPr>
                <w:b w:val="0"/>
                <w:sz w:val="20"/>
              </w:rPr>
              <w:t xml:space="preserve">Index points</w:t>
            </w:r>
          </w:p>
        </w:tc>
      </w:tr>
      <w:tr>
        <w:trPr>
          <w:cantSplit/>
        </w:trPr>
        <w:tc>
          <w:tcPr>
            <w:tcW w:type="dxa" w:w="2202"/>
            <w:vAlign w:val="center"/>
          </w:tcPr>
          <w:p>
            <w:pPr>
              <w:pStyle w:val="Compact"/>
              <w:keepNext w:val="0"/>
              <w:keepLines/>
              <w:spacing w:after="40" w:before="40" w:line="252" w:lineRule="auto"/>
              <w:jc w:val="left"/>
            </w:pPr>
            <m:oMath>
              <m:sSub>
                <m:e>
                  <m:r>
                    <m:t>R</m:t>
                  </m:r>
                </m:e>
                <m:sub>
                  <m:r>
                    <m:t>i</m:t>
                  </m:r>
                </m:sub>
              </m:sSub>
            </m:oMath>
          </w:p>
        </w:tc>
        <w:tc>
          <w:tcPr>
            <w:tcW w:type="dxa" w:w="4884"/>
            <w:vAlign w:val="center"/>
          </w:tcPr>
          <w:p>
            <w:pPr>
              <w:pStyle w:val="Compact"/>
              <w:keepNext w:val="0"/>
              <w:keepLines/>
              <w:spacing w:after="40" w:before="40" w:line="252" w:lineRule="auto"/>
              <w:jc w:val="left"/>
            </w:pPr>
            <w:r>
              <w:rPr>
                <w:b w:val="0"/>
                <w:sz w:val="20"/>
              </w:rPr>
              <w:t xml:space="preserve">Spread divided by midpoint</w:t>
            </w:r>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sSub>
                <m:e>
                  <m:r>
                    <m:t>a</m:t>
                  </m:r>
                </m:e>
                <m:sub>
                  <m:r>
                    <m:t>j</m:t>
                  </m:r>
                </m:sub>
              </m:sSub>
            </m:oMath>
            <w:r>
              <w:rPr>
                <w:b w:val="0"/>
                <w:sz w:val="20"/>
              </w:rPr>
              <w:t xml:space="preserve">,</w:t>
            </w:r>
            <w:r>
              <w:rPr>
                <w:b w:val="0"/>
                <w:sz w:val="20"/>
              </w:rPr>
              <w:t xml:space="preserve"> </w:t>
            </w:r>
            <m:oMath>
              <m:sSub>
                <m:e>
                  <m:r>
                    <m:t>b</m:t>
                  </m:r>
                </m:e>
                <m:sub>
                  <m:r>
                    <m:t>j</m:t>
                  </m:r>
                </m:sub>
              </m:sSub>
            </m:oMath>
          </w:p>
        </w:tc>
        <w:tc>
          <w:tcPr>
            <w:tcW w:type="dxa" w:w="4884"/>
            <w:vAlign w:val="center"/>
          </w:tcPr>
          <w:p>
            <w:pPr>
              <w:pStyle w:val="Compact"/>
              <w:keepNext w:val="0"/>
              <w:keepLines/>
              <w:spacing w:after="40" w:before="40" w:line="252" w:lineRule="auto"/>
              <w:jc w:val="left"/>
            </w:pPr>
            <w:r>
              <w:rPr>
                <w:b w:val="0"/>
                <w:sz w:val="20"/>
              </w:rPr>
              <w:t xml:space="preserve">Lower and upper terminal-level interval boundaries</w:t>
            </w:r>
          </w:p>
        </w:tc>
        <w:tc>
          <w:tcPr>
            <w:tcW w:type="dxa" w:w="2490"/>
            <w:vAlign w:val="center"/>
          </w:tcPr>
          <w:p>
            <w:pPr>
              <w:pStyle w:val="Compact"/>
              <w:keepNext w:val="0"/>
              <w:keepLines/>
              <w:spacing w:after="40" w:before="40" w:line="252" w:lineRule="auto"/>
              <w:jc w:val="left"/>
            </w:pPr>
            <w:r>
              <w:rPr>
                <w:b w:val="0"/>
                <w:sz w:val="20"/>
              </w:rPr>
              <w:t xml:space="preserve">Index points</w:t>
            </w:r>
          </w:p>
        </w:tc>
      </w:tr>
      <w:tr>
        <w:trPr>
          <w:cantSplit/>
        </w:trPr>
        <w:tc>
          <w:tcPr>
            <w:tcW w:type="dxa" w:w="2202"/>
            <w:vAlign w:val="center"/>
          </w:tcPr>
          <w:p>
            <w:pPr>
              <w:pStyle w:val="Compact"/>
              <w:keepNext w:val="0"/>
              <w:keepLines/>
              <w:spacing w:after="40" w:before="40" w:line="252" w:lineRule="auto"/>
              <w:jc w:val="left"/>
            </w:pPr>
            <m:oMath>
              <m:r>
                <m:t>Δ</m:t>
              </m:r>
              <m:sSub>
                <m:e>
                  <m:r>
                    <m:t>s</m:t>
                  </m:r>
                </m:e>
                <m:sub>
                  <m:r>
                    <m:t>j</m:t>
                  </m:r>
                </m:sub>
              </m:sSub>
            </m:oMath>
            <w:r>
              <w:rPr>
                <w:b w:val="0"/>
                <w:sz w:val="20"/>
              </w:rPr>
              <w:t xml:space="preserve">,</w:t>
            </w:r>
            <w:r>
              <w:rPr>
                <w:b w:val="0"/>
                <w:sz w:val="20"/>
              </w:rPr>
              <w:t xml:space="preserve"> </w:t>
            </w:r>
            <m:oMath>
              <m:sSub>
                <m:e>
                  <m:r>
                    <m:t>m</m:t>
                  </m:r>
                </m:e>
                <m:sub>
                  <m:r>
                    <m:t>j</m:t>
                  </m:r>
                </m:sub>
              </m:sSub>
            </m:oMath>
          </w:p>
        </w:tc>
        <w:tc>
          <w:tcPr>
            <w:tcW w:type="dxa" w:w="4884"/>
            <w:vAlign w:val="center"/>
          </w:tcPr>
          <w:p>
            <w:pPr>
              <w:pStyle w:val="Compact"/>
              <w:keepNext w:val="0"/>
              <w:keepLines/>
              <w:spacing w:after="40" w:before="40" w:line="252" w:lineRule="auto"/>
              <w:jc w:val="left"/>
            </w:pPr>
            <w:r>
              <w:rPr>
                <w:b w:val="0"/>
                <w:sz w:val="20"/>
              </w:rPr>
              <w:t xml:space="preserve">Interval width and centre</w:t>
            </w:r>
          </w:p>
        </w:tc>
        <w:tc>
          <w:tcPr>
            <w:tcW w:type="dxa" w:w="2490"/>
            <w:vAlign w:val="center"/>
          </w:tcPr>
          <w:p>
            <w:pPr>
              <w:pStyle w:val="Compact"/>
              <w:keepNext w:val="0"/>
              <w:keepLines/>
              <w:spacing w:after="40" w:before="40" w:line="252" w:lineRule="auto"/>
              <w:jc w:val="left"/>
            </w:pPr>
            <w:r>
              <w:rPr>
                <w:b w:val="0"/>
                <w:sz w:val="20"/>
              </w:rPr>
              <w:t xml:space="preserve">Index points</w:t>
            </w:r>
          </w:p>
        </w:tc>
      </w:tr>
      <w:tr>
        <w:trPr>
          <w:cantSplit/>
        </w:trPr>
        <w:tc>
          <w:tcPr>
            <w:tcW w:type="dxa" w:w="2202"/>
            <w:vAlign w:val="center"/>
          </w:tcPr>
          <w:p>
            <w:pPr>
              <w:pStyle w:val="Compact"/>
              <w:keepNext w:val="0"/>
              <w:keepLines/>
              <w:spacing w:after="40" w:before="40" w:line="252" w:lineRule="auto"/>
              <w:jc w:val="left"/>
            </w:pPr>
            <m:oMath>
              <m:sSub>
                <m:e>
                  <m:r>
                    <m:t>w</m:t>
                  </m:r>
                </m:e>
                <m:sub>
                  <m:r>
                    <m:t>j</m:t>
                  </m:r>
                </m:sub>
              </m:sSub>
            </m:oMath>
            <w:r>
              <w:rPr>
                <w:b w:val="0"/>
                <w:sz w:val="20"/>
              </w:rPr>
              <w:t xml:space="preserve">,</w:t>
            </w:r>
            <w:r>
              <w:rPr>
                <w:b w:val="0"/>
                <w:sz w:val="20"/>
              </w:rPr>
              <w:t xml:space="preserve"> </w:t>
            </w:r>
            <m:oMath>
              <m:r>
                <m:rPr>
                  <m:sty m:val="b"/>
                </m:rPr>
                <m:t>w</m:t>
              </m:r>
            </m:oMath>
          </w:p>
        </w:tc>
        <w:tc>
          <w:tcPr>
            <w:tcW w:type="dxa" w:w="4884"/>
            <w:vAlign w:val="center"/>
          </w:tcPr>
          <w:p>
            <w:pPr>
              <w:pStyle w:val="Compact"/>
              <w:keepNext w:val="0"/>
              <w:keepLines/>
              <w:spacing w:after="40" w:before="40" w:line="252" w:lineRule="auto"/>
              <w:jc w:val="left"/>
            </w:pPr>
            <w:r>
              <w:rPr>
                <w:b w:val="0"/>
                <w:sz w:val="20"/>
              </w:rPr>
              <w:t xml:space="preserve">Probability in interval</w:t>
            </w:r>
            <w:r>
              <w:rPr>
                <w:b w:val="0"/>
                <w:sz w:val="20"/>
              </w:rPr>
              <w:t xml:space="preserve"> </w:t>
            </w:r>
            <m:oMath>
              <m:r>
                <m:t>j</m:t>
              </m:r>
            </m:oMath>
            <w:r>
              <w:rPr>
                <w:b w:val="0"/>
                <w:sz w:val="20"/>
              </w:rPr>
              <w:t xml:space="preserve">, and vector of these probabilities</w:t>
            </w:r>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r>
                <m:t>J</m:t>
              </m:r>
            </m:oMath>
          </w:p>
        </w:tc>
        <w:tc>
          <w:tcPr>
            <w:tcW w:type="dxa" w:w="4884"/>
            <w:vAlign w:val="center"/>
          </w:tcPr>
          <w:p>
            <w:pPr>
              <w:pStyle w:val="Compact"/>
              <w:keepNext w:val="0"/>
              <w:keepLines/>
              <w:spacing w:after="40" w:before="40" w:line="252" w:lineRule="auto"/>
              <w:jc w:val="left"/>
            </w:pPr>
            <w:r>
              <w:rPr>
                <w:b w:val="0"/>
                <w:sz w:val="20"/>
              </w:rPr>
              <w:t xml:space="preserve">Number of terminal-level intervals</w:t>
            </w:r>
          </w:p>
        </w:tc>
        <w:tc>
          <w:tcPr>
            <w:tcW w:type="dxa" w:w="2490"/>
            <w:vAlign w:val="center"/>
          </w:tcPr>
          <w:p>
            <w:pPr>
              <w:pStyle w:val="Compact"/>
              <w:keepNext w:val="0"/>
              <w:keepLines/>
              <w:spacing w:after="40" w:before="40" w:line="252" w:lineRule="auto"/>
              <w:jc w:val="left"/>
            </w:pPr>
            <w:r>
              <w:rPr>
                <w:b w:val="0"/>
                <w:sz w:val="20"/>
              </w:rPr>
              <w:t xml:space="preserve">Count</w:t>
            </w:r>
          </w:p>
        </w:tc>
      </w:tr>
      <w:tr>
        <w:trPr>
          <w:cantSplit/>
        </w:trPr>
        <w:tc>
          <w:tcPr>
            <w:tcW w:type="dxa" w:w="2202"/>
            <w:vAlign w:val="center"/>
          </w:tcPr>
          <w:p>
            <w:pPr>
              <w:pStyle w:val="Compact"/>
              <w:keepNext w:val="0"/>
              <w:keepLines/>
              <w:spacing w:after="40" w:before="40" w:line="252" w:lineRule="auto"/>
              <w:jc w:val="left"/>
            </w:pPr>
            <m:oMath>
              <m:r>
                <m:t>N</m:t>
              </m:r>
            </m:oMath>
          </w:p>
        </w:tc>
        <w:tc>
          <w:tcPr>
            <w:tcW w:type="dxa" w:w="4884"/>
            <w:vAlign w:val="center"/>
          </w:tcPr>
          <w:p>
            <w:pPr>
              <w:pStyle w:val="Compact"/>
              <w:keepNext w:val="0"/>
              <w:keepLines/>
              <w:spacing w:after="40" w:before="40" w:line="252" w:lineRule="auto"/>
              <w:jc w:val="left"/>
            </w:pPr>
            <w:r>
              <w:rPr>
                <w:b w:val="0"/>
                <w:sz w:val="20"/>
              </w:rPr>
              <w:t xml:space="preserve">Number of observed or synthetic option prices</w:t>
            </w:r>
          </w:p>
        </w:tc>
        <w:tc>
          <w:tcPr>
            <w:tcW w:type="dxa" w:w="2490"/>
            <w:vAlign w:val="center"/>
          </w:tcPr>
          <w:p>
            <w:pPr>
              <w:pStyle w:val="Compact"/>
              <w:keepNext w:val="0"/>
              <w:keepLines/>
              <w:spacing w:after="40" w:before="40" w:line="252" w:lineRule="auto"/>
              <w:jc w:val="left"/>
            </w:pPr>
            <w:r>
              <w:rPr>
                <w:b w:val="0"/>
                <w:sz w:val="20"/>
              </w:rPr>
              <w:t xml:space="preserve">Count</w:t>
            </w:r>
          </w:p>
        </w:tc>
      </w:tr>
      <w:tr>
        <w:trPr>
          <w:cantSplit/>
        </w:trPr>
        <w:tc>
          <w:tcPr>
            <w:tcW w:type="dxa" w:w="2202"/>
            <w:vAlign w:val="center"/>
          </w:tcPr>
          <w:p>
            <w:pPr>
              <w:pStyle w:val="Compact"/>
              <w:keepNext w:val="0"/>
              <w:keepLines/>
              <w:spacing w:after="40" w:before="40" w:line="252" w:lineRule="auto"/>
              <w:jc w:val="left"/>
            </w:pPr>
            <m:oMath>
              <m:sSub>
                <m:e>
                  <m:r>
                    <m:t>A</m:t>
                  </m:r>
                </m:e>
                <m:sub>
                  <m:r>
                    <m:t>i</m:t>
                  </m:r>
                  <m:r>
                    <m:t>j</m:t>
                  </m:r>
                </m:sub>
              </m:sSub>
            </m:oMath>
          </w:p>
        </w:tc>
        <w:tc>
          <w:tcPr>
            <w:tcW w:type="dxa" w:w="4884"/>
            <w:vAlign w:val="center"/>
          </w:tcPr>
          <w:p>
            <w:pPr>
              <w:pStyle w:val="Compact"/>
              <w:keepNext w:val="0"/>
              <w:keepLines/>
              <w:spacing w:after="40" w:before="40" w:line="252" w:lineRule="auto"/>
              <w:jc w:val="left"/>
            </w:pPr>
            <w:r>
              <w:rPr>
                <w:b w:val="0"/>
                <w:sz w:val="20"/>
              </w:rPr>
              <w:t xml:space="preserve">Discounted call payoff for strike</w:t>
            </w:r>
            <w:r>
              <w:rPr>
                <w:b w:val="0"/>
                <w:sz w:val="20"/>
              </w:rPr>
              <w:t xml:space="preserve"> </w:t>
            </w:r>
            <m:oMath>
              <m:r>
                <m:t>i</m:t>
              </m:r>
            </m:oMath>
            <w:r>
              <w:rPr>
                <w:b w:val="0"/>
                <w:sz w:val="20"/>
              </w:rPr>
              <w:t xml:space="preserve"> </w:t>
            </w:r>
            <w:r>
              <w:rPr>
                <w:b w:val="0"/>
                <w:sz w:val="20"/>
              </w:rPr>
              <w:t xml:space="preserve">under unit uniform mass in interval</w:t>
            </w:r>
            <w:r>
              <w:rPr>
                <w:b w:val="0"/>
                <w:sz w:val="20"/>
              </w:rPr>
              <w:t xml:space="preserve"> </w:t>
            </w:r>
            <m:oMath>
              <m:r>
                <m:t>j</m:t>
              </m:r>
            </m:oMath>
          </w:p>
        </w:tc>
        <w:tc>
          <w:tcPr>
            <w:tcW w:type="dxa" w:w="2490"/>
            <w:vAlign w:val="center"/>
          </w:tcPr>
          <w:p>
            <w:pPr>
              <w:pStyle w:val="Compact"/>
              <w:keepNext w:val="0"/>
              <w:keepLines/>
              <w:spacing w:after="40" w:before="40" w:line="252" w:lineRule="auto"/>
              <w:jc w:val="left"/>
            </w:pPr>
            <w:r>
              <w:rPr>
                <w:b w:val="0"/>
                <w:sz w:val="20"/>
              </w:rPr>
              <w:t xml:space="preserve">Index points</w:t>
            </w:r>
          </w:p>
        </w:tc>
      </w:tr>
      <w:tr>
        <w:trPr>
          <w:cantSplit/>
        </w:trPr>
        <w:tc>
          <w:tcPr>
            <w:tcW w:type="dxa" w:w="2202"/>
            <w:vAlign w:val="center"/>
          </w:tcPr>
          <w:p>
            <w:pPr>
              <w:pStyle w:val="Compact"/>
              <w:keepNext w:val="0"/>
              <w:keepLines/>
              <w:spacing w:after="40" w:before="40" w:line="252" w:lineRule="auto"/>
              <w:jc w:val="left"/>
            </w:pPr>
            <m:oMath>
              <m:sSub>
                <m:e>
                  <m:r>
                    <m:t>y</m:t>
                  </m:r>
                </m:e>
                <m:sub>
                  <m:r>
                    <m:t>i</m:t>
                  </m:r>
                </m:sub>
              </m:sSub>
            </m:oMath>
          </w:p>
        </w:tc>
        <w:tc>
          <w:tcPr>
            <w:tcW w:type="dxa" w:w="4884"/>
            <w:vAlign w:val="center"/>
          </w:tcPr>
          <w:p>
            <w:pPr>
              <w:pStyle w:val="Compact"/>
              <w:keepNext w:val="0"/>
              <w:keepLines/>
              <w:spacing w:after="40" w:before="40" w:line="252" w:lineRule="auto"/>
              <w:jc w:val="left"/>
            </w:pPr>
            <w:r>
              <w:rPr>
                <w:b w:val="0"/>
                <w:sz w:val="20"/>
              </w:rPr>
              <w:t xml:space="preserve">Noisy synthetic price supplied to the fitter</w:t>
            </w:r>
          </w:p>
        </w:tc>
        <w:tc>
          <w:tcPr>
            <w:tcW w:type="dxa" w:w="2490"/>
            <w:vAlign w:val="center"/>
          </w:tcPr>
          <w:p>
            <w:pPr>
              <w:pStyle w:val="Compact"/>
              <w:keepNext w:val="0"/>
              <w:keepLines/>
              <w:spacing w:after="40" w:before="40" w:line="252" w:lineRule="auto"/>
              <w:jc w:val="left"/>
            </w:pPr>
            <w:r>
              <w:rPr>
                <w:b w:val="0"/>
                <w:sz w:val="20"/>
              </w:rPr>
              <w:t xml:space="preserve">Index points</w:t>
            </w:r>
          </w:p>
        </w:tc>
      </w:tr>
      <w:tr>
        <w:trPr>
          <w:cantSplit/>
        </w:trPr>
        <w:tc>
          <w:tcPr>
            <w:tcW w:type="dxa" w:w="2202"/>
            <w:vAlign w:val="center"/>
          </w:tcPr>
          <w:p>
            <w:pPr>
              <w:pStyle w:val="Compact"/>
              <w:keepNext w:val="0"/>
              <w:keepLines/>
              <w:spacing w:after="40" w:before="40" w:line="252" w:lineRule="auto"/>
              <w:jc w:val="left"/>
            </w:pPr>
            <m:oMath>
              <m:sSub>
                <m:e>
                  <m:r>
                    <m:t>g</m:t>
                  </m:r>
                </m:e>
                <m:sub>
                  <m:r>
                    <m:t>j</m:t>
                  </m:r>
                </m:sub>
              </m:sSub>
            </m:oMath>
          </w:p>
        </w:tc>
        <w:tc>
          <w:tcPr>
            <w:tcW w:type="dxa" w:w="4884"/>
            <w:vAlign w:val="center"/>
          </w:tcPr>
          <w:p>
            <w:pPr>
              <w:pStyle w:val="Compact"/>
              <w:keepNext w:val="0"/>
              <w:keepLines/>
              <w:spacing w:after="40" w:before="40" w:line="252" w:lineRule="auto"/>
              <w:jc w:val="left"/>
            </w:pPr>
            <w:r>
              <w:rPr>
                <w:b w:val="0"/>
                <w:sz w:val="20"/>
              </w:rPr>
              <w:t xml:space="preserve">Density height in coordinates normalised by the forward</w:t>
            </w:r>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r>
                <m:t>m</m:t>
              </m:r>
            </m:oMath>
            <w:r>
              <w:rPr>
                <w:b w:val="0"/>
                <w:sz w:val="20"/>
              </w:rPr>
              <w:t xml:space="preserve">,</w:t>
            </w:r>
            <w:r>
              <w:rPr>
                <w:b w:val="0"/>
                <w:sz w:val="20"/>
              </w:rPr>
              <w:t xml:space="preserve"> </w:t>
            </w:r>
            <m:oMath>
              <m:r>
                <m:t>M</m:t>
              </m:r>
            </m:oMath>
          </w:p>
        </w:tc>
        <w:tc>
          <w:tcPr>
            <w:tcW w:type="dxa" w:w="4884"/>
            <w:vAlign w:val="center"/>
          </w:tcPr>
          <w:p>
            <w:pPr>
              <w:pStyle w:val="Compact"/>
              <w:keepNext w:val="0"/>
              <w:keepLines/>
              <w:spacing w:after="40" w:before="40" w:line="252" w:lineRule="auto"/>
              <w:jc w:val="left"/>
            </w:pPr>
            <w:r>
              <w:rPr>
                <w:b w:val="0"/>
                <w:sz w:val="20"/>
              </w:rPr>
              <w:t xml:space="preserve">Maturity index and number of jointly fitted maturities</w:t>
            </w:r>
          </w:p>
        </w:tc>
        <w:tc>
          <w:tcPr>
            <w:tcW w:type="dxa" w:w="2490"/>
            <w:vAlign w:val="center"/>
          </w:tcPr>
          <w:p>
            <w:pPr>
              <w:pStyle w:val="Compact"/>
              <w:keepNext w:val="0"/>
              <w:keepLines/>
              <w:spacing w:after="40" w:before="40" w:line="252" w:lineRule="auto"/>
              <w:jc w:val="left"/>
            </w:pPr>
            <w:r>
              <w:rPr>
                <w:b w:val="0"/>
                <w:sz w:val="20"/>
              </w:rPr>
              <w:t xml:space="preserve">Count</w:t>
            </w:r>
          </w:p>
        </w:tc>
      </w:tr>
      <w:tr>
        <w:trPr>
          <w:cantSplit/>
        </w:trPr>
        <w:tc>
          <w:tcPr>
            <w:tcW w:type="dxa" w:w="2202"/>
            <w:vAlign w:val="center"/>
          </w:tcPr>
          <w:p>
            <w:pPr>
              <w:pStyle w:val="Compact"/>
              <w:keepNext w:val="0"/>
              <w:keepLines/>
              <w:spacing w:after="40" w:before="40" w:line="252" w:lineRule="auto"/>
              <w:jc w:val="left"/>
            </w:pPr>
            <m:oMath>
              <m:sSub>
                <m:e>
                  <m:r>
                    <m:t>T</m:t>
                  </m:r>
                </m:e>
                <m:sub>
                  <m:r>
                    <m:t>m</m:t>
                  </m:r>
                </m:sub>
              </m:sSub>
            </m:oMath>
            <w:r>
              <w:rPr>
                <w:b w:val="0"/>
                <w:sz w:val="20"/>
              </w:rPr>
              <w:t xml:space="preserve">,</w:t>
            </w:r>
            <w:r>
              <w:rPr>
                <w:b w:val="0"/>
                <w:sz w:val="20"/>
              </w:rPr>
              <w:t xml:space="preserve"> </w:t>
            </w:r>
            <m:oMath>
              <m:sSub>
                <m:e>
                  <m:r>
                    <m:t>F</m:t>
                  </m:r>
                </m:e>
                <m:sub>
                  <m:r>
                    <m:t>m</m:t>
                  </m:r>
                </m:sub>
              </m:sSub>
            </m:oMath>
          </w:p>
        </w:tc>
        <w:tc>
          <w:tcPr>
            <w:tcW w:type="dxa" w:w="4884"/>
            <w:vAlign w:val="center"/>
          </w:tcPr>
          <w:p>
            <w:pPr>
              <w:pStyle w:val="Compact"/>
              <w:keepNext w:val="0"/>
              <w:keepLines/>
              <w:spacing w:after="40" w:before="40" w:line="252" w:lineRule="auto"/>
              <w:jc w:val="left"/>
            </w:pPr>
            <w:r>
              <w:rPr>
                <w:b w:val="0"/>
                <w:sz w:val="20"/>
              </w:rPr>
              <w:t xml:space="preserve">Maturity and its forward in the joint problem</w:t>
            </w:r>
          </w:p>
        </w:tc>
        <w:tc>
          <w:tcPr>
            <w:tcW w:type="dxa" w:w="2490"/>
            <w:vAlign w:val="center"/>
          </w:tcPr>
          <w:p>
            <w:pPr>
              <w:pStyle w:val="Compact"/>
              <w:keepNext w:val="0"/>
              <w:keepLines/>
              <w:spacing w:after="40" w:before="40" w:line="252" w:lineRule="auto"/>
              <w:jc w:val="left"/>
            </w:pPr>
            <w:r>
              <w:rPr>
                <w:b w:val="0"/>
                <w:sz w:val="20"/>
              </w:rPr>
              <w:t xml:space="preserve">Years; index points</w:t>
            </w:r>
          </w:p>
        </w:tc>
      </w:tr>
      <w:tr>
        <w:trPr>
          <w:cantSplit/>
        </w:trPr>
        <w:tc>
          <w:tcPr>
            <w:tcW w:type="dxa" w:w="2202"/>
            <w:vAlign w:val="center"/>
          </w:tcPr>
          <w:p>
            <w:pPr>
              <w:pStyle w:val="Compact"/>
              <w:keepNext w:val="0"/>
              <w:keepLines/>
              <w:spacing w:after="40" w:before="40" w:line="252" w:lineRule="auto"/>
              <w:jc w:val="left"/>
            </w:pPr>
            <m:oMath>
              <m:r>
                <m:t>x</m:t>
              </m:r>
            </m:oMath>
          </w:p>
        </w:tc>
        <w:tc>
          <w:tcPr>
            <w:tcW w:type="dxa" w:w="4884"/>
            <w:vAlign w:val="center"/>
          </w:tcPr>
          <w:p>
            <w:pPr>
              <w:pStyle w:val="Compact"/>
              <w:keepNext w:val="0"/>
              <w:keepLines/>
              <w:spacing w:after="40" w:before="40" w:line="252" w:lineRule="auto"/>
              <w:jc w:val="left"/>
            </w:pPr>
            <w:r>
              <w:rPr>
                <w:b w:val="0"/>
                <w:sz w:val="20"/>
              </w:rPr>
              <w:t xml:space="preserve">Terminal level divided by the forward,</w:t>
            </w:r>
            <w:r>
              <w:rPr>
                <w:b w:val="0"/>
                <w:sz w:val="20"/>
              </w:rPr>
              <w:t xml:space="preserve"> </w:t>
            </w:r>
            <m:oMath>
              <m:r>
                <m:t>s</m:t>
              </m:r>
              <m:r>
                <m:rPr>
                  <m:sty m:val="p"/>
                </m:rPr>
                <m:t>/</m:t>
              </m:r>
              <m:sSub>
                <m:e>
                  <m:r>
                    <m:t>F</m:t>
                  </m:r>
                </m:e>
                <m:sub>
                  <m:r>
                    <m:t>m</m:t>
                  </m:r>
                </m:sub>
              </m:sSub>
            </m:oMath>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sSub>
                <m:e>
                  <m:r>
                    <m:t>u</m:t>
                  </m:r>
                </m:e>
                <m:sub>
                  <m:r>
                    <m:t>j</m:t>
                  </m:r>
                </m:sub>
              </m:sSub>
            </m:oMath>
            <w:r>
              <w:rPr>
                <w:b w:val="0"/>
                <w:sz w:val="20"/>
              </w:rPr>
              <w:t xml:space="preserve">,</w:t>
            </w:r>
            <w:r>
              <w:rPr>
                <w:b w:val="0"/>
                <w:sz w:val="20"/>
              </w:rPr>
              <w:t xml:space="preserve"> </w:t>
            </w:r>
            <m:oMath>
              <m:sSub>
                <m:e>
                  <m:acc>
                    <m:accPr>
                      <m:chr m:val="‾"/>
                    </m:accPr>
                    <m:e>
                      <m:r>
                        <m:t>u</m:t>
                      </m:r>
                    </m:e>
                  </m:acc>
                </m:e>
                <m:sub>
                  <m:r>
                    <m:t>j</m:t>
                  </m:r>
                </m:sub>
              </m:sSub>
            </m:oMath>
            <w:r>
              <w:rPr>
                <w:b w:val="0"/>
                <w:sz w:val="20"/>
              </w:rPr>
              <w:t xml:space="preserve">,</w:t>
            </w:r>
            <w:r>
              <w:rPr>
                <w:b w:val="0"/>
                <w:sz w:val="20"/>
              </w:rPr>
              <w:t xml:space="preserve"> </w:t>
            </w:r>
            <m:oMath>
              <m:r>
                <m:t>Δ</m:t>
              </m:r>
              <m:r>
                <m:t>u</m:t>
              </m:r>
            </m:oMath>
          </w:p>
        </w:tc>
        <w:tc>
          <w:tcPr>
            <w:tcW w:type="dxa" w:w="4884"/>
            <w:vAlign w:val="center"/>
          </w:tcPr>
          <w:p>
            <w:pPr>
              <w:pStyle w:val="Compact"/>
              <w:keepNext w:val="0"/>
              <w:keepLines/>
              <w:spacing w:after="40" w:before="40" w:line="252" w:lineRule="auto"/>
              <w:jc w:val="left"/>
            </w:pPr>
            <w:r>
              <w:rPr>
                <w:b w:val="0"/>
                <w:sz w:val="20"/>
              </w:rPr>
              <w:t xml:space="preserve">Common normalised edge, bin centre and equal bin width</w:t>
            </w:r>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sSub>
                <m:e>
                  <m:r>
                    <m:t>w</m:t>
                  </m:r>
                </m:e>
                <m:sub>
                  <m:r>
                    <m:t>m</m:t>
                  </m:r>
                  <m:r>
                    <m:t>j</m:t>
                  </m:r>
                </m:sub>
              </m:sSub>
            </m:oMath>
            <w:r>
              <w:rPr>
                <w:b w:val="0"/>
                <w:sz w:val="20"/>
              </w:rPr>
              <w:t xml:space="preserve">,</w:t>
            </w:r>
            <w:r>
              <w:rPr>
                <w:b w:val="0"/>
                <w:sz w:val="20"/>
              </w:rPr>
              <w:t xml:space="preserve"> </w:t>
            </w:r>
            <m:oMath>
              <m:sSub>
                <m:e>
                  <m:r>
                    <m:rPr>
                      <m:sty m:val="b"/>
                    </m:rPr>
                    <m:t>w</m:t>
                  </m:r>
                </m:e>
                <m:sub>
                  <m:r>
                    <m:t>m</m:t>
                  </m:r>
                </m:sub>
              </m:sSub>
            </m:oMath>
          </w:p>
        </w:tc>
        <w:tc>
          <w:tcPr>
            <w:tcW w:type="dxa" w:w="4884"/>
            <w:vAlign w:val="center"/>
          </w:tcPr>
          <w:p>
            <w:pPr>
              <w:pStyle w:val="Compact"/>
              <w:keepNext w:val="0"/>
              <w:keepLines/>
              <w:spacing w:after="40" w:before="40" w:line="252" w:lineRule="auto"/>
              <w:jc w:val="left"/>
            </w:pPr>
            <w:r>
              <w:rPr>
                <w:b w:val="0"/>
                <w:sz w:val="20"/>
              </w:rPr>
              <w:t xml:space="preserve">Bin probability and probability vector at maturity</w:t>
            </w:r>
            <w:r>
              <w:rPr>
                <w:b w:val="0"/>
                <w:sz w:val="20"/>
              </w:rPr>
              <w:t xml:space="preserve"> </w:t>
            </w:r>
            <m:oMath>
              <m:r>
                <m:t>m</m:t>
              </m:r>
            </m:oMath>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sSub>
                <m:e>
                  <m:acc>
                    <m:accPr>
                      <m:chr m:val="̂"/>
                    </m:accPr>
                    <m:e>
                      <m:r>
                        <m:t>g</m:t>
                      </m:r>
                    </m:e>
                  </m:acc>
                </m:e>
                <m:sub>
                  <m:r>
                    <m:t>m</m:t>
                  </m:r>
                </m:sub>
              </m:sSub>
              <m:d>
                <m:dPr>
                  <m:begChr m:val="("/>
                  <m:endChr m:val=")"/>
                  <m:sepChr m:val=""/>
                  <m:grow/>
                </m:dPr>
                <m:e>
                  <m:r>
                    <m:t>x</m:t>
                  </m:r>
                </m:e>
              </m:d>
            </m:oMath>
          </w:p>
        </w:tc>
        <w:tc>
          <w:tcPr>
            <w:tcW w:type="dxa" w:w="4884"/>
            <w:vAlign w:val="center"/>
          </w:tcPr>
          <w:p>
            <w:pPr>
              <w:pStyle w:val="Compact"/>
              <w:keepNext w:val="0"/>
              <w:keepLines/>
              <w:spacing w:after="40" w:before="40" w:line="252" w:lineRule="auto"/>
              <w:jc w:val="left"/>
            </w:pPr>
            <w:r>
              <w:rPr>
                <w:b w:val="0"/>
                <w:sz w:val="20"/>
              </w:rPr>
              <w:t xml:space="preserve">Fitted density of the normalised terminal level</w:t>
            </w:r>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sSub>
                <m:e>
                  <m:r>
                    <m:t>B</m:t>
                  </m:r>
                </m:e>
                <m:sub>
                  <m:r>
                    <m:t>j</m:t>
                  </m:r>
                </m:sub>
              </m:sSub>
              <m:d>
                <m:dPr>
                  <m:begChr m:val="("/>
                  <m:endChr m:val=")"/>
                  <m:sepChr m:val=""/>
                  <m:grow/>
                </m:dPr>
                <m:e>
                  <m:r>
                    <m:t>κ</m:t>
                  </m:r>
                </m:e>
              </m:d>
            </m:oMath>
            <w:r>
              <w:rPr>
                <w:b w:val="0"/>
                <w:sz w:val="20"/>
              </w:rPr>
              <w:t xml:space="preserve">,</w:t>
            </w:r>
            <w:r>
              <w:rPr>
                <w:b w:val="0"/>
                <w:sz w:val="20"/>
              </w:rPr>
              <w:t xml:space="preserve"> </w:t>
            </w:r>
            <m:oMath>
              <m:r>
                <m:rPr>
                  <m:sty m:val="b"/>
                </m:rPr>
                <m:t>B</m:t>
              </m:r>
              <m:d>
                <m:dPr>
                  <m:begChr m:val="("/>
                  <m:endChr m:val=")"/>
                  <m:sepChr m:val=""/>
                  <m:grow/>
                </m:dPr>
                <m:e>
                  <m:r>
                    <m:t>κ</m:t>
                  </m:r>
                </m:e>
              </m:d>
            </m:oMath>
          </w:p>
        </w:tc>
        <w:tc>
          <w:tcPr>
            <w:tcW w:type="dxa" w:w="4884"/>
            <w:vAlign w:val="center"/>
          </w:tcPr>
          <w:p>
            <w:pPr>
              <w:pStyle w:val="Compact"/>
              <w:keepNext w:val="0"/>
              <w:keepLines/>
              <w:spacing w:after="40" w:before="40" w:line="252" w:lineRule="auto"/>
              <w:jc w:val="left"/>
            </w:pPr>
            <w:r>
              <w:rPr>
                <w:b w:val="0"/>
                <w:sz w:val="20"/>
              </w:rPr>
              <w:t xml:space="preserve">Uniform-bin normalised call payoff and its row vector</w:t>
            </w:r>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sSub>
                <m:e>
                  <m:r>
                    <m:rPr>
                      <m:sty m:val="p"/>
                    </m:rPr>
                    <m:t>ℓ</m:t>
                  </m:r>
                </m:e>
                <m:sub>
                  <m:r>
                    <m:t>m</m:t>
                  </m:r>
                </m:sub>
              </m:sSub>
              <m:d>
                <m:dPr>
                  <m:begChr m:val="("/>
                  <m:endChr m:val=")"/>
                  <m:sepChr m:val=""/>
                  <m:grow/>
                </m:dPr>
                <m:e>
                  <m:sSub>
                    <m:e>
                      <m:r>
                        <m:rPr>
                          <m:sty m:val="b"/>
                        </m:rPr>
                        <m:t>w</m:t>
                      </m:r>
                    </m:e>
                    <m:sub>
                      <m:r>
                        <m:t>m</m:t>
                      </m:r>
                    </m:sub>
                  </m:sSub>
                </m:e>
              </m:d>
            </m:oMath>
          </w:p>
        </w:tc>
        <w:tc>
          <w:tcPr>
            <w:tcW w:type="dxa" w:w="4884"/>
            <w:vAlign w:val="center"/>
          </w:tcPr>
          <w:p>
            <w:pPr>
              <w:pStyle w:val="Compact"/>
              <w:keepNext w:val="0"/>
              <w:keepLines/>
              <w:spacing w:after="40" w:before="40" w:line="252" w:lineRule="auto"/>
              <w:jc w:val="left"/>
            </w:pPr>
            <w:r>
              <w:rPr>
                <w:b w:val="0"/>
                <w:sz w:val="20"/>
              </w:rPr>
              <w:t xml:space="preserve">Per-maturity objective from Equation (12)</w:t>
            </w:r>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sSub>
                <m:e>
                  <m:r>
                    <m:rPr>
                      <m:sty m:val="p"/>
                      <m:scr m:val="script"/>
                    </m:rPr>
                    <m:t>K</m:t>
                  </m:r>
                </m:e>
                <m:sub>
                  <m:r>
                    <m:t>m</m:t>
                  </m:r>
                </m:sub>
              </m:sSub>
            </m:oMath>
          </w:p>
        </w:tc>
        <w:tc>
          <w:tcPr>
            <w:tcW w:type="dxa" w:w="4884"/>
            <w:vAlign w:val="center"/>
          </w:tcPr>
          <w:p>
            <w:pPr>
              <w:pStyle w:val="Compact"/>
              <w:keepNext w:val="0"/>
              <w:keepLines/>
              <w:spacing w:after="40" w:before="40" w:line="252" w:lineRule="auto"/>
              <w:jc w:val="left"/>
            </w:pPr>
            <w:r>
              <w:rPr>
                <w:b w:val="0"/>
                <w:sz w:val="20"/>
              </w:rPr>
              <w:t xml:space="preserve">Calendar-constraint locations for adjacent pair</w:t>
            </w:r>
            <w:r>
              <w:rPr>
                <w:b w:val="0"/>
                <w:sz w:val="20"/>
              </w:rPr>
              <w:t xml:space="preserve"> </w:t>
            </w:r>
            <m:oMath>
              <m:r>
                <m:t>m</m:t>
              </m:r>
              <m:r>
                <m:rPr>
                  <m:sty m:val="p"/>
                </m:rPr>
                <m:t>,</m:t>
              </m:r>
              <m:r>
                <m:t>m</m:t>
              </m:r>
              <m:r>
                <m:rPr>
                  <m:sty m:val="p"/>
                </m:rPr>
                <m:t>+</m:t>
              </m:r>
              <m:r>
                <m:t>1</m:t>
              </m:r>
            </m:oMath>
          </w:p>
        </w:tc>
        <w:tc>
          <w:tcPr>
            <w:tcW w:type="dxa" w:w="2490"/>
            <w:vAlign w:val="center"/>
          </w:tcPr>
          <w:p>
            <w:pPr>
              <w:pStyle w:val="Compact"/>
              <w:keepNext w:val="0"/>
              <w:keepLines/>
              <w:spacing w:after="40" w:before="40" w:line="252" w:lineRule="auto"/>
              <w:jc w:val="left"/>
            </w:pPr>
            <w:r>
              <w:rPr>
                <w:b w:val="0"/>
                <w:sz w:val="20"/>
              </w:rPr>
              <w:t xml:space="preserve">Set of dimensionless ratios</w:t>
            </w:r>
          </w:p>
        </w:tc>
      </w:tr>
      <w:tr>
        <w:trPr>
          <w:cantSplit/>
        </w:trPr>
        <w:tc>
          <w:tcPr>
            <w:tcW w:type="dxa" w:w="2202"/>
            <w:vAlign w:val="center"/>
          </w:tcPr>
          <w:p>
            <w:pPr>
              <w:pStyle w:val="Compact"/>
              <w:keepNext w:val="0"/>
              <w:keepLines/>
              <w:spacing w:after="40" w:before="40" w:line="252" w:lineRule="auto"/>
              <w:jc w:val="left"/>
            </w:pPr>
            <m:oMath>
              <m:sSub>
                <m:e>
                  <m:r>
                    <m:t>δ</m:t>
                  </m:r>
                </m:e>
                <m:sub>
                  <m:r>
                    <m:t>m</m:t>
                  </m:r>
                  <m:r>
                    <m:t>j</m:t>
                  </m:r>
                </m:sub>
              </m:sSub>
            </m:oMath>
          </w:p>
        </w:tc>
        <w:tc>
          <w:tcPr>
            <w:tcW w:type="dxa" w:w="4884"/>
            <w:vAlign w:val="center"/>
          </w:tcPr>
          <w:p>
            <w:pPr>
              <w:pStyle w:val="Compact"/>
              <w:keepNext w:val="0"/>
              <w:keepLines/>
              <w:spacing w:after="40" w:before="40" w:line="252" w:lineRule="auto"/>
              <w:jc w:val="left"/>
            </w:pPr>
            <w:r>
              <w:rPr>
                <w:b w:val="0"/>
                <w:sz w:val="20"/>
              </w:rPr>
              <w:t xml:space="preserve">Later minus earlier probability in bin</w:t>
            </w:r>
            <w:r>
              <w:rPr>
                <w:b w:val="0"/>
                <w:sz w:val="20"/>
              </w:rPr>
              <w:t xml:space="preserve"> </w:t>
            </w:r>
            <m:oMath>
              <m:r>
                <m:t>j</m:t>
              </m:r>
            </m:oMath>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sSub>
                <m:e>
                  <m:r>
                    <m:t>Δ</m:t>
                  </m:r>
                </m:e>
                <m:sub>
                  <m:r>
                    <m:t>m</m:t>
                  </m:r>
                </m:sub>
              </m:sSub>
              <m:d>
                <m:dPr>
                  <m:begChr m:val="("/>
                  <m:endChr m:val=")"/>
                  <m:sepChr m:val=""/>
                  <m:grow/>
                </m:dPr>
                <m:e>
                  <m:r>
                    <m:t>κ</m:t>
                  </m:r>
                </m:e>
              </m:d>
            </m:oMath>
          </w:p>
        </w:tc>
        <w:tc>
          <w:tcPr>
            <w:tcW w:type="dxa" w:w="4884"/>
            <w:vAlign w:val="center"/>
          </w:tcPr>
          <w:p>
            <w:pPr>
              <w:pStyle w:val="Compact"/>
              <w:keepNext w:val="0"/>
              <w:keepLines/>
              <w:spacing w:after="40" w:before="40" w:line="252" w:lineRule="auto"/>
              <w:jc w:val="left"/>
            </w:pPr>
            <w:r>
              <w:rPr>
                <w:b w:val="0"/>
                <w:sz w:val="20"/>
              </w:rPr>
              <w:t xml:space="preserve">Later minus earlier normalised call value</w:t>
            </w:r>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r>
                <m:t>z</m:t>
              </m:r>
            </m:oMath>
            <w:r>
              <w:rPr>
                <w:b w:val="0"/>
                <w:sz w:val="20"/>
              </w:rPr>
              <w:t xml:space="preserve">,</w:t>
            </w:r>
            <w:r>
              <w:rPr>
                <w:b w:val="0"/>
                <w:sz w:val="20"/>
              </w:rPr>
              <w:t xml:space="preserve"> </w:t>
            </w:r>
            <m:oMath>
              <m:sSubSup>
                <m:e>
                  <m:r>
                    <m:t>z</m:t>
                  </m:r>
                </m:e>
                <m:sub>
                  <m:r>
                    <m:t>m</m:t>
                  </m:r>
                  <m:r>
                    <m:t>j</m:t>
                  </m:r>
                </m:sub>
                <m:sup>
                  <m:r>
                    <m:rPr>
                      <m:sty m:val="p"/>
                    </m:rPr>
                    <m:t>*</m:t>
                  </m:r>
                </m:sup>
              </m:sSubSup>
            </m:oMath>
          </w:p>
        </w:tc>
        <w:tc>
          <w:tcPr>
            <w:tcW w:type="dxa" w:w="4884"/>
            <w:vAlign w:val="center"/>
          </w:tcPr>
          <w:p>
            <w:pPr>
              <w:pStyle w:val="Compact"/>
              <w:keepNext w:val="0"/>
              <w:keepLines/>
              <w:spacing w:after="40" w:before="40" w:line="252" w:lineRule="auto"/>
              <w:jc w:val="left"/>
            </w:pPr>
            <w:r>
              <w:rPr>
                <w:b w:val="0"/>
                <w:sz w:val="20"/>
              </w:rPr>
              <w:t xml:space="preserve">Offset from the left bin edge; eligible interior-minimum offset</w:t>
            </w:r>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sSub>
                <m:e>
                  <m:r>
                    <m:t>X</m:t>
                  </m:r>
                </m:e>
                <m:sub>
                  <m:r>
                    <m:t>T</m:t>
                  </m:r>
                </m:sub>
              </m:sSub>
            </m:oMath>
          </w:p>
        </w:tc>
        <w:tc>
          <w:tcPr>
            <w:tcW w:type="dxa" w:w="4884"/>
            <w:vAlign w:val="center"/>
          </w:tcPr>
          <w:p>
            <w:pPr>
              <w:pStyle w:val="Compact"/>
              <w:keepNext w:val="0"/>
              <w:keepLines/>
              <w:spacing w:after="40" w:before="40" w:line="252" w:lineRule="auto"/>
              <w:jc w:val="left"/>
            </w:pPr>
            <w:r>
              <w:rPr>
                <w:b w:val="0"/>
                <w:sz w:val="20"/>
              </w:rPr>
              <w:t xml:space="preserve">Normalised terminal random level,</w:t>
            </w:r>
            <w:r>
              <w:rPr>
                <w:b w:val="0"/>
                <w:sz w:val="20"/>
              </w:rPr>
              <w:t xml:space="preserve"> </w:t>
            </w:r>
            <m:oMath>
              <m:sSub>
                <m:e>
                  <m:r>
                    <m:t>S</m:t>
                  </m:r>
                </m:e>
                <m:sub>
                  <m:r>
                    <m:t>T</m:t>
                  </m:r>
                </m:sub>
              </m:sSub>
              <m:r>
                <m:rPr>
                  <m:sty m:val="p"/>
                </m:rPr>
                <m:t>/</m:t>
              </m:r>
              <m:r>
                <m:t>F</m:t>
              </m:r>
              <m:d>
                <m:dPr>
                  <m:begChr m:val="("/>
                  <m:endChr m:val=")"/>
                  <m:sepChr m:val=""/>
                  <m:grow/>
                </m:dPr>
                <m:e>
                  <m:r>
                    <m:t>T</m:t>
                  </m:r>
                </m:e>
              </m:d>
            </m:oMath>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r>
                <m:t>L</m:t>
              </m:r>
            </m:oMath>
            <w:r>
              <w:rPr>
                <w:b w:val="0"/>
                <w:sz w:val="20"/>
              </w:rPr>
              <w:t xml:space="preserve">,</w:t>
            </w:r>
            <w:r>
              <w:rPr>
                <w:b w:val="0"/>
                <w:sz w:val="20"/>
              </w:rPr>
              <w:t xml:space="preserve"> </w:t>
            </w:r>
            <m:oMath>
              <m:r>
                <m:rPr>
                  <m:sty m:val="p"/>
                </m:rPr>
                <m:t>ℓ</m:t>
              </m:r>
            </m:oMath>
          </w:p>
        </w:tc>
        <w:tc>
          <w:tcPr>
            <w:tcW w:type="dxa" w:w="4884"/>
            <w:vAlign w:val="center"/>
          </w:tcPr>
          <w:p>
            <w:pPr>
              <w:pStyle w:val="Compact"/>
              <w:keepNext w:val="0"/>
              <w:keepLines/>
              <w:spacing w:after="40" w:before="40" w:line="252" w:lineRule="auto"/>
              <w:jc w:val="left"/>
            </w:pPr>
            <w:r>
              <w:rPr>
                <w:b w:val="0"/>
                <w:sz w:val="20"/>
              </w:rPr>
              <w:t xml:space="preserve">Number of mixture components and component index</w:t>
            </w:r>
          </w:p>
        </w:tc>
        <w:tc>
          <w:tcPr>
            <w:tcW w:type="dxa" w:w="2490"/>
            <w:vAlign w:val="center"/>
          </w:tcPr>
          <w:p>
            <w:pPr>
              <w:pStyle w:val="Compact"/>
              <w:keepNext w:val="0"/>
              <w:keepLines/>
              <w:spacing w:after="40" w:before="40" w:line="252" w:lineRule="auto"/>
              <w:jc w:val="left"/>
            </w:pPr>
            <w:r>
              <w:rPr>
                <w:b w:val="0"/>
                <w:sz w:val="20"/>
              </w:rPr>
              <w:t xml:space="preserve">Count</w:t>
            </w:r>
          </w:p>
        </w:tc>
      </w:tr>
      <w:tr>
        <w:trPr>
          <w:cantSplit/>
        </w:trPr>
        <w:tc>
          <w:tcPr>
            <w:tcW w:type="dxa" w:w="2202"/>
            <w:vAlign w:val="center"/>
          </w:tcPr>
          <w:p>
            <w:pPr>
              <w:pStyle w:val="Compact"/>
              <w:keepNext w:val="0"/>
              <w:keepLines/>
              <w:spacing w:after="40" w:before="40" w:line="252" w:lineRule="auto"/>
              <w:jc w:val="left"/>
            </w:pPr>
            <m:oMath>
              <m:sSub>
                <m:e>
                  <m:r>
                    <m:t>π</m:t>
                  </m:r>
                </m:e>
                <m:sub>
                  <m:r>
                    <m:rPr>
                      <m:sty m:val="p"/>
                    </m:rPr>
                    <m:t>ℓ</m:t>
                  </m:r>
                </m:sub>
              </m:sSub>
            </m:oMath>
          </w:p>
        </w:tc>
        <w:tc>
          <w:tcPr>
            <w:tcW w:type="dxa" w:w="4884"/>
            <w:vAlign w:val="center"/>
          </w:tcPr>
          <w:p>
            <w:pPr>
              <w:pStyle w:val="Compact"/>
              <w:keepNext w:val="0"/>
              <w:keepLines/>
              <w:spacing w:after="40" w:before="40" w:line="252" w:lineRule="auto"/>
              <w:jc w:val="left"/>
            </w:pPr>
            <w:r>
              <w:rPr>
                <w:b w:val="0"/>
                <w:sz w:val="20"/>
              </w:rPr>
              <w:t xml:space="preserve">Probability weight of mixture component</w:t>
            </w:r>
            <w:r>
              <w:rPr>
                <w:b w:val="0"/>
                <w:sz w:val="20"/>
              </w:rPr>
              <w:t xml:space="preserve"> </w:t>
            </w:r>
            <m:oMath>
              <m:r>
                <m:rPr>
                  <m:sty m:val="p"/>
                </m:rPr>
                <m:t>ℓ</m:t>
              </m:r>
            </m:oMath>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sSub>
                <m:e>
                  <m:r>
                    <m:t>σ</m:t>
                  </m:r>
                </m:e>
                <m:sub>
                  <m:r>
                    <m:rPr>
                      <m:sty m:val="p"/>
                    </m:rPr>
                    <m:t>ℓ</m:t>
                  </m:r>
                </m:sub>
              </m:sSub>
            </m:oMath>
          </w:p>
        </w:tc>
        <w:tc>
          <w:tcPr>
            <w:tcW w:type="dxa" w:w="4884"/>
            <w:vAlign w:val="center"/>
          </w:tcPr>
          <w:p>
            <w:pPr>
              <w:pStyle w:val="Compact"/>
              <w:keepNext w:val="0"/>
              <w:keepLines/>
              <w:spacing w:after="40" w:before="40" w:line="252" w:lineRule="auto"/>
              <w:jc w:val="left"/>
            </w:pPr>
            <w:r>
              <w:rPr>
                <w:b w:val="0"/>
                <w:sz w:val="20"/>
              </w:rPr>
              <w:t xml:space="preserve">Annualised volatility of mixture component</w:t>
            </w:r>
            <w:r>
              <w:rPr>
                <w:b w:val="0"/>
                <w:sz w:val="20"/>
              </w:rPr>
              <w:t xml:space="preserve"> </w:t>
            </w:r>
            <m:oMath>
              <m:r>
                <m:rPr>
                  <m:sty m:val="p"/>
                </m:rPr>
                <m:t>ℓ</m:t>
              </m:r>
            </m:oMath>
          </w:p>
        </w:tc>
        <w:tc>
          <w:tcPr>
            <w:tcW w:type="dxa" w:w="2490"/>
            <w:vAlign w:val="center"/>
          </w:tcPr>
          <w:p>
            <w:pPr>
              <w:pStyle w:val="Compact"/>
              <w:keepNext w:val="0"/>
              <w:keepLines/>
              <w:spacing w:after="40" w:before="40" w:line="252" w:lineRule="auto"/>
              <w:jc w:val="left"/>
            </w:pPr>
            <w:r>
              <w:rPr>
                <w:b w:val="0"/>
                <w:sz w:val="20"/>
              </w:rPr>
              <w:t xml:space="preserve">Per square-root year</w:t>
            </w:r>
          </w:p>
        </w:tc>
      </w:tr>
      <w:tr>
        <w:trPr>
          <w:cantSplit/>
        </w:trPr>
        <w:tc>
          <w:tcPr>
            <w:tcW w:type="dxa" w:w="2202"/>
            <w:vAlign w:val="center"/>
          </w:tcPr>
          <w:p>
            <w:pPr>
              <w:pStyle w:val="Compact"/>
              <w:keepNext w:val="0"/>
              <w:keepLines/>
              <w:spacing w:after="40" w:before="40" w:line="252" w:lineRule="auto"/>
              <w:jc w:val="left"/>
            </w:pPr>
            <m:oMath>
              <m:sSub>
                <m:e>
                  <m:r>
                    <m:t>g</m:t>
                  </m:r>
                </m:e>
                <m:sub>
                  <m:r>
                    <m:rPr>
                      <m:sty m:val="p"/>
                    </m:rPr>
                    <m:t>m</m:t>
                  </m:r>
                  <m:r>
                    <m:rPr>
                      <m:sty m:val="p"/>
                    </m:rPr>
                    <m:t>i</m:t>
                  </m:r>
                  <m:r>
                    <m:rPr>
                      <m:sty m:val="p"/>
                    </m:rPr>
                    <m:t>x</m:t>
                  </m:r>
                </m:sub>
              </m:sSub>
            </m:oMath>
            <w:r>
              <w:rPr>
                <w:b w:val="0"/>
                <w:sz w:val="20"/>
              </w:rPr>
              <w:t xml:space="preserve">,</w:t>
            </w:r>
            <w:r>
              <w:rPr>
                <w:b w:val="0"/>
                <w:sz w:val="20"/>
              </w:rPr>
              <w:t xml:space="preserve"> </w:t>
            </w:r>
            <m:oMath>
              <m:sSub>
                <m:e>
                  <m:r>
                    <m:t>g</m:t>
                  </m:r>
                </m:e>
                <m:sub>
                  <m:r>
                    <m:rPr>
                      <m:sty m:val="p"/>
                    </m:rPr>
                    <m:t>L</m:t>
                  </m:r>
                  <m:r>
                    <m:rPr>
                      <m:sty m:val="p"/>
                    </m:rPr>
                    <m:t>N</m:t>
                  </m:r>
                </m:sub>
              </m:sSub>
            </m:oMath>
          </w:p>
        </w:tc>
        <w:tc>
          <w:tcPr>
            <w:tcW w:type="dxa" w:w="4884"/>
            <w:vAlign w:val="center"/>
          </w:tcPr>
          <w:p>
            <w:pPr>
              <w:pStyle w:val="Compact"/>
              <w:keepNext w:val="0"/>
              <w:keepLines/>
              <w:spacing w:after="40" w:before="40" w:line="252" w:lineRule="auto"/>
              <w:jc w:val="left"/>
            </w:pPr>
            <w:r>
              <w:rPr>
                <w:b w:val="0"/>
                <w:sz w:val="20"/>
              </w:rPr>
              <w:t xml:space="preserve">Mixture and component densities of the normalised terminal level</w:t>
            </w:r>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sSub>
                <m:e>
                  <m:r>
                    <m:t>C</m:t>
                  </m:r>
                </m:e>
                <m:sub>
                  <m:r>
                    <m:rPr>
                      <m:sty m:val="p"/>
                    </m:rPr>
                    <m:t>m</m:t>
                  </m:r>
                  <m:r>
                    <m:rPr>
                      <m:sty m:val="p"/>
                    </m:rPr>
                    <m:t>i</m:t>
                  </m:r>
                  <m:r>
                    <m:rPr>
                      <m:sty m:val="p"/>
                    </m:rPr>
                    <m:t>x</m:t>
                  </m:r>
                </m:sub>
              </m:sSub>
            </m:oMath>
            <w:r>
              <w:rPr>
                <w:b w:val="0"/>
                <w:sz w:val="20"/>
              </w:rPr>
              <w:t xml:space="preserve">,</w:t>
            </w:r>
            <w:r>
              <w:rPr>
                <w:b w:val="0"/>
                <w:sz w:val="20"/>
              </w:rPr>
              <w:t xml:space="preserve"> </w:t>
            </w:r>
            <m:oMath>
              <m:sSub>
                <m:e>
                  <m:r>
                    <m:t>C</m:t>
                  </m:r>
                </m:e>
                <m:sub>
                  <m:r>
                    <m:rPr>
                      <m:sty m:val="p"/>
                    </m:rPr>
                    <m:t>B</m:t>
                  </m:r>
                  <m:r>
                    <m:rPr>
                      <m:sty m:val="p"/>
                    </m:rPr>
                    <m:t>S</m:t>
                  </m:r>
                </m:sub>
              </m:sSub>
            </m:oMath>
          </w:p>
        </w:tc>
        <w:tc>
          <w:tcPr>
            <w:tcW w:type="dxa" w:w="4884"/>
            <w:vAlign w:val="center"/>
          </w:tcPr>
          <w:p>
            <w:pPr>
              <w:pStyle w:val="Compact"/>
              <w:keepNext w:val="0"/>
              <w:keepLines/>
              <w:spacing w:after="40" w:before="40" w:line="252" w:lineRule="auto"/>
              <w:jc w:val="left"/>
            </w:pPr>
            <w:r>
              <w:rPr>
                <w:b w:val="0"/>
                <w:sz w:val="20"/>
              </w:rPr>
              <w:t xml:space="preserve">Mixture call price and component Black–Scholes call price</w:t>
            </w:r>
          </w:p>
        </w:tc>
        <w:tc>
          <w:tcPr>
            <w:tcW w:type="dxa" w:w="2490"/>
            <w:vAlign w:val="center"/>
          </w:tcPr>
          <w:p>
            <w:pPr>
              <w:pStyle w:val="Compact"/>
              <w:keepNext w:val="0"/>
              <w:keepLines/>
              <w:spacing w:after="40" w:before="40" w:line="252" w:lineRule="auto"/>
              <w:jc w:val="left"/>
            </w:pPr>
            <w:r>
              <w:rPr>
                <w:b w:val="0"/>
                <w:sz w:val="20"/>
              </w:rPr>
              <w:t xml:space="preserve">Index points</w:t>
            </w:r>
          </w:p>
        </w:tc>
      </w:tr>
      <w:tr>
        <w:trPr>
          <w:cantSplit/>
        </w:trPr>
        <w:tc>
          <w:tcPr>
            <w:tcW w:type="dxa" w:w="2202"/>
            <w:vAlign w:val="center"/>
          </w:tcPr>
          <w:p>
            <w:pPr>
              <w:pStyle w:val="Compact"/>
              <w:keepNext w:val="0"/>
              <w:keepLines/>
              <w:spacing w:after="40" w:before="40" w:line="252" w:lineRule="auto"/>
              <w:jc w:val="left"/>
            </w:pPr>
            <m:oMath>
              <m:sSub>
                <m:e>
                  <m:r>
                    <m:t>R</m:t>
                  </m:r>
                </m:e>
                <m:sub>
                  <m:r>
                    <m:t>Δ</m:t>
                  </m:r>
                  <m:r>
                    <m:t>u</m:t>
                  </m:r>
                </m:sub>
              </m:sSub>
              <m:d>
                <m:dPr>
                  <m:begChr m:val="("/>
                  <m:endChr m:val=")"/>
                  <m:sepChr m:val=""/>
                  <m:grow/>
                </m:dPr>
                <m:e>
                  <m:r>
                    <m:rPr>
                      <m:sty m:val="b"/>
                    </m:rPr>
                    <m:t>g</m:t>
                  </m:r>
                </m:e>
              </m:d>
            </m:oMath>
          </w:p>
        </w:tc>
        <w:tc>
          <w:tcPr>
            <w:tcW w:type="dxa" w:w="4884"/>
            <w:vAlign w:val="center"/>
          </w:tcPr>
          <w:p>
            <w:pPr>
              <w:pStyle w:val="Compact"/>
              <w:keepNext w:val="0"/>
              <w:keepLines/>
              <w:spacing w:after="40" w:before="40" w:line="252" w:lineRule="auto"/>
              <w:jc w:val="left"/>
            </w:pPr>
            <w:r>
              <w:rPr>
                <w:b w:val="0"/>
                <w:sz w:val="20"/>
              </w:rPr>
              <w:t xml:space="preserve">Discrete roughness of the normalised density-height sequence</w:t>
            </w:r>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r>
                <m:t>α</m:t>
              </m:r>
            </m:oMath>
            <w:r>
              <w:rPr>
                <w:b w:val="0"/>
                <w:sz w:val="20"/>
              </w:rPr>
              <w:t xml:space="preserve">,</w:t>
            </w:r>
            <w:r>
              <w:rPr>
                <w:b w:val="0"/>
                <w:sz w:val="20"/>
              </w:rPr>
              <w:t xml:space="preserve"> </w:t>
            </w:r>
            <m:oMath>
              <m:sSub>
                <m:e>
                  <m:r>
                    <m:t>α</m:t>
                  </m:r>
                </m:e>
                <m:sub>
                  <m:r>
                    <m:t>0</m:t>
                  </m:r>
                </m:sub>
              </m:sSub>
            </m:oMath>
          </w:p>
        </w:tc>
        <w:tc>
          <w:tcPr>
            <w:tcW w:type="dxa" w:w="4884"/>
            <w:vAlign w:val="center"/>
          </w:tcPr>
          <w:p>
            <w:pPr>
              <w:pStyle w:val="Compact"/>
              <w:keepNext w:val="0"/>
              <w:keepLines/>
              <w:spacing w:after="40" w:before="40" w:line="252" w:lineRule="auto"/>
              <w:jc w:val="left"/>
            </w:pPr>
            <w:r>
              <w:rPr>
                <w:b w:val="0"/>
                <w:sz w:val="20"/>
              </w:rPr>
              <w:t xml:space="preserve">Grid-comparable roughness coefficient and its baseline</w:t>
            </w:r>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sSubSup>
                <m:e>
                  <m:r>
                    <m:t>L</m:t>
                  </m:r>
                </m:e>
                <m:sub>
                  <m:r>
                    <m:t>1</m:t>
                  </m:r>
                </m:sub>
                <m:sup>
                  <m:r>
                    <m:rPr>
                      <m:sty m:val="p"/>
                    </m:rPr>
                    <m:t>f</m:t>
                  </m:r>
                  <m:r>
                    <m:rPr>
                      <m:sty m:val="p"/>
                    </m:rPr>
                    <m:t>u</m:t>
                  </m:r>
                  <m:r>
                    <m:rPr>
                      <m:sty m:val="p"/>
                    </m:rPr>
                    <m:t>l</m:t>
                  </m:r>
                  <m:r>
                    <m:rPr>
                      <m:sty m:val="p"/>
                    </m:rPr>
                    <m:t>l</m:t>
                  </m:r>
                </m:sup>
              </m:sSubSup>
              <m:d>
                <m:dPr>
                  <m:begChr m:val="("/>
                  <m:endChr m:val=")"/>
                  <m:sepChr m:val=""/>
                  <m:grow/>
                </m:dPr>
                <m:e>
                  <m:r>
                    <m:t>T</m:t>
                  </m:r>
                </m:e>
              </m:d>
            </m:oMath>
          </w:p>
        </w:tc>
        <w:tc>
          <w:tcPr>
            <w:tcW w:type="dxa" w:w="4884"/>
            <w:vAlign w:val="center"/>
          </w:tcPr>
          <w:p>
            <w:pPr>
              <w:pStyle w:val="Compact"/>
              <w:keepNext w:val="0"/>
              <w:keepLines/>
              <w:spacing w:after="40" w:before="40" w:line="252" w:lineRule="auto"/>
              <w:jc w:val="left"/>
            </w:pPr>
            <w:r>
              <w:rPr>
                <w:b w:val="0"/>
                <w:sz w:val="20"/>
              </w:rPr>
              <w:t xml:space="preserve">Density absolute error across the entire positive domain</w:t>
            </w:r>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sSubSup>
                <m:e>
                  <m:r>
                    <m:t>p</m:t>
                  </m:r>
                </m:e>
                <m:sub>
                  <m:r>
                    <m:t>0.8</m:t>
                  </m:r>
                </m:sub>
                <m:sup>
                  <m:r>
                    <m:rPr>
                      <m:sty m:val="p"/>
                    </m:rPr>
                    <m:t>−</m:t>
                  </m:r>
                </m:sup>
              </m:sSubSup>
            </m:oMath>
            <w:r>
              <w:rPr>
                <w:b w:val="0"/>
                <w:sz w:val="20"/>
              </w:rPr>
              <w:t xml:space="preserve">,</w:t>
            </w:r>
            <w:r>
              <w:rPr>
                <w:b w:val="0"/>
                <w:sz w:val="20"/>
              </w:rPr>
              <w:t xml:space="preserve"> </w:t>
            </w:r>
            <m:oMath>
              <m:sSubSup>
                <m:e>
                  <m:r>
                    <m:t>p</m:t>
                  </m:r>
                </m:e>
                <m:sub>
                  <m:r>
                    <m:t>1.2</m:t>
                  </m:r>
                </m:sub>
                <m:sup>
                  <m:r>
                    <m:rPr>
                      <m:sty m:val="p"/>
                    </m:rPr>
                    <m:t>+</m:t>
                  </m:r>
                </m:sup>
              </m:sSubSup>
            </m:oMath>
            <w:r>
              <w:rPr>
                <w:b w:val="0"/>
                <w:sz w:val="20"/>
              </w:rPr>
              <w:t xml:space="preserve">,</w:t>
            </w:r>
            <w:r>
              <w:rPr>
                <w:b w:val="0"/>
                <w:sz w:val="20"/>
              </w:rPr>
              <w:t xml:space="preserve"> </w:t>
            </w:r>
            <m:oMath>
              <m:sSubSup>
                <m:e>
                  <m:r>
                    <m:t>p</m:t>
                  </m:r>
                </m:e>
                <m:sub>
                  <m:r>
                    <m:t>1.8</m:t>
                  </m:r>
                </m:sub>
                <m:sup>
                  <m:r>
                    <m:rPr>
                      <m:sty m:val="p"/>
                    </m:rPr>
                    <m:t>+</m:t>
                  </m:r>
                </m:sup>
              </m:sSubSup>
            </m:oMath>
          </w:p>
        </w:tc>
        <w:tc>
          <w:tcPr>
            <w:tcW w:type="dxa" w:w="4884"/>
            <w:vAlign w:val="center"/>
          </w:tcPr>
          <w:p>
            <w:pPr>
              <w:pStyle w:val="Compact"/>
              <w:keepNext w:val="0"/>
              <w:keepLines/>
              <w:spacing w:after="40" w:before="40" w:line="252" w:lineRule="auto"/>
              <w:jc w:val="left"/>
            </w:pPr>
            <w:r>
              <w:rPr>
                <w:b w:val="0"/>
                <w:sz w:val="20"/>
              </w:rPr>
              <w:t xml:space="preserve">Lower- and upper-tail probabilities relative to the forward</w:t>
            </w:r>
          </w:p>
        </w:tc>
        <w:tc>
          <w:tcPr>
            <w:tcW w:type="dxa" w:w="2490"/>
            <w:vAlign w:val="center"/>
          </w:tcPr>
          <w:p>
            <w:pPr>
              <w:pStyle w:val="Compact"/>
              <w:keepNext w:val="0"/>
              <w:keepLines/>
              <w:spacing w:after="40" w:before="40" w:line="252" w:lineRule="auto"/>
              <w:jc w:val="left"/>
            </w:pPr>
            <w:r>
              <w:rPr>
                <w:b w:val="0"/>
                <w:sz w:val="20"/>
              </w:rPr>
              <w:t xml:space="preserve">Dimensionless; optionally displayed as percentages</w:t>
            </w:r>
          </w:p>
        </w:tc>
      </w:tr>
      <w:tr>
        <w:trPr>
          <w:cantSplit/>
        </w:trPr>
        <w:tc>
          <w:tcPr>
            <w:tcW w:type="dxa" w:w="2202"/>
            <w:vAlign w:val="center"/>
          </w:tcPr>
          <w:p>
            <w:pPr>
              <w:pStyle w:val="Compact"/>
              <w:keepNext w:val="0"/>
              <w:keepLines/>
              <w:spacing w:after="40" w:before="40" w:line="252" w:lineRule="auto"/>
              <w:jc w:val="left"/>
            </w:pPr>
            <m:oMath>
              <m:acc>
                <m:accPr>
                  <m:chr m:val="̂"/>
                </m:accPr>
                <m:e>
                  <m:r>
                    <m:t>μ</m:t>
                  </m:r>
                </m:e>
              </m:acc>
            </m:oMath>
          </w:p>
        </w:tc>
        <w:tc>
          <w:tcPr>
            <w:tcW w:type="dxa" w:w="4884"/>
            <w:vAlign w:val="center"/>
          </w:tcPr>
          <w:p>
            <w:pPr>
              <w:pStyle w:val="Compact"/>
              <w:keepNext w:val="0"/>
              <w:keepLines/>
              <w:spacing w:after="40" w:before="40" w:line="252" w:lineRule="auto"/>
              <w:jc w:val="left"/>
            </w:pPr>
            <w:r>
              <w:rPr>
                <w:b w:val="0"/>
                <w:sz w:val="20"/>
              </w:rPr>
              <w:t xml:space="preserve">Fitted mean of the normalised terminal level</w:t>
            </w:r>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acc>
                <m:accPr>
                  <m:chr m:val="̂"/>
                </m:accPr>
                <m:e>
                  <m:r>
                    <m:t>V</m:t>
                  </m:r>
                </m:e>
              </m:acc>
            </m:oMath>
            <w:r>
              <w:rPr>
                <w:b w:val="0"/>
                <w:sz w:val="20"/>
              </w:rPr>
              <w:t xml:space="preserve">,</w:t>
            </w:r>
            <w:r>
              <w:rPr>
                <w:b w:val="0"/>
                <w:sz w:val="20"/>
              </w:rPr>
              <w:t xml:space="preserve"> </w:t>
            </w:r>
            <m:oMath>
              <m:sSub>
                <m:e>
                  <m:r>
                    <m:t>V</m:t>
                  </m:r>
                </m:e>
                <m:sub>
                  <m:r>
                    <m:rPr>
                      <m:sty m:val="p"/>
                    </m:rPr>
                    <m:t>k</m:t>
                  </m:r>
                  <m:r>
                    <m:rPr>
                      <m:sty m:val="p"/>
                    </m:rPr>
                    <m:t>n</m:t>
                  </m:r>
                  <m:r>
                    <m:rPr>
                      <m:sty m:val="p"/>
                    </m:rPr>
                    <m:t>o</m:t>
                  </m:r>
                  <m:r>
                    <m:rPr>
                      <m:sty m:val="p"/>
                    </m:rPr>
                    <m:t>w</m:t>
                  </m:r>
                  <m:r>
                    <m:rPr>
                      <m:sty m:val="p"/>
                    </m:rPr>
                    <m:t>n</m:t>
                  </m:r>
                </m:sub>
              </m:sSub>
            </m:oMath>
          </w:p>
        </w:tc>
        <w:tc>
          <w:tcPr>
            <w:tcW w:type="dxa" w:w="4884"/>
            <w:vAlign w:val="center"/>
          </w:tcPr>
          <w:p>
            <w:pPr>
              <w:pStyle w:val="Compact"/>
              <w:keepNext w:val="0"/>
              <w:keepLines/>
              <w:spacing w:after="40" w:before="40" w:line="252" w:lineRule="auto"/>
              <w:jc w:val="left"/>
            </w:pPr>
            <w:r>
              <w:rPr>
                <w:b w:val="0"/>
                <w:sz w:val="20"/>
              </w:rPr>
              <w:t xml:space="preserve">Fitted and known variance of the normalised terminal level</w:t>
            </w:r>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r>
                <m:t>ν</m:t>
              </m:r>
            </m:oMath>
            <w:r>
              <w:rPr>
                <w:b w:val="0"/>
                <w:sz w:val="20"/>
              </w:rPr>
              <w:t xml:space="preserve">,</w:t>
            </w:r>
            <w:r>
              <w:rPr>
                <w:b w:val="0"/>
                <w:sz w:val="20"/>
              </w:rPr>
              <w:t xml:space="preserve"> </w:t>
            </w:r>
            <m:oMath>
              <m:sSub>
                <m:e>
                  <m:r>
                    <m:t>n</m:t>
                  </m:r>
                </m:e>
                <m:sub>
                  <m:r>
                    <m:rPr>
                      <m:sty m:val="p"/>
                    </m:rPr>
                    <m:t>s</m:t>
                  </m:r>
                  <m:r>
                    <m:rPr>
                      <m:sty m:val="p"/>
                    </m:rPr>
                    <m:t>i</m:t>
                  </m:r>
                  <m:r>
                    <m:rPr>
                      <m:sty m:val="p"/>
                    </m:rPr>
                    <m:t>m</m:t>
                  </m:r>
                </m:sub>
              </m:sSub>
            </m:oMath>
          </w:p>
        </w:tc>
        <w:tc>
          <w:tcPr>
            <w:tcW w:type="dxa" w:w="4884"/>
            <w:vAlign w:val="center"/>
          </w:tcPr>
          <w:p>
            <w:pPr>
              <w:pStyle w:val="Compact"/>
              <w:keepNext w:val="0"/>
              <w:keepLines/>
              <w:spacing w:after="40" w:before="40" w:line="252" w:lineRule="auto"/>
              <w:jc w:val="left"/>
            </w:pPr>
            <w:r>
              <w:rPr>
                <w:b w:val="0"/>
                <w:sz w:val="20"/>
              </w:rPr>
              <w:t xml:space="preserve">Simulation repetition index and number of repetitions</w:t>
            </w:r>
          </w:p>
        </w:tc>
        <w:tc>
          <w:tcPr>
            <w:tcW w:type="dxa" w:w="2490"/>
            <w:vAlign w:val="center"/>
          </w:tcPr>
          <w:p>
            <w:pPr>
              <w:pStyle w:val="Compact"/>
              <w:keepNext w:val="0"/>
              <w:keepLines/>
              <w:spacing w:after="40" w:before="40" w:line="252" w:lineRule="auto"/>
              <w:jc w:val="left"/>
            </w:pPr>
            <w:r>
              <w:rPr>
                <w:b w:val="0"/>
                <w:sz w:val="20"/>
              </w:rPr>
              <w:t xml:space="preserve">Count</w:t>
            </w:r>
          </w:p>
        </w:tc>
      </w:tr>
      <w:tr>
        <w:trPr>
          <w:cantSplit/>
        </w:trPr>
        <w:tc>
          <w:tcPr>
            <w:tcW w:type="dxa" w:w="2202"/>
            <w:vAlign w:val="center"/>
          </w:tcPr>
          <w:p>
            <w:pPr>
              <w:pStyle w:val="Compact"/>
              <w:keepNext w:val="0"/>
              <w:keepLines/>
              <w:spacing w:after="40" w:before="40" w:line="252" w:lineRule="auto"/>
              <w:jc w:val="left"/>
            </w:pPr>
            <m:oMath>
              <m:r>
                <m:t>a</m:t>
              </m:r>
            </m:oMath>
            <w:r>
              <w:rPr>
                <w:b w:val="0"/>
                <w:sz w:val="20"/>
              </w:rPr>
              <w:t xml:space="preserve">,</w:t>
            </w:r>
            <w:r>
              <w:rPr>
                <w:b w:val="0"/>
                <w:sz w:val="20"/>
              </w:rPr>
              <w:t xml:space="preserve"> </w:t>
            </w:r>
            <m:oMath>
              <m:sSub>
                <m:e>
                  <m:r>
                    <m:t>η</m:t>
                  </m:r>
                </m:e>
                <m:sub>
                  <m:r>
                    <m:t>m</m:t>
                  </m:r>
                  <m:r>
                    <m:t>i</m:t>
                  </m:r>
                </m:sub>
              </m:sSub>
              <m:d>
                <m:dPr>
                  <m:begChr m:val="("/>
                  <m:endChr m:val=")"/>
                  <m:sepChr m:val=""/>
                  <m:grow/>
                </m:dPr>
                <m:e>
                  <m:r>
                    <m:t>a</m:t>
                  </m:r>
                </m:e>
              </m:d>
            </m:oMath>
          </w:p>
        </w:tc>
        <w:tc>
          <w:tcPr>
            <w:tcW w:type="dxa" w:w="4884"/>
            <w:vAlign w:val="center"/>
          </w:tcPr>
          <w:p>
            <w:pPr>
              <w:pStyle w:val="Compact"/>
              <w:keepNext w:val="0"/>
              <w:keepLines/>
              <w:spacing w:after="40" w:before="40" w:line="252" w:lineRule="auto"/>
              <w:jc w:val="left"/>
            </w:pPr>
            <w:r>
              <w:rPr>
                <w:b w:val="0"/>
                <w:sz w:val="20"/>
              </w:rPr>
              <w:t xml:space="preserve">Declared error half-width limit and its price-dependent bound</w:t>
            </w:r>
          </w:p>
        </w:tc>
        <w:tc>
          <w:tcPr>
            <w:tcW w:type="dxa" w:w="2490"/>
            <w:vAlign w:val="center"/>
          </w:tcPr>
          <w:p>
            <w:pPr>
              <w:pStyle w:val="Compact"/>
              <w:keepNext w:val="0"/>
              <w:keepLines/>
              <w:spacing w:after="40" w:before="40" w:line="252" w:lineRule="auto"/>
              <w:jc w:val="left"/>
            </w:pPr>
            <w:r>
              <w:rPr>
                <w:b w:val="0"/>
                <w:sz w:val="20"/>
              </w:rPr>
              <w:t xml:space="preserve">Index points</w:t>
            </w:r>
          </w:p>
        </w:tc>
      </w:tr>
      <w:tr>
        <w:trPr>
          <w:cantSplit/>
        </w:trPr>
        <w:tc>
          <w:tcPr>
            <w:tcW w:type="dxa" w:w="2202"/>
            <w:vAlign w:val="center"/>
          </w:tcPr>
          <w:p>
            <w:pPr>
              <w:pStyle w:val="Compact"/>
              <w:keepNext w:val="0"/>
              <w:keepLines/>
              <w:spacing w:after="40" w:before="40" w:line="252" w:lineRule="auto"/>
              <w:jc w:val="left"/>
            </w:pPr>
            <m:oMath>
              <m:sSub>
                <m:e>
                  <m:r>
                    <m:t>C</m:t>
                  </m:r>
                </m:e>
                <m:sub>
                  <m:r>
                    <m:t>m</m:t>
                  </m:r>
                  <m:r>
                    <m:t>i</m:t>
                  </m:r>
                </m:sub>
              </m:sSub>
            </m:oMath>
            <w:r>
              <w:rPr>
                <w:b w:val="0"/>
                <w:sz w:val="20"/>
              </w:rPr>
              <w:t xml:space="preserve">,</w:t>
            </w:r>
            <w:r>
              <w:rPr>
                <w:b w:val="0"/>
                <w:sz w:val="20"/>
              </w:rPr>
              <w:t xml:space="preserve"> </w:t>
            </w:r>
            <m:oMath>
              <m:sSub>
                <m:e>
                  <m:r>
                    <m:t>y</m:t>
                  </m:r>
                </m:e>
                <m:sub>
                  <m:r>
                    <m:t>ν</m:t>
                  </m:r>
                  <m:r>
                    <m:t>m</m:t>
                  </m:r>
                  <m:r>
                    <m:t>i</m:t>
                  </m:r>
                </m:sub>
              </m:sSub>
              <m:d>
                <m:dPr>
                  <m:begChr m:val="("/>
                  <m:endChr m:val=")"/>
                  <m:sepChr m:val=""/>
                  <m:grow/>
                </m:dPr>
                <m:e>
                  <m:r>
                    <m:t>a</m:t>
                  </m:r>
                </m:e>
              </m:d>
            </m:oMath>
          </w:p>
        </w:tc>
        <w:tc>
          <w:tcPr>
            <w:tcW w:type="dxa" w:w="4884"/>
            <w:vAlign w:val="center"/>
          </w:tcPr>
          <w:p>
            <w:pPr>
              <w:pStyle w:val="Compact"/>
              <w:keepNext w:val="0"/>
              <w:keepLines/>
              <w:spacing w:after="40" w:before="40" w:line="252" w:lineRule="auto"/>
              <w:jc w:val="left"/>
            </w:pPr>
            <w:r>
              <w:rPr>
                <w:b w:val="0"/>
                <w:sz w:val="20"/>
              </w:rPr>
              <w:t xml:space="preserve">Clean and perturbed call value at horizon</w:t>
            </w:r>
            <w:r>
              <w:rPr>
                <w:b w:val="0"/>
                <w:sz w:val="20"/>
              </w:rPr>
              <w:t xml:space="preserve"> </w:t>
            </w:r>
            <m:oMath>
              <m:r>
                <m:t>m</m:t>
              </m:r>
            </m:oMath>
            <w:r>
              <w:rPr>
                <w:b w:val="0"/>
                <w:sz w:val="20"/>
              </w:rPr>
              <w:t xml:space="preserve"> </w:t>
            </w:r>
            <w:r>
              <w:rPr>
                <w:b w:val="0"/>
                <w:sz w:val="20"/>
              </w:rPr>
              <w:t xml:space="preserve">and master strike</w:t>
            </w:r>
            <w:r>
              <w:rPr>
                <w:b w:val="0"/>
                <w:sz w:val="20"/>
              </w:rPr>
              <w:t xml:space="preserve"> </w:t>
            </w:r>
            <m:oMath>
              <m:r>
                <m:t>i</m:t>
              </m:r>
            </m:oMath>
          </w:p>
        </w:tc>
        <w:tc>
          <w:tcPr>
            <w:tcW w:type="dxa" w:w="2490"/>
            <w:vAlign w:val="center"/>
          </w:tcPr>
          <w:p>
            <w:pPr>
              <w:pStyle w:val="Compact"/>
              <w:keepNext w:val="0"/>
              <w:keepLines/>
              <w:spacing w:after="40" w:before="40" w:line="252" w:lineRule="auto"/>
              <w:jc w:val="left"/>
            </w:pPr>
            <w:r>
              <w:rPr>
                <w:b w:val="0"/>
                <w:sz w:val="20"/>
              </w:rPr>
              <w:t xml:space="preserve">Index points</w:t>
            </w:r>
          </w:p>
        </w:tc>
      </w:tr>
      <w:tr>
        <w:trPr>
          <w:cantSplit/>
        </w:trPr>
        <w:tc>
          <w:tcPr>
            <w:tcW w:type="dxa" w:w="2202"/>
            <w:vAlign w:val="center"/>
          </w:tcPr>
          <w:p>
            <w:pPr>
              <w:pStyle w:val="Compact"/>
              <w:keepNext w:val="0"/>
              <w:keepLines/>
              <w:spacing w:after="40" w:before="40" w:line="252" w:lineRule="auto"/>
              <w:jc w:val="left"/>
            </w:pPr>
            <m:oMath>
              <m:sSub>
                <m:e>
                  <m:r>
                    <m:t>U</m:t>
                  </m:r>
                </m:e>
                <m:sub>
                  <m:r>
                    <m:t>ν</m:t>
                  </m:r>
                  <m:r>
                    <m:t>m</m:t>
                  </m:r>
                  <m:r>
                    <m:t>i</m:t>
                  </m:r>
                </m:sub>
              </m:sSub>
            </m:oMath>
            <w:r>
              <w:rPr>
                <w:b w:val="0"/>
                <w:sz w:val="20"/>
              </w:rPr>
              <w:t xml:space="preserve">,</w:t>
            </w:r>
            <w:r>
              <w:rPr>
                <w:b w:val="0"/>
                <w:sz w:val="20"/>
              </w:rPr>
              <w:t xml:space="preserve"> </w:t>
            </w:r>
            <m:oMath>
              <m:r>
                <m:rPr>
                  <m:sty m:val="p"/>
                  <m:scr m:val="script"/>
                </m:rPr>
                <m:t>U</m:t>
              </m:r>
              <m:d>
                <m:dPr>
                  <m:begChr m:val="["/>
                  <m:endChr m:val="]"/>
                  <m:sepChr m:val=""/>
                  <m:grow/>
                </m:dPr>
                <m:e>
                  <m:r>
                    <m:rPr>
                      <m:sty m:val="p"/>
                    </m:rPr>
                    <m:t>−</m:t>
                  </m:r>
                  <m:r>
                    <m:t>1</m:t>
                  </m:r>
                  <m:r>
                    <m:rPr>
                      <m:sty m:val="p"/>
                    </m:rPr>
                    <m:t>,</m:t>
                  </m:r>
                  <m:r>
                    <m:t>1</m:t>
                  </m:r>
                </m:e>
              </m:d>
            </m:oMath>
          </w:p>
        </w:tc>
        <w:tc>
          <w:tcPr>
            <w:tcW w:type="dxa" w:w="4884"/>
            <w:vAlign w:val="center"/>
          </w:tcPr>
          <w:p>
            <w:pPr>
              <w:pStyle w:val="Compact"/>
              <w:keepNext w:val="0"/>
              <w:keepLines/>
              <w:spacing w:after="40" w:before="40" w:line="252" w:lineRule="auto"/>
              <w:jc w:val="left"/>
            </w:pPr>
            <w:r>
              <w:rPr>
                <w:b w:val="0"/>
                <w:sz w:val="20"/>
              </w:rPr>
              <w:t xml:space="preserve">Shared random draw and its uniform distribution</w:t>
            </w:r>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r>
                <m:t>θ</m:t>
              </m:r>
            </m:oMath>
            <w:r>
              <w:rPr>
                <w:b w:val="0"/>
                <w:sz w:val="20"/>
              </w:rPr>
              <w:t xml:space="preserve">,</w:t>
            </w:r>
            <w:r>
              <w:rPr>
                <w:b w:val="0"/>
                <w:sz w:val="20"/>
              </w:rPr>
              <w:t xml:space="preserve"> </w:t>
            </w:r>
            <m:oMath>
              <m:sSub>
                <m:e>
                  <m:acc>
                    <m:accPr>
                      <m:chr m:val="̂"/>
                    </m:accPr>
                    <m:e>
                      <m:r>
                        <m:t>θ</m:t>
                      </m:r>
                    </m:e>
                  </m:acc>
                </m:e>
                <m:sub>
                  <m:r>
                    <m:t>ν</m:t>
                  </m:r>
                </m:sub>
              </m:sSub>
            </m:oMath>
            <w:r>
              <w:rPr>
                <w:b w:val="0"/>
                <w:sz w:val="20"/>
              </w:rPr>
              <w:t xml:space="preserve">,</w:t>
            </w:r>
            <w:r>
              <w:rPr>
                <w:b w:val="0"/>
                <w:sz w:val="20"/>
              </w:rPr>
              <w:t xml:space="preserve"> </w:t>
            </w:r>
            <m:oMath>
              <m:bar>
                <m:barPr>
                  <m:pos m:val="top"/>
                </m:barPr>
                <m:e>
                  <m:r>
                    <m:t>θ</m:t>
                  </m:r>
                </m:e>
              </m:bar>
            </m:oMath>
          </w:p>
        </w:tc>
        <w:tc>
          <w:tcPr>
            <w:tcW w:type="dxa" w:w="4884"/>
            <w:vAlign w:val="center"/>
          </w:tcPr>
          <w:p>
            <w:pPr>
              <w:pStyle w:val="Compact"/>
              <w:keepNext w:val="0"/>
              <w:keepLines/>
              <w:spacing w:after="40" w:before="40" w:line="252" w:lineRule="auto"/>
              <w:jc w:val="left"/>
            </w:pPr>
            <w:r>
              <w:rPr>
                <w:b w:val="0"/>
                <w:sz w:val="20"/>
              </w:rPr>
              <w:t xml:space="preserve">Known target, repetition-level estimate and mean estimate</w:t>
            </w:r>
          </w:p>
        </w:tc>
        <w:tc>
          <w:tcPr>
            <w:tcW w:type="dxa" w:w="2490"/>
            <w:vAlign w:val="center"/>
          </w:tcPr>
          <w:p>
            <w:pPr>
              <w:pStyle w:val="Compact"/>
              <w:keepNext w:val="0"/>
              <w:keepLines/>
              <w:spacing w:after="40" w:before="40" w:line="252" w:lineRule="auto"/>
              <w:jc w:val="left"/>
            </w:pPr>
            <w:r>
              <w:rPr>
                <w:b w:val="0"/>
                <w:sz w:val="20"/>
              </w:rPr>
              <w:t xml:space="preserve">Units of the stated target; dimensionless for probability</w:t>
            </w:r>
          </w:p>
        </w:tc>
      </w:tr>
      <w:tr>
        <w:trPr>
          <w:cantSplit/>
        </w:trPr>
        <w:tc>
          <w:tcPr>
            <w:tcW w:type="dxa" w:w="2202"/>
            <w:vAlign w:val="center"/>
          </w:tcPr>
          <w:p>
            <w:pPr>
              <w:pStyle w:val="Compact"/>
              <w:keepNext w:val="0"/>
              <w:keepLines/>
              <w:spacing w:after="40" w:before="40" w:line="252" w:lineRule="auto"/>
              <w:jc w:val="left"/>
            </w:pPr>
            <m:oMath>
              <m:acc>
                <m:accPr>
                  <m:chr m:val="̂"/>
                </m:accPr>
                <m:e>
                  <m:r>
                    <m:rPr>
                      <m:sty m:val="p"/>
                    </m:rPr>
                    <m:t>Bias</m:t>
                  </m:r>
                </m:e>
              </m:acc>
            </m:oMath>
            <w:r>
              <w:rPr>
                <w:b w:val="0"/>
                <w:sz w:val="20"/>
              </w:rPr>
              <w:t xml:space="preserve">,</w:t>
            </w:r>
            <w:r>
              <w:rPr>
                <w:b w:val="0"/>
                <w:sz w:val="20"/>
              </w:rPr>
              <w:t xml:space="preserve"> </w:t>
            </w:r>
            <m:oMath>
              <m:sSub>
                <m:e>
                  <m:r>
                    <m:t>s</m:t>
                  </m:r>
                </m:e>
                <m:sub>
                  <m:r>
                    <m:t>θ</m:t>
                  </m:r>
                </m:sub>
              </m:sSub>
            </m:oMath>
          </w:p>
        </w:tc>
        <w:tc>
          <w:tcPr>
            <w:tcW w:type="dxa" w:w="4884"/>
            <w:vAlign w:val="center"/>
          </w:tcPr>
          <w:p>
            <w:pPr>
              <w:pStyle w:val="Compact"/>
              <w:keepNext w:val="0"/>
              <w:keepLines/>
              <w:spacing w:after="40" w:before="40" w:line="252" w:lineRule="auto"/>
              <w:jc w:val="left"/>
            </w:pPr>
            <w:r>
              <w:rPr>
                <w:b w:val="0"/>
                <w:sz w:val="20"/>
              </w:rPr>
              <w:t xml:space="preserve">Estimated bias and empirical SD of repeated estimates</w:t>
            </w:r>
          </w:p>
        </w:tc>
        <w:tc>
          <w:tcPr>
            <w:tcW w:type="dxa" w:w="2490"/>
            <w:vAlign w:val="center"/>
          </w:tcPr>
          <w:p>
            <w:pPr>
              <w:pStyle w:val="Compact"/>
              <w:keepNext w:val="0"/>
              <w:keepLines/>
              <w:spacing w:after="40" w:before="40" w:line="252" w:lineRule="auto"/>
              <w:jc w:val="left"/>
            </w:pPr>
            <w:r>
              <w:rPr>
                <w:b w:val="0"/>
                <w:sz w:val="20"/>
              </w:rPr>
              <w:t xml:space="preserve">Same as</w:t>
            </w:r>
            <w:r>
              <w:rPr>
                <w:b w:val="0"/>
                <w:sz w:val="20"/>
              </w:rPr>
              <w:t xml:space="preserve"> </w:t>
            </w:r>
            <m:oMath>
              <m:r>
                <m:t>θ</m:t>
              </m:r>
            </m:oMath>
          </w:p>
        </w:tc>
      </w:tr>
      <w:tr>
        <w:trPr>
          <w:cantSplit/>
        </w:trPr>
        <w:tc>
          <w:tcPr>
            <w:tcW w:type="dxa" w:w="2202"/>
            <w:vAlign w:val="center"/>
          </w:tcPr>
          <w:p>
            <w:pPr>
              <w:pStyle w:val="Compact"/>
              <w:keepNext w:val="0"/>
              <w:keepLines/>
              <w:spacing w:after="40" w:before="40" w:line="252" w:lineRule="auto"/>
              <w:jc w:val="left"/>
            </w:pPr>
            <m:oMath>
              <m:sSub>
                <m:e>
                  <m:r>
                    <m:t>z</m:t>
                  </m:r>
                </m:e>
                <m:sub>
                  <m:r>
                    <m:t>ν</m:t>
                  </m:r>
                </m:sub>
              </m:sSub>
            </m:oMath>
            <w:r>
              <w:rPr>
                <w:b w:val="0"/>
                <w:sz w:val="20"/>
              </w:rPr>
              <w:t xml:space="preserve">,</w:t>
            </w:r>
            <w:r>
              <w:rPr>
                <w:b w:val="0"/>
                <w:sz w:val="20"/>
              </w:rPr>
              <w:t xml:space="preserve"> </w:t>
            </w:r>
            <m:oMath>
              <m:bar>
                <m:barPr>
                  <m:pos m:val="top"/>
                </m:barPr>
                <m:e>
                  <m:r>
                    <m:t>z</m:t>
                  </m:r>
                </m:e>
              </m:bar>
            </m:oMath>
            <w:r>
              <w:rPr>
                <w:b w:val="0"/>
                <w:sz w:val="20"/>
              </w:rPr>
              <w:t xml:space="preserve">,</w:t>
            </w:r>
            <w:r>
              <w:rPr>
                <w:b w:val="0"/>
                <w:sz w:val="20"/>
              </w:rPr>
              <w:t xml:space="preserve"> </w:t>
            </w:r>
            <m:oMath>
              <m:sSub>
                <m:e>
                  <m:r>
                    <m:t>s</m:t>
                  </m:r>
                </m:e>
                <m:sub>
                  <m:r>
                    <m:t>z</m:t>
                  </m:r>
                </m:sub>
              </m:sSub>
            </m:oMath>
          </w:p>
        </w:tc>
        <w:tc>
          <w:tcPr>
            <w:tcW w:type="dxa" w:w="4884"/>
            <w:vAlign w:val="center"/>
          </w:tcPr>
          <w:p>
            <w:pPr>
              <w:pStyle w:val="Compact"/>
              <w:keepNext w:val="0"/>
              <w:keepLines/>
              <w:spacing w:after="40" w:before="40" w:line="252" w:lineRule="auto"/>
              <w:jc w:val="left"/>
            </w:pPr>
            <w:r>
              <w:rPr>
                <w:b w:val="0"/>
                <w:sz w:val="20"/>
              </w:rPr>
              <w:t xml:space="preserve">Repetition-level performance scalar, its mean and sample SD</w:t>
            </w:r>
          </w:p>
        </w:tc>
        <w:tc>
          <w:tcPr>
            <w:tcW w:type="dxa" w:w="2490"/>
            <w:vAlign w:val="center"/>
          </w:tcPr>
          <w:p>
            <w:pPr>
              <w:pStyle w:val="Compact"/>
              <w:keepNext w:val="0"/>
              <w:keepLines/>
              <w:spacing w:after="40" w:before="40" w:line="252" w:lineRule="auto"/>
              <w:jc w:val="left"/>
            </w:pPr>
            <w:r>
              <w:rPr>
                <w:b w:val="0"/>
                <w:sz w:val="20"/>
              </w:rPr>
              <w:t xml:space="preserve">Units of the selected performance measure</w:t>
            </w:r>
          </w:p>
        </w:tc>
      </w:tr>
      <w:tr>
        <w:trPr>
          <w:cantSplit/>
        </w:trPr>
        <w:tc>
          <w:tcPr>
            <w:tcW w:type="dxa" w:w="2202"/>
            <w:vAlign w:val="center"/>
          </w:tcPr>
          <w:p>
            <w:pPr>
              <w:pStyle w:val="Compact"/>
              <w:keepNext w:val="0"/>
              <w:keepLines/>
              <w:spacing w:after="40" w:before="40" w:line="252" w:lineRule="auto"/>
              <w:jc w:val="left"/>
            </w:pPr>
            <m:oMath>
              <m:sSub>
                <m:e>
                  <m:r>
                    <m:t>Δ</m:t>
                  </m:r>
                </m:e>
                <m:sub>
                  <m:r>
                    <m:t>ν</m:t>
                  </m:r>
                </m:sub>
              </m:sSub>
            </m:oMath>
            <w:r>
              <w:rPr>
                <w:b w:val="0"/>
                <w:sz w:val="20"/>
              </w:rPr>
              <w:t xml:space="preserve">,</w:t>
            </w:r>
            <w:r>
              <w:rPr>
                <w:b w:val="0"/>
                <w:sz w:val="20"/>
              </w:rPr>
              <w:t xml:space="preserve"> </w:t>
            </w:r>
            <m:oMath>
              <m:bar>
                <m:barPr>
                  <m:pos m:val="top"/>
                </m:barPr>
                <m:e>
                  <m:r>
                    <m:t>Δ</m:t>
                  </m:r>
                </m:e>
              </m:bar>
            </m:oMath>
          </w:p>
        </w:tc>
        <w:tc>
          <w:tcPr>
            <w:tcW w:type="dxa" w:w="4884"/>
            <w:vAlign w:val="center"/>
          </w:tcPr>
          <w:p>
            <w:pPr>
              <w:pStyle w:val="Compact"/>
              <w:keepNext w:val="0"/>
              <w:keepLines/>
              <w:spacing w:after="40" w:before="40" w:line="252" w:lineRule="auto"/>
              <w:jc w:val="left"/>
            </w:pPr>
            <w:r>
              <w:rPr>
                <w:b w:val="0"/>
                <w:sz w:val="20"/>
              </w:rPr>
              <w:t xml:space="preserve">Paired difference and its mean across repetitions</w:t>
            </w:r>
          </w:p>
        </w:tc>
        <w:tc>
          <w:tcPr>
            <w:tcW w:type="dxa" w:w="2490"/>
            <w:vAlign w:val="center"/>
          </w:tcPr>
          <w:p>
            <w:pPr>
              <w:pStyle w:val="Compact"/>
              <w:keepNext w:val="0"/>
              <w:keepLines/>
              <w:spacing w:after="40" w:before="40" w:line="252" w:lineRule="auto"/>
              <w:jc w:val="left"/>
            </w:pPr>
            <w:r>
              <w:rPr>
                <w:b w:val="0"/>
                <w:sz w:val="20"/>
              </w:rPr>
              <w:t xml:space="preserve">Same as</w:t>
            </w:r>
            <w:r>
              <w:rPr>
                <w:b w:val="0"/>
                <w:sz w:val="20"/>
              </w:rPr>
              <w:t xml:space="preserve"> </w:t>
            </w:r>
            <m:oMath>
              <m:sSub>
                <m:e>
                  <m:r>
                    <m:t>z</m:t>
                  </m:r>
                </m:e>
                <m:sub>
                  <m:r>
                    <m:t>ν</m:t>
                  </m:r>
                </m:sub>
              </m:sSub>
            </m:oMath>
          </w:p>
        </w:tc>
      </w:tr>
      <w:tr>
        <w:trPr>
          <w:cantSplit/>
        </w:trPr>
        <w:tc>
          <w:tcPr>
            <w:tcW w:type="dxa" w:w="2202"/>
            <w:vAlign w:val="center"/>
          </w:tcPr>
          <w:p>
            <w:pPr>
              <w:pStyle w:val="Compact"/>
              <w:keepNext w:val="0"/>
              <w:keepLines/>
              <w:spacing w:after="40" w:before="40" w:line="252" w:lineRule="auto"/>
              <w:jc w:val="left"/>
            </w:pPr>
            <m:oMath>
              <m:r>
                <m:rPr>
                  <m:sty m:val="p"/>
                </m:rPr>
                <m:t>MCSE</m:t>
              </m:r>
            </m:oMath>
          </w:p>
        </w:tc>
        <w:tc>
          <w:tcPr>
            <w:tcW w:type="dxa" w:w="4884"/>
            <w:vAlign w:val="center"/>
          </w:tcPr>
          <w:p>
            <w:pPr>
              <w:pStyle w:val="Compact"/>
              <w:keepNext w:val="0"/>
              <w:keepLines/>
              <w:spacing w:after="40" w:before="40" w:line="252" w:lineRule="auto"/>
              <w:jc w:val="left"/>
            </w:pPr>
            <w:r>
              <w:rPr>
                <w:b w:val="0"/>
                <w:sz w:val="20"/>
              </w:rPr>
              <w:t xml:space="preserve">Standard error due to a finite simulation repetition count</w:t>
            </w:r>
          </w:p>
        </w:tc>
        <w:tc>
          <w:tcPr>
            <w:tcW w:type="dxa" w:w="2490"/>
            <w:vAlign w:val="center"/>
          </w:tcPr>
          <w:p>
            <w:pPr>
              <w:pStyle w:val="Compact"/>
              <w:keepNext w:val="0"/>
              <w:keepLines/>
              <w:spacing w:after="40" w:before="40" w:line="252" w:lineRule="auto"/>
              <w:jc w:val="left"/>
            </w:pPr>
            <w:r>
              <w:rPr>
                <w:b w:val="0"/>
                <w:sz w:val="20"/>
              </w:rPr>
              <w:t xml:space="preserve">Units of the estimated summary</w:t>
            </w:r>
          </w:p>
        </w:tc>
      </w:tr>
      <w:tr>
        <w:trPr>
          <w:cantSplit/>
        </w:trPr>
        <w:tc>
          <w:tcPr>
            <w:tcW w:type="dxa" w:w="2202"/>
            <w:vAlign w:val="center"/>
          </w:tcPr>
          <w:p>
            <w:pPr>
              <w:pStyle w:val="Compact"/>
              <w:keepNext w:val="0"/>
              <w:keepLines/>
              <w:spacing w:after="40" w:before="40" w:line="252" w:lineRule="auto"/>
              <w:jc w:val="left"/>
            </w:pPr>
            <m:oMath>
              <m:r>
                <m:t>λ</m:t>
              </m:r>
            </m:oMath>
          </w:p>
        </w:tc>
        <w:tc>
          <w:tcPr>
            <w:tcW w:type="dxa" w:w="4884"/>
            <w:vAlign w:val="center"/>
          </w:tcPr>
          <w:p>
            <w:pPr>
              <w:pStyle w:val="Compact"/>
              <w:keepNext w:val="0"/>
              <w:keepLines/>
              <w:spacing w:after="40" w:before="40" w:line="252" w:lineRule="auto"/>
              <w:jc w:val="left"/>
            </w:pPr>
            <w:r>
              <w:rPr>
                <w:b w:val="0"/>
                <w:sz w:val="20"/>
              </w:rPr>
              <w:t xml:space="preserve">Smoothing penalty coefficient in the specified scaled objective</w:t>
            </w:r>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r>
                <m:t>Λ</m:t>
              </m:r>
            </m:oMath>
            <w:r>
              <w:rPr>
                <w:b w:val="0"/>
                <w:sz w:val="20"/>
              </w:rPr>
              <w:t xml:space="preserve">,</w:t>
            </w:r>
            <w:r>
              <w:rPr>
                <w:b w:val="0"/>
                <w:sz w:val="20"/>
              </w:rPr>
              <w:t xml:space="preserve"> </w:t>
            </w:r>
            <m:oMath>
              <m:acc>
                <m:accPr>
                  <m:chr m:val="̂"/>
                </m:accPr>
                <m:e>
                  <m:r>
                    <m:t>λ</m:t>
                  </m:r>
                </m:e>
              </m:acc>
            </m:oMath>
          </w:p>
        </w:tc>
        <w:tc>
          <w:tcPr>
            <w:tcW w:type="dxa" w:w="4884"/>
            <w:vAlign w:val="center"/>
          </w:tcPr>
          <w:p>
            <w:pPr>
              <w:pStyle w:val="Compact"/>
              <w:keepNext w:val="0"/>
              <w:keepLines/>
              <w:spacing w:after="40" w:before="40" w:line="252" w:lineRule="auto"/>
              <w:jc w:val="left"/>
            </w:pPr>
            <w:r>
              <w:rPr>
                <w:b w:val="0"/>
                <w:sz w:val="20"/>
              </w:rPr>
              <w:t xml:space="preserve">Declared candidate set and selected smoothing coefficient</w:t>
            </w:r>
          </w:p>
        </w:tc>
        <w:tc>
          <w:tcPr>
            <w:tcW w:type="dxa" w:w="2490"/>
            <w:vAlign w:val="center"/>
          </w:tcPr>
          <w:p>
            <w:pPr>
              <w:pStyle w:val="Compact"/>
              <w:keepNext w:val="0"/>
              <w:keepLines/>
              <w:spacing w:after="40" w:before="40" w:line="252" w:lineRule="auto"/>
              <w:jc w:val="left"/>
            </w:pPr>
            <w:r>
              <w:rPr>
                <w:b w:val="0"/>
                <w:sz w:val="20"/>
              </w:rPr>
              <w:t xml:space="preserve">Set of dimensionless values; dimensionless</w:t>
            </w:r>
          </w:p>
        </w:tc>
      </w:tr>
      <w:tr>
        <w:trPr>
          <w:cantSplit/>
        </w:trPr>
        <w:tc>
          <w:tcPr>
            <w:tcW w:type="dxa" w:w="2202"/>
            <w:vAlign w:val="center"/>
          </w:tcPr>
          <w:p>
            <w:pPr>
              <w:pStyle w:val="Compact"/>
              <w:keepNext w:val="0"/>
              <w:keepLines/>
              <w:spacing w:after="40" w:before="40" w:line="252" w:lineRule="auto"/>
              <w:jc w:val="left"/>
            </w:pPr>
            <m:oMath>
              <m:r>
                <m:t>k</m:t>
              </m:r>
            </m:oMath>
            <w:r>
              <w:rPr>
                <w:b w:val="0"/>
                <w:sz w:val="20"/>
              </w:rPr>
              <w:t xml:space="preserve">,</w:t>
            </w:r>
            <w:r>
              <w:rPr>
                <w:b w:val="0"/>
                <w:sz w:val="20"/>
              </w:rPr>
              <w:t xml:space="preserve"> </w:t>
            </w:r>
            <m:oMath>
              <m:sSub>
                <m:e>
                  <m:r>
                    <m:rPr>
                      <m:sty m:val="p"/>
                      <m:scr m:val="script"/>
                    </m:rPr>
                    <m:t>H</m:t>
                  </m:r>
                </m:e>
                <m:sub>
                  <m:r>
                    <m:t>k</m:t>
                  </m:r>
                </m:sub>
              </m:sSub>
            </m:oMath>
          </w:p>
        </w:tc>
        <w:tc>
          <w:tcPr>
            <w:tcW w:type="dxa" w:w="4884"/>
            <w:vAlign w:val="center"/>
          </w:tcPr>
          <w:p>
            <w:pPr>
              <w:pStyle w:val="Compact"/>
              <w:keepNext w:val="0"/>
              <w:keepLines/>
              <w:spacing w:after="40" w:before="40" w:line="252" w:lineRule="auto"/>
              <w:jc w:val="left"/>
            </w:pPr>
            <w:r>
              <w:rPr>
                <w:b w:val="0"/>
                <w:sz w:val="20"/>
              </w:rPr>
              <w:t xml:space="preserve">Validation-fold index and its held-out quote positions</w:t>
            </w:r>
          </w:p>
        </w:tc>
        <w:tc>
          <w:tcPr>
            <w:tcW w:type="dxa" w:w="2490"/>
            <w:vAlign w:val="center"/>
          </w:tcPr>
          <w:p>
            <w:pPr>
              <w:pStyle w:val="Compact"/>
              <w:keepNext w:val="0"/>
              <w:keepLines/>
              <w:spacing w:after="40" w:before="40" w:line="252" w:lineRule="auto"/>
              <w:jc w:val="left"/>
            </w:pPr>
            <w:r>
              <w:rPr>
                <w:b w:val="0"/>
                <w:sz w:val="20"/>
              </w:rPr>
              <w:t xml:space="preserve">Count; index set</w:t>
            </w:r>
          </w:p>
        </w:tc>
      </w:tr>
      <w:tr>
        <w:trPr>
          <w:cantSplit/>
        </w:trPr>
        <w:tc>
          <w:tcPr>
            <w:tcW w:type="dxa" w:w="2202"/>
            <w:vAlign w:val="center"/>
          </w:tcPr>
          <w:p>
            <w:pPr>
              <w:pStyle w:val="Compact"/>
              <w:keepNext w:val="0"/>
              <w:keepLines/>
              <w:spacing w:after="40" w:before="40" w:line="252" w:lineRule="auto"/>
              <w:jc w:val="left"/>
            </w:pPr>
            <m:oMath>
              <m:sSubSup>
                <m:e>
                  <m:acc>
                    <m:accPr>
                      <m:chr m:val="̂"/>
                    </m:accPr>
                    <m:e>
                      <m:r>
                        <m:t>C</m:t>
                      </m:r>
                    </m:e>
                  </m:acc>
                </m:e>
                <m:sub>
                  <m:r>
                    <m:t>m</m:t>
                  </m:r>
                  <m:r>
                    <m:rPr>
                      <m:sty m:val="p"/>
                    </m:rPr>
                    <m:t>,</m:t>
                  </m:r>
                  <m:r>
                    <m:t>λ</m:t>
                  </m:r>
                </m:sub>
                <m:sup>
                  <m:d>
                    <m:dPr>
                      <m:begChr m:val="("/>
                      <m:endChr m:val=")"/>
                      <m:sepChr m:val=""/>
                      <m:grow/>
                    </m:dPr>
                    <m:e>
                      <m:r>
                        <m:rPr>
                          <m:sty m:val="p"/>
                        </m:rPr>
                        <m:t>−</m:t>
                      </m:r>
                      <m:r>
                        <m:t>k</m:t>
                      </m:r>
                    </m:e>
                  </m:d>
                </m:sup>
              </m:sSubSup>
            </m:oMath>
          </w:p>
        </w:tc>
        <w:tc>
          <w:tcPr>
            <w:tcW w:type="dxa" w:w="4884"/>
            <w:vAlign w:val="center"/>
          </w:tcPr>
          <w:p>
            <w:pPr>
              <w:pStyle w:val="Compact"/>
              <w:keepNext w:val="0"/>
              <w:keepLines/>
              <w:spacing w:after="40" w:before="40" w:line="252" w:lineRule="auto"/>
              <w:jc w:val="left"/>
            </w:pPr>
            <w:r>
              <w:rPr>
                <w:b w:val="0"/>
                <w:sz w:val="20"/>
              </w:rPr>
              <w:t xml:space="preserve">Call-price fit trained without fold</w:t>
            </w:r>
            <w:r>
              <w:rPr>
                <w:b w:val="0"/>
                <w:sz w:val="20"/>
              </w:rPr>
              <w:t xml:space="preserve"> </w:t>
            </w:r>
            <m:oMath>
              <m:r>
                <m:t>k</m:t>
              </m:r>
            </m:oMath>
            <w:r>
              <w:rPr>
                <w:b w:val="0"/>
                <w:sz w:val="20"/>
              </w:rPr>
              <w:t xml:space="preserve"> </w:t>
            </w:r>
            <w:r>
              <w:rPr>
                <w:b w:val="0"/>
                <w:sz w:val="20"/>
              </w:rPr>
              <w:t xml:space="preserve">at maturity</w:t>
            </w:r>
            <w:r>
              <w:rPr>
                <w:b w:val="0"/>
                <w:sz w:val="20"/>
              </w:rPr>
              <w:t xml:space="preserve"> </w:t>
            </w:r>
            <m:oMath>
              <m:r>
                <m:t>m</m:t>
              </m:r>
            </m:oMath>
          </w:p>
        </w:tc>
        <w:tc>
          <w:tcPr>
            <w:tcW w:type="dxa" w:w="2490"/>
            <w:vAlign w:val="center"/>
          </w:tcPr>
          <w:p>
            <w:pPr>
              <w:pStyle w:val="Compact"/>
              <w:keepNext w:val="0"/>
              <w:keepLines/>
              <w:spacing w:after="40" w:before="40" w:line="252" w:lineRule="auto"/>
              <w:jc w:val="left"/>
            </w:pPr>
            <w:r>
              <w:rPr>
                <w:b w:val="0"/>
                <w:sz w:val="20"/>
              </w:rPr>
              <w:t xml:space="preserve">Index points</w:t>
            </w:r>
          </w:p>
        </w:tc>
      </w:tr>
      <w:tr>
        <w:trPr>
          <w:cantSplit/>
        </w:trPr>
        <w:tc>
          <w:tcPr>
            <w:tcW w:type="dxa" w:w="2202"/>
            <w:vAlign w:val="center"/>
          </w:tcPr>
          <w:p>
            <w:pPr>
              <w:pStyle w:val="Compact"/>
              <w:keepNext w:val="0"/>
              <w:keepLines/>
              <w:spacing w:after="40" w:before="40" w:line="252" w:lineRule="auto"/>
              <w:jc w:val="left"/>
            </w:pPr>
            <m:oMath>
              <m:r>
                <m:rPr>
                  <m:sty m:val="p"/>
                </m:rPr>
                <m:t>CV</m:t>
              </m:r>
              <m:d>
                <m:dPr>
                  <m:begChr m:val="("/>
                  <m:endChr m:val=")"/>
                  <m:sepChr m:val=""/>
                  <m:grow/>
                </m:dPr>
                <m:e>
                  <m:r>
                    <m:t>λ</m:t>
                  </m:r>
                </m:e>
              </m:d>
            </m:oMath>
          </w:p>
        </w:tc>
        <w:tc>
          <w:tcPr>
            <w:tcW w:type="dxa" w:w="4884"/>
            <w:vAlign w:val="center"/>
          </w:tcPr>
          <w:p>
            <w:pPr>
              <w:pStyle w:val="Compact"/>
              <w:keepNext w:val="0"/>
              <w:keepLines/>
              <w:spacing w:after="40" w:before="40" w:line="252" w:lineRule="auto"/>
              <w:jc w:val="left"/>
            </w:pPr>
            <w:r>
              <w:rPr>
                <w:b w:val="0"/>
                <w:sz w:val="20"/>
              </w:rPr>
              <w:t xml:space="preserve">Pooled mean squared noisy-price residual after forward scaling</w:t>
            </w:r>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r>
                <m:t>ε</m:t>
              </m:r>
            </m:oMath>
          </w:p>
        </w:tc>
        <w:tc>
          <w:tcPr>
            <w:tcW w:type="dxa" w:w="4884"/>
            <w:vAlign w:val="center"/>
          </w:tcPr>
          <w:p>
            <w:pPr>
              <w:pStyle w:val="Compact"/>
              <w:keepNext w:val="0"/>
              <w:keepLines/>
              <w:spacing w:after="40" w:before="40" w:line="252" w:lineRule="auto"/>
              <w:jc w:val="left"/>
            </w:pPr>
            <w:r>
              <w:rPr>
                <w:b w:val="0"/>
                <w:sz w:val="20"/>
              </w:rPr>
              <w:t xml:space="preserve">Relative supplied-forward error in the stress experiment</w:t>
            </w:r>
          </w:p>
        </w:tc>
        <w:tc>
          <w:tcPr>
            <w:tcW w:type="dxa" w:w="2490"/>
            <w:vAlign w:val="center"/>
          </w:tcPr>
          <w:p>
            <w:pPr>
              <w:pStyle w:val="Compact"/>
              <w:keepNext w:val="0"/>
              <w:keepLines/>
              <w:spacing w:after="40" w:before="40" w:line="252" w:lineRule="auto"/>
              <w:jc w:val="left"/>
            </w:pPr>
            <w:r>
              <w:rPr>
                <w:b w:val="0"/>
                <w:sz w:val="20"/>
              </w:rPr>
              <w:t xml:space="preserve">Dimensionless; optionally displayed as a percentage</w:t>
            </w:r>
          </w:p>
        </w:tc>
      </w:tr>
      <w:tr>
        <w:trPr>
          <w:cantSplit/>
        </w:trPr>
        <w:tc>
          <w:tcPr>
            <w:tcW w:type="dxa" w:w="2202"/>
            <w:vAlign w:val="center"/>
          </w:tcPr>
          <w:p>
            <w:pPr>
              <w:pStyle w:val="Compact"/>
              <w:keepNext w:val="0"/>
              <w:keepLines/>
              <w:spacing w:after="40" w:before="40" w:line="252" w:lineRule="auto"/>
              <w:jc w:val="left"/>
            </w:pPr>
            <m:oMath>
              <m:sSubSup>
                <m:e>
                  <m:acc>
                    <m:accPr>
                      <m:chr m:val="̃"/>
                    </m:accPr>
                    <m:e>
                      <m:r>
                        <m:t>F</m:t>
                      </m:r>
                    </m:e>
                  </m:acc>
                </m:e>
                <m:sub>
                  <m:r>
                    <m:t>m</m:t>
                  </m:r>
                </m:sub>
                <m:sup>
                  <m:d>
                    <m:dPr>
                      <m:begChr m:val="("/>
                      <m:endChr m:val=")"/>
                      <m:sepChr m:val=""/>
                      <m:grow/>
                    </m:dPr>
                    <m:e>
                      <m:r>
                        <m:t>ε</m:t>
                      </m:r>
                    </m:e>
                  </m:d>
                </m:sup>
              </m:sSubSup>
            </m:oMath>
          </w:p>
        </w:tc>
        <w:tc>
          <w:tcPr>
            <w:tcW w:type="dxa" w:w="4884"/>
            <w:vAlign w:val="center"/>
          </w:tcPr>
          <w:p>
            <w:pPr>
              <w:pStyle w:val="Compact"/>
              <w:keepNext w:val="0"/>
              <w:keepLines/>
              <w:spacing w:after="40" w:before="40" w:line="252" w:lineRule="auto"/>
              <w:jc w:val="left"/>
            </w:pPr>
            <w:r>
              <w:rPr>
                <w:b w:val="0"/>
                <w:sz w:val="20"/>
              </w:rPr>
              <w:t xml:space="preserve">Forward supplied to the stressed fit</w:t>
            </w:r>
          </w:p>
        </w:tc>
        <w:tc>
          <w:tcPr>
            <w:tcW w:type="dxa" w:w="2490"/>
            <w:vAlign w:val="center"/>
          </w:tcPr>
          <w:p>
            <w:pPr>
              <w:pStyle w:val="Compact"/>
              <w:keepNext w:val="0"/>
              <w:keepLines/>
              <w:spacing w:after="40" w:before="40" w:line="252" w:lineRule="auto"/>
              <w:jc w:val="left"/>
            </w:pPr>
            <w:r>
              <w:rPr>
                <w:b w:val="0"/>
                <w:sz w:val="20"/>
              </w:rPr>
              <w:t xml:space="preserve">Index points</w:t>
            </w:r>
          </w:p>
        </w:tc>
      </w:tr>
      <w:tr>
        <w:trPr>
          <w:cantSplit/>
        </w:trPr>
        <w:tc>
          <w:tcPr>
            <w:tcW w:type="dxa" w:w="2202"/>
            <w:vAlign w:val="center"/>
          </w:tcPr>
          <w:p>
            <w:pPr>
              <w:pStyle w:val="Compact"/>
              <w:keepNext w:val="0"/>
              <w:keepLines/>
              <w:spacing w:after="40" w:before="40" w:line="252" w:lineRule="auto"/>
              <w:jc w:val="left"/>
            </w:pPr>
            <m:oMath>
              <m:sSubSup>
                <m:e>
                  <m:acc>
                    <m:accPr>
                      <m:chr m:val="̂"/>
                    </m:accPr>
                    <m:e>
                      <m:r>
                        <m:t>g</m:t>
                      </m:r>
                    </m:e>
                  </m:acc>
                </m:e>
                <m:sub>
                  <m:r>
                    <m:t>m</m:t>
                  </m:r>
                </m:sub>
                <m:sup>
                  <m:d>
                    <m:dPr>
                      <m:begChr m:val="("/>
                      <m:endChr m:val=")"/>
                      <m:sepChr m:val=""/>
                      <m:grow/>
                    </m:dPr>
                    <m:e>
                      <m:r>
                        <m:t>ε</m:t>
                      </m:r>
                    </m:e>
                  </m:d>
                  <m:r>
                    <m:rPr>
                      <m:sty m:val="p"/>
                    </m:rPr>
                    <m:t>,</m:t>
                  </m:r>
                  <m:r>
                    <m:rPr>
                      <m:sty m:val="p"/>
                    </m:rPr>
                    <m:t>r</m:t>
                  </m:r>
                  <m:r>
                    <m:rPr>
                      <m:sty m:val="p"/>
                    </m:rPr>
                    <m:t>e</m:t>
                  </m:r>
                  <m:r>
                    <m:rPr>
                      <m:sty m:val="p"/>
                    </m:rPr>
                    <m:t>f</m:t>
                  </m:r>
                </m:sup>
              </m:sSubSup>
            </m:oMath>
          </w:p>
        </w:tc>
        <w:tc>
          <w:tcPr>
            <w:tcW w:type="dxa" w:w="4884"/>
            <w:vAlign w:val="center"/>
          </w:tcPr>
          <w:p>
            <w:pPr>
              <w:pStyle w:val="Compact"/>
              <w:keepNext w:val="0"/>
              <w:keepLines/>
              <w:spacing w:after="40" w:before="40" w:line="252" w:lineRule="auto"/>
              <w:jc w:val="left"/>
            </w:pPr>
            <w:r>
              <w:rPr>
                <w:b w:val="0"/>
                <w:sz w:val="20"/>
              </w:rPr>
              <w:t xml:space="preserve">Stressed fitted density expressed using the fixed reference forward</w:t>
            </w:r>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sSubSup>
                <m:e>
                  <m:acc>
                    <m:accPr>
                      <m:chr m:val="̂"/>
                    </m:accPr>
                    <m:e>
                      <m:r>
                        <m:t>p</m:t>
                      </m:r>
                    </m:e>
                  </m:acc>
                </m:e>
                <m:sub>
                  <m:r>
                    <m:t>1.8</m:t>
                  </m:r>
                  <m:r>
                    <m:rPr>
                      <m:sty m:val="p"/>
                    </m:rPr>
                    <m:t>,</m:t>
                  </m:r>
                  <m:r>
                    <m:t>m</m:t>
                  </m:r>
                </m:sub>
                <m:sup>
                  <m:d>
                    <m:dPr>
                      <m:begChr m:val="("/>
                      <m:endChr m:val=")"/>
                      <m:sepChr m:val=""/>
                      <m:grow/>
                    </m:dPr>
                    <m:e>
                      <m:r>
                        <m:t>ε</m:t>
                      </m:r>
                    </m:e>
                  </m:d>
                </m:sup>
              </m:sSubSup>
            </m:oMath>
          </w:p>
        </w:tc>
        <w:tc>
          <w:tcPr>
            <w:tcW w:type="dxa" w:w="4884"/>
            <w:vAlign w:val="center"/>
          </w:tcPr>
          <w:p>
            <w:pPr>
              <w:pStyle w:val="Compact"/>
              <w:keepNext w:val="0"/>
              <w:keepLines/>
              <w:spacing w:after="40" w:before="40" w:line="252" w:lineRule="auto"/>
              <w:jc w:val="left"/>
            </w:pPr>
            <w:r>
              <w:rPr>
                <w:b w:val="0"/>
                <w:sz w:val="20"/>
              </w:rPr>
              <w:t xml:space="preserve">Stressed fitted probability above the fixed physical level</w:t>
            </w:r>
            <w:r>
              <w:rPr>
                <w:b w:val="0"/>
                <w:sz w:val="20"/>
              </w:rPr>
              <w:t xml:space="preserve"> </w:t>
            </w:r>
            <m:oMath>
              <m:r>
                <m:t>1.8</m:t>
              </m:r>
              <m:sSub>
                <m:e>
                  <m:r>
                    <m:t>F</m:t>
                  </m:r>
                </m:e>
                <m:sub>
                  <m:r>
                    <m:t>m</m:t>
                  </m:r>
                </m:sub>
              </m:sSub>
            </m:oMath>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sSub>
                <m:e>
                  <m:r>
                    <m:t>D</m:t>
                  </m:r>
                </m:e>
                <m:sub>
                  <m:r>
                    <m:t>m</m:t>
                  </m:r>
                </m:sub>
              </m:sSub>
            </m:oMath>
          </w:p>
        </w:tc>
        <w:tc>
          <w:tcPr>
            <w:tcW w:type="dxa" w:w="4884"/>
            <w:vAlign w:val="center"/>
          </w:tcPr>
          <w:p>
            <w:pPr>
              <w:pStyle w:val="Compact"/>
              <w:keepNext w:val="0"/>
              <w:keepLines/>
              <w:spacing w:after="40" w:before="40" w:line="252" w:lineRule="auto"/>
              <w:jc w:val="left"/>
            </w:pPr>
            <w:r>
              <w:rPr>
                <w:b w:val="0"/>
                <w:sz w:val="20"/>
              </w:rPr>
              <w:t xml:space="preserve">Discount factor at maturity</w:t>
            </w:r>
            <w:r>
              <w:rPr>
                <w:b w:val="0"/>
                <w:sz w:val="20"/>
              </w:rPr>
              <w:t xml:space="preserve"> </w:t>
            </w:r>
            <m:oMath>
              <m:sSub>
                <m:e>
                  <m:r>
                    <m:t>T</m:t>
                  </m:r>
                </m:e>
                <m:sub>
                  <m:r>
                    <m:t>m</m:t>
                  </m:r>
                </m:sub>
              </m:sSub>
            </m:oMath>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sSubSup>
                <m:e>
                  <m:r>
                    <m:rPr>
                      <m:sty m:val="p"/>
                    </m:rPr>
                    <m:t>ℓ</m:t>
                  </m:r>
                </m:e>
                <m:sub>
                  <m:r>
                    <m:t>m</m:t>
                  </m:r>
                  <m:r>
                    <m:t>i</m:t>
                  </m:r>
                </m:sub>
                <m:sup>
                  <m:r>
                    <m:t>F</m:t>
                  </m:r>
                </m:sup>
              </m:sSubSup>
            </m:oMath>
            <w:r>
              <w:rPr>
                <w:b w:val="0"/>
                <w:sz w:val="20"/>
              </w:rPr>
              <w:t xml:space="preserve">,</w:t>
            </w:r>
            <w:r>
              <w:rPr>
                <w:b w:val="0"/>
                <w:sz w:val="20"/>
              </w:rPr>
              <w:t xml:space="preserve"> </w:t>
            </w:r>
            <m:oMath>
              <m:sSubSup>
                <m:e>
                  <m:r>
                    <m:t>u</m:t>
                  </m:r>
                </m:e>
                <m:sub>
                  <m:r>
                    <m:t>m</m:t>
                  </m:r>
                  <m:r>
                    <m:t>i</m:t>
                  </m:r>
                </m:sub>
                <m:sup>
                  <m:r>
                    <m:t>F</m:t>
                  </m:r>
                </m:sup>
              </m:sSubSup>
            </m:oMath>
          </w:p>
        </w:tc>
        <w:tc>
          <w:tcPr>
            <w:tcW w:type="dxa" w:w="4884"/>
            <w:vAlign w:val="center"/>
          </w:tcPr>
          <w:p>
            <w:pPr>
              <w:pStyle w:val="Compact"/>
              <w:keepNext w:val="0"/>
              <w:keepLines/>
              <w:spacing w:after="40" w:before="40" w:line="252" w:lineRule="auto"/>
              <w:jc w:val="left"/>
            </w:pPr>
            <w:r>
              <w:rPr>
                <w:b w:val="0"/>
                <w:sz w:val="20"/>
              </w:rPr>
              <w:t xml:space="preserve">Lower and upper conditional forward bounds from matched pair</w:t>
            </w:r>
            <w:r>
              <w:rPr>
                <w:b w:val="0"/>
                <w:sz w:val="20"/>
              </w:rPr>
              <w:t xml:space="preserve"> </w:t>
            </w:r>
            <m:oMath>
              <m:r>
                <m:t>i</m:t>
              </m:r>
            </m:oMath>
          </w:p>
        </w:tc>
        <w:tc>
          <w:tcPr>
            <w:tcW w:type="dxa" w:w="2490"/>
            <w:vAlign w:val="center"/>
          </w:tcPr>
          <w:p>
            <w:pPr>
              <w:pStyle w:val="Compact"/>
              <w:keepNext w:val="0"/>
              <w:keepLines/>
              <w:spacing w:after="40" w:before="40" w:line="252" w:lineRule="auto"/>
              <w:jc w:val="left"/>
            </w:pPr>
            <w:r>
              <w:rPr>
                <w:b w:val="0"/>
                <w:sz w:val="20"/>
              </w:rPr>
              <w:t xml:space="preserve">Index points</w:t>
            </w:r>
          </w:p>
        </w:tc>
      </w:tr>
      <w:tr>
        <w:trPr>
          <w:cantSplit/>
        </w:trPr>
        <w:tc>
          <w:tcPr>
            <w:tcW w:type="dxa" w:w="2202"/>
            <w:vAlign w:val="center"/>
          </w:tcPr>
          <w:p>
            <w:pPr>
              <w:pStyle w:val="Compact"/>
              <w:keepNext w:val="0"/>
              <w:keepLines/>
              <w:spacing w:after="40" w:before="40" w:line="252" w:lineRule="auto"/>
              <w:jc w:val="left"/>
            </w:pPr>
            <m:oMath>
              <m:sSub>
                <m:e>
                  <m:bar>
                    <m:barPr>
                      <m:pos m:val="bot"/>
                    </m:barPr>
                    <m:e>
                      <m:r>
                        <m:t>F</m:t>
                      </m:r>
                    </m:e>
                  </m:bar>
                </m:e>
                <m:sub>
                  <m:r>
                    <m:t>m</m:t>
                  </m:r>
                </m:sub>
              </m:sSub>
            </m:oMath>
            <w:r>
              <w:rPr>
                <w:b w:val="0"/>
                <w:sz w:val="20"/>
              </w:rPr>
              <w:t xml:space="preserve">,</w:t>
            </w:r>
            <w:r>
              <w:rPr>
                <w:b w:val="0"/>
                <w:sz w:val="20"/>
              </w:rPr>
              <w:t xml:space="preserve"> </w:t>
            </w:r>
            <m:oMath>
              <m:sSub>
                <m:e>
                  <m:bar>
                    <m:barPr>
                      <m:pos m:val="top"/>
                    </m:barPr>
                    <m:e>
                      <m:r>
                        <m:t>F</m:t>
                      </m:r>
                    </m:e>
                  </m:bar>
                </m:e>
                <m:sub>
                  <m:r>
                    <m:t>m</m:t>
                  </m:r>
                </m:sub>
              </m:sSub>
            </m:oMath>
          </w:p>
        </w:tc>
        <w:tc>
          <w:tcPr>
            <w:tcW w:type="dxa" w:w="4884"/>
            <w:vAlign w:val="center"/>
          </w:tcPr>
          <w:p>
            <w:pPr>
              <w:pStyle w:val="Compact"/>
              <w:keepNext w:val="0"/>
              <w:keepLines/>
              <w:spacing w:after="40" w:before="40" w:line="252" w:lineRule="auto"/>
              <w:jc w:val="left"/>
            </w:pPr>
            <w:r>
              <w:rPr>
                <w:b w:val="0"/>
                <w:sz w:val="20"/>
              </w:rPr>
              <w:t xml:space="preserve">Largest pair lower bound and smallest pair upper bound</w:t>
            </w:r>
          </w:p>
        </w:tc>
        <w:tc>
          <w:tcPr>
            <w:tcW w:type="dxa" w:w="2490"/>
            <w:vAlign w:val="center"/>
          </w:tcPr>
          <w:p>
            <w:pPr>
              <w:pStyle w:val="Compact"/>
              <w:keepNext w:val="0"/>
              <w:keepLines/>
              <w:spacing w:after="40" w:before="40" w:line="252" w:lineRule="auto"/>
              <w:jc w:val="left"/>
            </w:pPr>
            <w:r>
              <w:rPr>
                <w:b w:val="0"/>
                <w:sz w:val="20"/>
              </w:rPr>
              <w:t xml:space="preserve">Index points</w:t>
            </w:r>
          </w:p>
        </w:tc>
      </w:tr>
      <w:tr>
        <w:trPr>
          <w:cantSplit/>
        </w:trPr>
        <w:tc>
          <w:tcPr>
            <w:tcW w:type="dxa" w:w="2202"/>
            <w:vAlign w:val="center"/>
          </w:tcPr>
          <w:p>
            <w:pPr>
              <w:pStyle w:val="Compact"/>
              <w:keepNext w:val="0"/>
              <w:keepLines/>
              <w:spacing w:after="40" w:before="40" w:line="252" w:lineRule="auto"/>
              <w:jc w:val="left"/>
            </w:pPr>
            <m:oMath>
              <m:sSub>
                <m:e>
                  <m:acc>
                    <m:accPr>
                      <m:chr m:val="̂"/>
                    </m:accPr>
                    <m:e>
                      <m:r>
                        <m:t>F</m:t>
                      </m:r>
                    </m:e>
                  </m:acc>
                </m:e>
                <m:sub>
                  <m:r>
                    <m:t>m</m:t>
                  </m:r>
                </m:sub>
              </m:sSub>
            </m:oMath>
            <w:r>
              <w:rPr>
                <w:b w:val="0"/>
                <w:sz w:val="20"/>
              </w:rPr>
              <w:t xml:space="preserve">,</w:t>
            </w:r>
            <w:r>
              <w:rPr>
                <w:b w:val="0"/>
                <w:sz w:val="20"/>
              </w:rPr>
              <w:t xml:space="preserve"> </w:t>
            </w:r>
            <m:oMath>
              <m:sSubSup>
                <m:e>
                  <m:acc>
                    <m:accPr>
                      <m:chr m:val="̂"/>
                    </m:accPr>
                    <m:e>
                      <m:r>
                        <m:t>F</m:t>
                      </m:r>
                    </m:e>
                  </m:acc>
                </m:e>
                <m:sub>
                  <m:r>
                    <m:t>m</m:t>
                  </m:r>
                </m:sub>
                <m:sup>
                  <m:d>
                    <m:dPr>
                      <m:begChr m:val="("/>
                      <m:endChr m:val=")"/>
                      <m:sepChr m:val=""/>
                      <m:grow/>
                    </m:dPr>
                    <m:e>
                      <m:r>
                        <m:rPr>
                          <m:sty m:val="p"/>
                        </m:rPr>
                        <m:t>−</m:t>
                      </m:r>
                      <m:r>
                        <m:t>k</m:t>
                      </m:r>
                    </m:e>
                  </m:d>
                </m:sup>
              </m:sSubSup>
            </m:oMath>
          </w:p>
        </w:tc>
        <w:tc>
          <w:tcPr>
            <w:tcW w:type="dxa" w:w="4884"/>
            <w:vAlign w:val="center"/>
          </w:tcPr>
          <w:p>
            <w:pPr>
              <w:pStyle w:val="Compact"/>
              <w:keepNext w:val="0"/>
              <w:keepLines/>
              <w:spacing w:after="40" w:before="40" w:line="252" w:lineRule="auto"/>
              <w:jc w:val="left"/>
            </w:pPr>
            <w:r>
              <w:rPr>
                <w:b w:val="0"/>
                <w:sz w:val="20"/>
              </w:rPr>
              <w:t xml:space="preserve">Declared forward point from all pairs or fold-</w:t>
            </w:r>
            <m:oMath>
              <m:r>
                <m:t>k</m:t>
              </m:r>
            </m:oMath>
            <w:r>
              <w:rPr>
                <w:b w:val="0"/>
                <w:sz w:val="20"/>
              </w:rPr>
              <w:t xml:space="preserve"> </w:t>
            </w:r>
            <w:r>
              <w:rPr>
                <w:b w:val="0"/>
                <w:sz w:val="20"/>
              </w:rPr>
              <w:t xml:space="preserve">training pairs only</w:t>
            </w:r>
          </w:p>
        </w:tc>
        <w:tc>
          <w:tcPr>
            <w:tcW w:type="dxa" w:w="2490"/>
            <w:vAlign w:val="center"/>
          </w:tcPr>
          <w:p>
            <w:pPr>
              <w:pStyle w:val="Compact"/>
              <w:keepNext w:val="0"/>
              <w:keepLines/>
              <w:spacing w:after="40" w:before="40" w:line="252" w:lineRule="auto"/>
              <w:jc w:val="left"/>
            </w:pPr>
            <w:r>
              <w:rPr>
                <w:b w:val="0"/>
                <w:sz w:val="20"/>
              </w:rPr>
              <w:t xml:space="preserve">Index points</w:t>
            </w:r>
          </w:p>
        </w:tc>
      </w:tr>
      <w:tr>
        <w:trPr>
          <w:cantSplit/>
        </w:trPr>
        <w:tc>
          <w:tcPr>
            <w:tcW w:type="dxa" w:w="2202"/>
            <w:vAlign w:val="center"/>
          </w:tcPr>
          <w:p>
            <w:pPr>
              <w:pStyle w:val="Compact"/>
              <w:keepNext w:val="0"/>
              <w:keepLines/>
              <w:spacing w:after="40" w:before="40" w:line="252" w:lineRule="auto"/>
              <w:jc w:val="left"/>
            </w:pPr>
            <m:oMath>
              <m:sSubSup>
                <m:e>
                  <m:r>
                    <m:t>s</m:t>
                  </m:r>
                </m:e>
                <m:sub>
                  <m:r>
                    <m:t>m</m:t>
                  </m:r>
                </m:sub>
                <m:sup>
                  <m:r>
                    <m:rPr>
                      <m:sty m:val="p"/>
                    </m:rPr>
                    <m:t>*</m:t>
                  </m:r>
                </m:sup>
              </m:sSubSup>
            </m:oMath>
          </w:p>
        </w:tc>
        <w:tc>
          <w:tcPr>
            <w:tcW w:type="dxa" w:w="4884"/>
            <w:vAlign w:val="center"/>
          </w:tcPr>
          <w:p>
            <w:pPr>
              <w:pStyle w:val="Compact"/>
              <w:keepNext w:val="0"/>
              <w:keepLines/>
              <w:spacing w:after="40" w:before="40" w:line="252" w:lineRule="auto"/>
              <w:jc w:val="left"/>
            </w:pPr>
            <w:r>
              <w:rPr>
                <w:b w:val="0"/>
                <w:sz w:val="20"/>
              </w:rPr>
              <w:t xml:space="preserve">Minimum common widening of forward intervals needed for intersection; diagnostic only</w:t>
            </w:r>
          </w:p>
        </w:tc>
        <w:tc>
          <w:tcPr>
            <w:tcW w:type="dxa" w:w="2490"/>
            <w:vAlign w:val="center"/>
          </w:tcPr>
          <w:p>
            <w:pPr>
              <w:pStyle w:val="Compact"/>
              <w:keepNext w:val="0"/>
              <w:keepLines/>
              <w:spacing w:after="40" w:before="40" w:line="252" w:lineRule="auto"/>
              <w:jc w:val="left"/>
            </w:pPr>
            <w:r>
              <w:rPr>
                <w:b w:val="0"/>
                <w:sz w:val="20"/>
              </w:rPr>
              <w:t xml:space="preserve">Index points</w:t>
            </w:r>
          </w:p>
        </w:tc>
      </w:tr>
      <w:tr>
        <w:trPr>
          <w:cantSplit/>
        </w:trPr>
        <w:tc>
          <w:tcPr>
            <w:tcW w:type="dxa" w:w="2202"/>
            <w:vAlign w:val="center"/>
          </w:tcPr>
          <w:p>
            <w:pPr>
              <w:pStyle w:val="Compact"/>
              <w:keepNext w:val="0"/>
              <w:keepLines/>
              <w:spacing w:after="40" w:before="40" w:line="252" w:lineRule="auto"/>
              <w:jc w:val="left"/>
            </w:pPr>
            <m:oMath>
              <m:sSub>
                <m:e>
                  <m:r>
                    <m:rPr>
                      <m:sty m:val="p"/>
                      <m:scr m:val="script"/>
                    </m:rPr>
                    <m:t>H</m:t>
                  </m:r>
                </m:e>
                <m:sub>
                  <m:r>
                    <m:t>k</m:t>
                  </m:r>
                  <m:r>
                    <m:t>m</m:t>
                  </m:r>
                </m:sub>
              </m:sSub>
            </m:oMath>
          </w:p>
        </w:tc>
        <w:tc>
          <w:tcPr>
            <w:tcW w:type="dxa" w:w="4884"/>
            <w:vAlign w:val="center"/>
          </w:tcPr>
          <w:p>
            <w:pPr>
              <w:pStyle w:val="Compact"/>
              <w:keepNext w:val="0"/>
              <w:keepLines/>
              <w:spacing w:after="40" w:before="40" w:line="252" w:lineRule="auto"/>
              <w:jc w:val="left"/>
            </w:pPr>
            <w:r>
              <w:rPr>
                <w:b w:val="0"/>
                <w:sz w:val="20"/>
              </w:rPr>
              <w:t xml:space="preserve">Pair positions held out in fold</w:t>
            </w:r>
            <w:r>
              <w:rPr>
                <w:b w:val="0"/>
                <w:sz w:val="20"/>
              </w:rPr>
              <w:t xml:space="preserve"> </w:t>
            </w:r>
            <m:oMath>
              <m:r>
                <m:t>k</m:t>
              </m:r>
            </m:oMath>
            <w:r>
              <w:rPr>
                <w:b w:val="0"/>
                <w:sz w:val="20"/>
              </w:rPr>
              <w:t xml:space="preserve"> </w:t>
            </w:r>
            <w:r>
              <w:rPr>
                <w:b w:val="0"/>
                <w:sz w:val="20"/>
              </w:rPr>
              <w:t xml:space="preserve">at maturity</w:t>
            </w:r>
            <w:r>
              <w:rPr>
                <w:b w:val="0"/>
                <w:sz w:val="20"/>
              </w:rPr>
              <w:t xml:space="preserve"> </w:t>
            </w:r>
            <m:oMath>
              <m:r>
                <m:t>m</m:t>
              </m:r>
            </m:oMath>
          </w:p>
        </w:tc>
        <w:tc>
          <w:tcPr>
            <w:tcW w:type="dxa" w:w="2490"/>
            <w:vAlign w:val="center"/>
          </w:tcPr>
          <w:p>
            <w:pPr>
              <w:pStyle w:val="Compact"/>
              <w:keepNext w:val="0"/>
              <w:keepLines/>
              <w:spacing w:after="40" w:before="40" w:line="252" w:lineRule="auto"/>
              <w:jc w:val="left"/>
            </w:pPr>
            <w:r>
              <w:rPr>
                <w:b w:val="0"/>
                <w:sz w:val="20"/>
              </w:rPr>
              <w:t xml:space="preserve">Index set</w:t>
            </w:r>
          </w:p>
        </w:tc>
      </w:tr>
      <w:tr>
        <w:trPr>
          <w:cantSplit/>
        </w:trPr>
        <w:tc>
          <w:tcPr>
            <w:tcW w:type="dxa" w:w="2202"/>
            <w:vAlign w:val="center"/>
          </w:tcPr>
          <w:p>
            <w:pPr>
              <w:pStyle w:val="Compact"/>
              <w:keepNext w:val="0"/>
              <w:keepLines/>
              <w:spacing w:after="40" w:before="40" w:line="252" w:lineRule="auto"/>
              <w:jc w:val="left"/>
            </w:pPr>
            <m:oMath>
              <m:sSubSup>
                <m:e>
                  <m:r>
                    <m:t>C</m:t>
                  </m:r>
                </m:e>
                <m:sub>
                  <m:r>
                    <m:t>m</m:t>
                  </m:r>
                  <m:r>
                    <m:t>i</m:t>
                  </m:r>
                </m:sub>
                <m:sup>
                  <m:r>
                    <m:rPr>
                      <m:sty m:val="p"/>
                    </m:rPr>
                    <m:t>m</m:t>
                  </m:r>
                  <m:r>
                    <m:rPr>
                      <m:sty m:val="p"/>
                    </m:rPr>
                    <m:t>i</m:t>
                  </m:r>
                  <m:r>
                    <m:rPr>
                      <m:sty m:val="p"/>
                    </m:rPr>
                    <m:t>d</m:t>
                  </m:r>
                </m:sup>
              </m:sSubSup>
            </m:oMath>
          </w:p>
        </w:tc>
        <w:tc>
          <w:tcPr>
            <w:tcW w:type="dxa" w:w="4884"/>
            <w:vAlign w:val="center"/>
          </w:tcPr>
          <w:p>
            <w:pPr>
              <w:pStyle w:val="Compact"/>
              <w:keepNext w:val="0"/>
              <w:keepLines/>
              <w:spacing w:after="40" w:before="40" w:line="252" w:lineRule="auto"/>
              <w:jc w:val="left"/>
            </w:pPr>
            <w:r>
              <w:rPr>
                <w:b w:val="0"/>
                <w:sz w:val="20"/>
              </w:rPr>
              <w:t xml:space="preserve">Observed or fixture call midpoint used for fitting/selection</w:t>
            </w:r>
          </w:p>
        </w:tc>
        <w:tc>
          <w:tcPr>
            <w:tcW w:type="dxa" w:w="2490"/>
            <w:vAlign w:val="center"/>
          </w:tcPr>
          <w:p>
            <w:pPr>
              <w:pStyle w:val="Compact"/>
              <w:keepNext w:val="0"/>
              <w:keepLines/>
              <w:spacing w:after="40" w:before="40" w:line="252" w:lineRule="auto"/>
              <w:jc w:val="left"/>
            </w:pPr>
            <w:r>
              <w:rPr>
                <w:b w:val="0"/>
                <w:sz w:val="20"/>
              </w:rPr>
              <w:t xml:space="preserve">Index points</w:t>
            </w:r>
          </w:p>
        </w:tc>
      </w:tr>
      <w:tr>
        <w:trPr>
          <w:cantSplit/>
        </w:trPr>
        <w:tc>
          <w:tcPr>
            <w:tcW w:type="dxa" w:w="2202"/>
            <w:vAlign w:val="center"/>
          </w:tcPr>
          <w:p>
            <w:pPr>
              <w:pStyle w:val="Compact"/>
              <w:keepNext w:val="0"/>
              <w:keepLines/>
              <w:spacing w:after="40" w:before="40" w:line="252" w:lineRule="auto"/>
              <w:jc w:val="left"/>
            </w:pPr>
            <m:oMath>
              <m:sSub>
                <m:e>
                  <m:r>
                    <m:rPr>
                      <m:sty m:val="p"/>
                    </m:rPr>
                    <m:t>CV</m:t>
                  </m:r>
                </m:e>
                <m:sub>
                  <m:r>
                    <m:t>F</m:t>
                  </m:r>
                </m:sub>
              </m:sSub>
              <m:d>
                <m:dPr>
                  <m:begChr m:val="("/>
                  <m:endChr m:val=")"/>
                  <m:sepChr m:val=""/>
                  <m:grow/>
                </m:dPr>
                <m:e>
                  <m:r>
                    <m:t>λ</m:t>
                  </m:r>
                </m:e>
              </m:d>
            </m:oMath>
          </w:p>
        </w:tc>
        <w:tc>
          <w:tcPr>
            <w:tcW w:type="dxa" w:w="4884"/>
            <w:vAlign w:val="center"/>
          </w:tcPr>
          <w:p>
            <w:pPr>
              <w:pStyle w:val="Compact"/>
              <w:keepNext w:val="0"/>
              <w:keepLines/>
              <w:spacing w:after="40" w:before="40" w:line="252" w:lineRule="auto"/>
              <w:jc w:val="left"/>
            </w:pPr>
            <w:r>
              <w:rPr>
                <w:b w:val="0"/>
                <w:sz w:val="20"/>
              </w:rPr>
              <w:t xml:space="preserve">Pooled call-price selection loss using training-only inferred forwards</w:t>
            </w:r>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r>
                <m:t>o</m:t>
              </m:r>
            </m:oMath>
            <w:r>
              <w:rPr>
                <w:b w:val="0"/>
                <w:sz w:val="20"/>
              </w:rPr>
              <w:t xml:space="preserve">,</w:t>
            </w:r>
            <w:r>
              <w:rPr>
                <w:b w:val="0"/>
                <w:sz w:val="20"/>
              </w:rPr>
              <w:t xml:space="preserve"> </w:t>
            </w:r>
            <m:oMath>
              <m:sSub>
                <m:e>
                  <m:acc>
                    <m:accPr>
                      <m:chr m:val="̂"/>
                    </m:accPr>
                    <m:e>
                      <m:r>
                        <m:t>V</m:t>
                      </m:r>
                    </m:e>
                  </m:acc>
                </m:e>
                <m:sub>
                  <m:r>
                    <m:t>m</m:t>
                  </m:r>
                  <m:r>
                    <m:t>i</m:t>
                  </m:r>
                  <m:r>
                    <m:rPr>
                      <m:sty m:val="p"/>
                    </m:rPr>
                    <m:t>,</m:t>
                  </m:r>
                  <m:r>
                    <m:t>o</m:t>
                  </m:r>
                </m:sub>
              </m:sSub>
            </m:oMath>
          </w:p>
        </w:tc>
        <w:tc>
          <w:tcPr>
            <w:tcW w:type="dxa" w:w="4884"/>
            <w:vAlign w:val="center"/>
          </w:tcPr>
          <w:p>
            <w:pPr>
              <w:pStyle w:val="Compact"/>
              <w:keepNext w:val="0"/>
              <w:keepLines/>
              <w:spacing w:after="40" w:before="40" w:line="252" w:lineRule="auto"/>
              <w:jc w:val="left"/>
            </w:pPr>
            <w:r>
              <w:rPr>
                <w:b w:val="0"/>
                <w:sz w:val="20"/>
              </w:rPr>
              <w:t xml:space="preserve">Option type (call/put) and corresponding fitted price</w:t>
            </w:r>
          </w:p>
        </w:tc>
        <w:tc>
          <w:tcPr>
            <w:tcW w:type="dxa" w:w="2490"/>
            <w:vAlign w:val="center"/>
          </w:tcPr>
          <w:p>
            <w:pPr>
              <w:pStyle w:val="Compact"/>
              <w:keepNext w:val="0"/>
              <w:keepLines/>
              <w:spacing w:after="40" w:before="40" w:line="252" w:lineRule="auto"/>
              <w:jc w:val="left"/>
            </w:pPr>
            <w:r>
              <w:rPr>
                <w:b w:val="0"/>
                <w:sz w:val="20"/>
              </w:rPr>
              <w:t xml:space="preserve">Type label; index points</w:t>
            </w:r>
          </w:p>
        </w:tc>
      </w:tr>
      <w:tr>
        <w:trPr>
          <w:cantSplit/>
        </w:trPr>
        <w:tc>
          <w:tcPr>
            <w:tcW w:type="dxa" w:w="2202"/>
            <w:vAlign w:val="center"/>
          </w:tcPr>
          <w:p>
            <w:pPr>
              <w:pStyle w:val="Compact"/>
              <w:keepNext w:val="0"/>
              <w:keepLines/>
              <w:spacing w:after="40" w:before="40" w:line="252" w:lineRule="auto"/>
              <w:jc w:val="left"/>
            </w:pPr>
            <m:oMath>
              <m:sSub>
                <m:e>
                  <m:r>
                    <m:t>B</m:t>
                  </m:r>
                </m:e>
                <m:sub>
                  <m:r>
                    <m:t>m</m:t>
                  </m:r>
                  <m:r>
                    <m:t>i</m:t>
                  </m:r>
                  <m:r>
                    <m:rPr>
                      <m:sty m:val="p"/>
                    </m:rPr>
                    <m:t>,</m:t>
                  </m:r>
                  <m:r>
                    <m:t>o</m:t>
                  </m:r>
                </m:sub>
              </m:sSub>
            </m:oMath>
            <w:r>
              <w:rPr>
                <w:b w:val="0"/>
                <w:sz w:val="20"/>
              </w:rPr>
              <w:t xml:space="preserve">,</w:t>
            </w:r>
            <w:r>
              <w:rPr>
                <w:b w:val="0"/>
                <w:sz w:val="20"/>
              </w:rPr>
              <w:t xml:space="preserve"> </w:t>
            </w:r>
            <m:oMath>
              <m:sSub>
                <m:e>
                  <m:r>
                    <m:t>A</m:t>
                  </m:r>
                </m:e>
                <m:sub>
                  <m:r>
                    <m:t>m</m:t>
                  </m:r>
                  <m:r>
                    <m:t>i</m:t>
                  </m:r>
                  <m:r>
                    <m:rPr>
                      <m:sty m:val="p"/>
                    </m:rPr>
                    <m:t>,</m:t>
                  </m:r>
                  <m:r>
                    <m:t>o</m:t>
                  </m:r>
                </m:sub>
              </m:sSub>
            </m:oMath>
          </w:p>
        </w:tc>
        <w:tc>
          <w:tcPr>
            <w:tcW w:type="dxa" w:w="4884"/>
            <w:vAlign w:val="center"/>
          </w:tcPr>
          <w:p>
            <w:pPr>
              <w:pStyle w:val="Compact"/>
              <w:keepNext w:val="0"/>
              <w:keepLines/>
              <w:spacing w:after="40" w:before="40" w:line="252" w:lineRule="auto"/>
              <w:jc w:val="left"/>
            </w:pPr>
            <w:r>
              <w:rPr>
                <w:b w:val="0"/>
                <w:sz w:val="20"/>
              </w:rPr>
              <w:t xml:space="preserve">Matched option’s bid and ask</w:t>
            </w:r>
          </w:p>
        </w:tc>
        <w:tc>
          <w:tcPr>
            <w:tcW w:type="dxa" w:w="2490"/>
            <w:vAlign w:val="center"/>
          </w:tcPr>
          <w:p>
            <w:pPr>
              <w:pStyle w:val="Compact"/>
              <w:keepNext w:val="0"/>
              <w:keepLines/>
              <w:spacing w:after="40" w:before="40" w:line="252" w:lineRule="auto"/>
              <w:jc w:val="left"/>
            </w:pPr>
            <w:r>
              <w:rPr>
                <w:b w:val="0"/>
                <w:sz w:val="20"/>
              </w:rPr>
              <w:t xml:space="preserve">Index points</w:t>
            </w:r>
          </w:p>
        </w:tc>
      </w:tr>
      <w:tr>
        <w:trPr>
          <w:cantSplit/>
        </w:trPr>
        <w:tc>
          <w:tcPr>
            <w:tcW w:type="dxa" w:w="2202"/>
            <w:vAlign w:val="center"/>
          </w:tcPr>
          <w:p>
            <w:pPr>
              <w:pStyle w:val="Compact"/>
              <w:keepNext w:val="0"/>
              <w:keepLines/>
              <w:spacing w:after="40" w:before="40" w:line="252" w:lineRule="auto"/>
              <w:jc w:val="left"/>
            </w:pPr>
            <m:oMath>
              <m:sSubSup>
                <m:e>
                  <m:r>
                    <m:t>d</m:t>
                  </m:r>
                </m:e>
                <m:sub>
                  <m:r>
                    <m:t>m</m:t>
                  </m:r>
                  <m:r>
                    <m:t>i</m:t>
                  </m:r>
                  <m:r>
                    <m:rPr>
                      <m:sty m:val="p"/>
                    </m:rPr>
                    <m:t>,</m:t>
                  </m:r>
                  <m:r>
                    <m:t>o</m:t>
                  </m:r>
                </m:sub>
                <m:sup>
                  <m:r>
                    <m:rPr>
                      <m:sty m:val="p"/>
                    </m:rPr>
                    <m:t>s</m:t>
                  </m:r>
                  <m:r>
                    <m:rPr>
                      <m:sty m:val="p"/>
                    </m:rPr>
                    <m:t>p</m:t>
                  </m:r>
                  <m:r>
                    <m:rPr>
                      <m:sty m:val="p"/>
                    </m:rPr>
                    <m:t>r</m:t>
                  </m:r>
                  <m:r>
                    <m:rPr>
                      <m:sty m:val="p"/>
                    </m:rPr>
                    <m:t>e</m:t>
                  </m:r>
                  <m:r>
                    <m:rPr>
                      <m:sty m:val="p"/>
                    </m:rPr>
                    <m:t>a</m:t>
                  </m:r>
                  <m:r>
                    <m:rPr>
                      <m:sty m:val="p"/>
                    </m:rPr>
                    <m:t>d</m:t>
                  </m:r>
                </m:sup>
              </m:sSubSup>
            </m:oMath>
          </w:p>
        </w:tc>
        <w:tc>
          <w:tcPr>
            <w:tcW w:type="dxa" w:w="4884"/>
            <w:vAlign w:val="center"/>
          </w:tcPr>
          <w:p>
            <w:pPr>
              <w:pStyle w:val="Compact"/>
              <w:keepNext w:val="0"/>
              <w:keepLines/>
              <w:spacing w:after="40" w:before="40" w:line="252" w:lineRule="auto"/>
              <w:jc w:val="left"/>
            </w:pPr>
            <w:r>
              <w:rPr>
                <w:b w:val="0"/>
                <w:sz w:val="20"/>
              </w:rPr>
              <w:t xml:space="preserve">Fitted-price distance outside the option’s bid–ask range</w:t>
            </w:r>
          </w:p>
        </w:tc>
        <w:tc>
          <w:tcPr>
            <w:tcW w:type="dxa" w:w="2490"/>
            <w:vAlign w:val="center"/>
          </w:tcPr>
          <w:p>
            <w:pPr>
              <w:pStyle w:val="Compact"/>
              <w:keepNext w:val="0"/>
              <w:keepLines/>
              <w:spacing w:after="40" w:before="40" w:line="252" w:lineRule="auto"/>
              <w:jc w:val="left"/>
            </w:pPr>
            <w:r>
              <w:rPr>
                <w:b w:val="0"/>
                <w:sz w:val="20"/>
              </w:rPr>
              <w:t xml:space="preserve">Index points</w:t>
            </w:r>
          </w:p>
        </w:tc>
      </w:tr>
      <w:tr>
        <w:trPr>
          <w:cantSplit/>
        </w:trPr>
        <w:tc>
          <w:tcPr>
            <w:tcW w:type="dxa" w:w="2202"/>
            <w:vAlign w:val="center"/>
          </w:tcPr>
          <w:p>
            <w:pPr>
              <w:pStyle w:val="Compact"/>
              <w:keepNext w:val="0"/>
              <w:keepLines/>
              <w:spacing w:after="40" w:before="40" w:line="252" w:lineRule="auto"/>
              <w:jc w:val="left"/>
            </w:pPr>
            <m:oMath>
              <m:sSubSup>
                <m:e>
                  <m:r>
                    <m:t>L</m:t>
                  </m:r>
                </m:e>
                <m:sub>
                  <m:r>
                    <m:t>m</m:t>
                  </m:r>
                  <m:r>
                    <m:t>i</m:t>
                  </m:r>
                </m:sub>
                <m:sup>
                  <m:d>
                    <m:dPr>
                      <m:begChr m:val="("/>
                      <m:endChr m:val=")"/>
                      <m:sepChr m:val=""/>
                      <m:grow/>
                    </m:dPr>
                    <m:e>
                      <m:r>
                        <m:t>ε</m:t>
                      </m:r>
                    </m:e>
                  </m:d>
                </m:sup>
              </m:sSubSup>
            </m:oMath>
            <w:r>
              <w:rPr>
                <w:b w:val="0"/>
                <w:sz w:val="20"/>
              </w:rPr>
              <w:t xml:space="preserve">,</w:t>
            </w:r>
            <w:r>
              <w:rPr>
                <w:b w:val="0"/>
                <w:sz w:val="20"/>
              </w:rPr>
              <w:t xml:space="preserve"> </w:t>
            </w:r>
            <m:oMath>
              <m:sSubSup>
                <m:e>
                  <m:r>
                    <m:t>v</m:t>
                  </m:r>
                </m:e>
                <m:sub>
                  <m:r>
                    <m:t>m</m:t>
                  </m:r>
                  <m:r>
                    <m:t>i</m:t>
                  </m:r>
                </m:sub>
                <m:sup>
                  <m:d>
                    <m:dPr>
                      <m:begChr m:val="("/>
                      <m:endChr m:val=")"/>
                      <m:sepChr m:val=""/>
                      <m:grow/>
                    </m:dPr>
                    <m:e>
                      <m:r>
                        <m:t>ε</m:t>
                      </m:r>
                    </m:e>
                  </m:d>
                </m:sup>
              </m:sSubSup>
            </m:oMath>
          </w:p>
        </w:tc>
        <w:tc>
          <w:tcPr>
            <w:tcW w:type="dxa" w:w="4884"/>
            <w:vAlign w:val="center"/>
          </w:tcPr>
          <w:p>
            <w:pPr>
              <w:pStyle w:val="Compact"/>
              <w:keepNext w:val="0"/>
              <w:keepLines/>
              <w:spacing w:after="40" w:before="40" w:line="252" w:lineRule="auto"/>
              <w:jc w:val="left"/>
            </w:pPr>
            <w:r>
              <w:rPr>
                <w:b w:val="0"/>
                <w:sz w:val="20"/>
              </w:rPr>
              <w:t xml:space="preserve">Supplied-forward call lower bound and positive observed-price shortfall</w:t>
            </w:r>
          </w:p>
        </w:tc>
        <w:tc>
          <w:tcPr>
            <w:tcW w:type="dxa" w:w="2490"/>
            <w:vAlign w:val="center"/>
          </w:tcPr>
          <w:p>
            <w:pPr>
              <w:pStyle w:val="Compact"/>
              <w:keepNext w:val="0"/>
              <w:keepLines/>
              <w:spacing w:after="40" w:before="40" w:line="252" w:lineRule="auto"/>
              <w:jc w:val="left"/>
            </w:pPr>
            <w:r>
              <w:rPr>
                <w:b w:val="0"/>
                <w:sz w:val="20"/>
              </w:rPr>
              <w:t xml:space="preserve">Index points</w:t>
            </w:r>
          </w:p>
        </w:tc>
      </w:tr>
      <w:tr>
        <w:trPr>
          <w:cantSplit/>
        </w:trPr>
        <w:tc>
          <w:tcPr>
            <w:tcW w:type="dxa" w:w="2202"/>
            <w:vAlign w:val="center"/>
          </w:tcPr>
          <w:p>
            <w:pPr>
              <w:pStyle w:val="Compact"/>
              <w:keepNext w:val="0"/>
              <w:keepLines/>
              <w:spacing w:after="40" w:before="40" w:line="252" w:lineRule="auto"/>
              <w:jc w:val="left"/>
            </w:pPr>
            <m:oMath>
              <m:sSub>
                <m:e>
                  <m:r>
                    <m:rPr>
                      <m:sty m:val="b"/>
                    </m:rPr>
                    <m:t>1</m:t>
                  </m:r>
                </m:e>
                <m:sub>
                  <m:r>
                    <m:rPr>
                      <m:sty m:val="p"/>
                    </m:rPr>
                    <m:t>[</m:t>
                  </m:r>
                  <m:r>
                    <m:t>a</m:t>
                  </m:r>
                  <m:r>
                    <m:rPr>
                      <m:sty m:val="p"/>
                    </m:rPr>
                    <m:t>,</m:t>
                  </m:r>
                  <m:r>
                    <m:t>b</m:t>
                  </m:r>
                  <m:r>
                    <m:rPr>
                      <m:sty m:val="p"/>
                    </m:rPr>
                    <m:t>)</m:t>
                  </m:r>
                </m:sub>
              </m:sSub>
            </m:oMath>
          </w:p>
        </w:tc>
        <w:tc>
          <w:tcPr>
            <w:tcW w:type="dxa" w:w="4884"/>
            <w:vAlign w:val="center"/>
          </w:tcPr>
          <w:p>
            <w:pPr>
              <w:pStyle w:val="Compact"/>
              <w:keepNext w:val="0"/>
              <w:keepLines/>
              <w:spacing w:after="40" w:before="40" w:line="252" w:lineRule="auto"/>
              <w:jc w:val="left"/>
            </w:pPr>
            <w:r>
              <w:rPr>
                <w:b w:val="0"/>
                <w:sz w:val="20"/>
              </w:rPr>
              <w:t xml:space="preserve">Indicator of the half-open interval</w:t>
            </w:r>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sSub>
                <m:e>
                  <m:d>
                    <m:dPr>
                      <m:begChr m:val="("/>
                      <m:endChr m:val=")"/>
                      <m:sepChr m:val=""/>
                      <m:grow/>
                    </m:dPr>
                    <m:e>
                      <m:r>
                        <m:t>x</m:t>
                      </m:r>
                    </m:e>
                  </m:d>
                </m:e>
                <m:sub>
                  <m:r>
                    <m:rPr>
                      <m:sty m:val="p"/>
                    </m:rPr>
                    <m:t>+</m:t>
                  </m:r>
                </m:sub>
              </m:sSub>
            </m:oMath>
          </w:p>
        </w:tc>
        <w:tc>
          <w:tcPr>
            <w:tcW w:type="dxa" w:w="4884"/>
            <w:vAlign w:val="center"/>
          </w:tcPr>
          <w:p>
            <w:pPr>
              <w:pStyle w:val="Compact"/>
              <w:keepNext w:val="0"/>
              <w:keepLines/>
              <w:spacing w:after="40" w:before="40" w:line="252" w:lineRule="auto"/>
              <w:jc w:val="left"/>
            </w:pPr>
            <w:r>
              <w:rPr>
                <w:b w:val="0"/>
                <w:sz w:val="20"/>
              </w:rPr>
              <w:t xml:space="preserve">Positive part,</w:t>
            </w:r>
            <w:r>
              <w:rPr>
                <w:b w:val="0"/>
                <w:sz w:val="20"/>
              </w:rPr>
              <w:t xml:space="preserve"> </w:t>
            </w:r>
            <m:oMath>
              <m:r>
                <m:rPr>
                  <m:sty m:val="p"/>
                </m:rPr>
                <m:t>max</m:t>
              </m:r>
              <m:d>
                <m:dPr>
                  <m:begChr m:val="("/>
                  <m:endChr m:val=")"/>
                  <m:sepChr m:val=""/>
                  <m:grow/>
                </m:dPr>
                <m:e>
                  <m:r>
                    <m:t>x</m:t>
                  </m:r>
                  <m:r>
                    <m:rPr>
                      <m:sty m:val="p"/>
                    </m:rPr>
                    <m:t>,</m:t>
                  </m:r>
                  <m:r>
                    <m:t>0</m:t>
                  </m:r>
                </m:e>
              </m:d>
            </m:oMath>
          </w:p>
        </w:tc>
        <w:tc>
          <w:tcPr>
            <w:tcW w:type="dxa" w:w="2490"/>
            <w:vAlign w:val="center"/>
          </w:tcPr>
          <w:p>
            <w:pPr>
              <w:pStyle w:val="Compact"/>
              <w:keepNext w:val="0"/>
              <w:keepLines/>
              <w:spacing w:after="40" w:before="40" w:line="252" w:lineRule="auto"/>
              <w:jc w:val="left"/>
            </w:pPr>
            <w:r>
              <w:rPr>
                <w:b w:val="0"/>
                <w:sz w:val="20"/>
              </w:rPr>
              <w:t xml:space="preserve">Same as</w:t>
            </w:r>
            <w:r>
              <w:rPr>
                <w:b w:val="0"/>
                <w:sz w:val="20"/>
              </w:rPr>
              <w:t xml:space="preserve"> </w:t>
            </w:r>
            <m:oMath>
              <m:r>
                <m:t>x</m:t>
              </m:r>
            </m:oMath>
          </w:p>
        </w:tc>
      </w:tr>
      <w:tr>
        <w:trPr>
          <w:cantSplit/>
        </w:trPr>
        <w:tc>
          <w:tcPr>
            <w:tcW w:type="dxa" w:w="2202"/>
            <w:vAlign w:val="center"/>
          </w:tcPr>
          <w:p>
            <w:pPr>
              <w:pStyle w:val="Compact"/>
              <w:keepNext w:val="0"/>
              <w:keepLines/>
              <w:spacing w:after="40" w:before="40" w:line="252" w:lineRule="auto"/>
              <w:jc w:val="left"/>
            </w:pPr>
            <m:oMath>
              <m:acc>
                <m:accPr>
                  <m:chr m:val="̂"/>
                </m:accPr>
                <m:e>
                  <m:phant>
                    <m:phantPr>
                      <m:show m:val="off"/>
                    </m:phantPr>
                    <m:e>
                      <m:r>
                        <m:t>f</m:t>
                      </m:r>
                    </m:e>
                  </m:phant>
                </m:e>
              </m:acc>
            </m:oMath>
          </w:p>
        </w:tc>
        <w:tc>
          <w:tcPr>
            <w:tcW w:type="dxa" w:w="4884"/>
            <w:vAlign w:val="center"/>
          </w:tcPr>
          <w:p>
            <w:pPr>
              <w:pStyle w:val="Compact"/>
              <w:keepNext w:val="0"/>
              <w:keepLines/>
              <w:spacing w:after="40" w:before="40" w:line="252" w:lineRule="auto"/>
              <w:jc w:val="left"/>
            </w:pPr>
            <w:r>
              <w:rPr>
                <w:b w:val="0"/>
                <w:sz w:val="20"/>
              </w:rPr>
              <w:t xml:space="preserve">Estimated quantity</w:t>
            </w:r>
          </w:p>
        </w:tc>
        <w:tc>
          <w:tcPr>
            <w:tcW w:type="dxa" w:w="2490"/>
            <w:vAlign w:val="center"/>
          </w:tcPr>
          <w:p>
            <w:pPr>
              <w:pStyle w:val="Compact"/>
              <w:keepNext w:val="0"/>
              <w:keepLines/>
              <w:spacing w:after="40" w:before="40" w:line="252" w:lineRule="auto"/>
              <w:jc w:val="left"/>
            </w:pPr>
            <w:r>
              <w:rPr>
                <w:b w:val="0"/>
                <w:sz w:val="20"/>
              </w:rPr>
              <w:t xml:space="preserve">Same as the quantity</w:t>
            </w:r>
          </w:p>
        </w:tc>
      </w:tr>
      <w:tr>
        <w:trPr>
          <w:cantSplit/>
        </w:trPr>
        <w:tc>
          <w:tcPr>
            <w:tcW w:type="dxa" w:w="2202"/>
            <w:vAlign w:val="center"/>
          </w:tcPr>
          <w:p>
            <w:pPr>
              <w:pStyle w:val="Compact"/>
              <w:keepNext w:val="0"/>
              <w:keepLines/>
              <w:spacing w:after="40" w:before="40" w:line="252" w:lineRule="auto"/>
              <w:jc w:val="left"/>
            </w:pPr>
            <m:oMath>
              <m:r>
                <m:rPr>
                  <m:sty m:val="p"/>
                </m:rPr>
                <m:t>∂</m:t>
              </m:r>
            </m:oMath>
          </w:p>
        </w:tc>
        <w:tc>
          <w:tcPr>
            <w:tcW w:type="dxa" w:w="4884"/>
            <w:vAlign w:val="center"/>
          </w:tcPr>
          <w:p>
            <w:pPr>
              <w:pStyle w:val="Compact"/>
              <w:keepNext w:val="0"/>
              <w:keepLines/>
              <w:spacing w:after="40" w:before="40" w:line="252" w:lineRule="auto"/>
              <w:jc w:val="left"/>
            </w:pPr>
            <w:r>
              <w:rPr>
                <w:b w:val="0"/>
                <w:sz w:val="20"/>
              </w:rPr>
              <w:t xml:space="preserve">Partial differentiation</w:t>
            </w:r>
          </w:p>
        </w:tc>
        <w:tc>
          <w:tcPr>
            <w:tcW w:type="dxa" w:w="2490"/>
            <w:vAlign w:val="center"/>
          </w:tcPr>
          <w:p>
            <w:pPr>
              <w:pStyle w:val="Compact"/>
              <w:keepNext w:val="0"/>
              <w:keepLines/>
              <w:spacing w:after="40" w:before="40" w:line="252" w:lineRule="auto"/>
              <w:jc w:val="left"/>
            </w:pPr>
            <w:r>
              <w:rPr>
                <w:b w:val="0"/>
                <w:sz w:val="20"/>
              </w:rPr>
              <w:t xml:space="preserve">Determined by the variables</w:t>
            </w:r>
          </w:p>
        </w:tc>
      </w:tr>
      <w:tr>
        <w:trPr>
          <w:cantSplit/>
        </w:trPr>
        <w:tc>
          <w:tcPr>
            <w:tcW w:type="dxa" w:w="2202"/>
            <w:vAlign w:val="center"/>
          </w:tcPr>
          <w:p>
            <w:pPr>
              <w:pStyle w:val="Compact"/>
              <w:keepNext w:val="0"/>
              <w:keepLines/>
              <w:spacing w:after="40" w:before="40" w:line="252" w:lineRule="auto"/>
              <w:jc w:val="left"/>
            </w:pPr>
            <m:oMath>
              <m:r>
                <m:t>O</m:t>
              </m:r>
              <m:d>
                <m:dPr>
                  <m:begChr m:val="("/>
                  <m:endChr m:val=")"/>
                  <m:sepChr m:val=""/>
                  <m:grow/>
                </m:dPr>
                <m:e>
                  <m:sSup>
                    <m:e>
                      <m:r>
                        <m:t>h</m:t>
                      </m:r>
                    </m:e>
                    <m:sup>
                      <m:r>
                        <m:t>2</m:t>
                      </m:r>
                    </m:sup>
                  </m:sSup>
                </m:e>
              </m:d>
            </m:oMath>
          </w:p>
        </w:tc>
        <w:tc>
          <w:tcPr>
            <w:tcW w:type="dxa" w:w="4884"/>
            <w:vAlign w:val="center"/>
          </w:tcPr>
          <w:p>
            <w:pPr>
              <w:pStyle w:val="Compact"/>
              <w:keepNext w:val="0"/>
              <w:keepLines/>
              <w:spacing w:after="40" w:before="40" w:line="252" w:lineRule="auto"/>
              <w:jc w:val="left"/>
            </w:pPr>
            <w:r>
              <w:rPr>
                <w:b w:val="0"/>
                <w:sz w:val="20"/>
              </w:rPr>
              <w:t xml:space="preserve">Second-order truncation-error notation</w:t>
            </w:r>
          </w:p>
        </w:tc>
        <w:tc>
          <w:tcPr>
            <w:tcW w:type="dxa" w:w="2490"/>
            <w:vAlign w:val="center"/>
          </w:tcPr>
          <w:p>
            <w:pPr>
              <w:pStyle w:val="Compact"/>
              <w:keepNext w:val="0"/>
              <w:keepLines/>
              <w:spacing w:after="40" w:before="40" w:line="252" w:lineRule="auto"/>
              <w:jc w:val="left"/>
            </w:pPr>
            <w:r>
              <w:rPr>
                <w:b w:val="0"/>
                <w:sz w:val="20"/>
              </w:rPr>
              <w:t xml:space="preserve">Order statement</w:t>
            </w:r>
          </w:p>
        </w:tc>
      </w:tr>
      <w:tr>
        <w:trPr>
          <w:cantSplit/>
        </w:trPr>
        <w:tc>
          <w:tcPr>
            <w:tcW w:type="dxa" w:w="2202"/>
            <w:vAlign w:val="center"/>
          </w:tcPr>
          <w:p>
            <w:pPr>
              <w:pStyle w:val="Compact"/>
              <w:keepNext w:val="0"/>
              <w:keepLines/>
              <w:spacing w:after="40" w:before="40" w:line="252" w:lineRule="auto"/>
              <w:jc w:val="left"/>
            </w:pPr>
            <w:r>
              <w:rPr>
                <w:b w:val="0"/>
                <w:sz w:val="20"/>
              </w:rPr>
              <w:t xml:space="preserve">§ / §§</w:t>
            </w:r>
          </w:p>
        </w:tc>
        <w:tc>
          <w:tcPr>
            <w:tcW w:type="dxa" w:w="4884"/>
            <w:vAlign w:val="center"/>
          </w:tcPr>
          <w:p>
            <w:pPr>
              <w:pStyle w:val="Compact"/>
              <w:keepNext w:val="0"/>
              <w:keepLines/>
              <w:spacing w:after="40" w:before="40" w:line="252" w:lineRule="auto"/>
              <w:jc w:val="left"/>
            </w:pPr>
            <w:r>
              <w:rPr>
                <w:b w:val="0"/>
                <w:sz w:val="20"/>
              </w:rPr>
              <w:t xml:space="preserve">Section / sections in a cited source; not a mathematical variable</w:t>
            </w:r>
          </w:p>
        </w:tc>
        <w:tc>
          <w:tcPr>
            <w:tcW w:type="dxa" w:w="2490"/>
            <w:vAlign w:val="center"/>
          </w:tcPr>
          <w:p>
            <w:pPr>
              <w:pStyle w:val="Compact"/>
              <w:keepNext w:val="0"/>
              <w:keepLines/>
              <w:spacing w:after="40" w:before="40" w:line="252" w:lineRule="auto"/>
              <w:jc w:val="left"/>
            </w:pPr>
            <w:r>
              <w:rPr>
                <w:b w:val="0"/>
                <w:sz w:val="20"/>
              </w:rPr>
              <w:t xml:space="preserve">Not applicable</w:t>
            </w:r>
          </w:p>
        </w:tc>
      </w:tr>
      <w:tr>
        <w:trPr>
          <w:cantSplit/>
        </w:trPr>
        <w:tc>
          <w:tcPr>
            <w:tcW w:type="dxa" w:w="2202"/>
            <w:vAlign w:val="center"/>
          </w:tcPr>
          <w:p>
            <w:pPr>
              <w:pStyle w:val="Compact"/>
              <w:keepNext w:val="0"/>
              <w:keepLines/>
              <w:spacing w:after="40" w:before="40" w:line="252" w:lineRule="auto"/>
              <w:jc w:val="left"/>
            </w:pPr>
            <m:oMath>
              <m:sSub>
                <m:e>
                  <m:r>
                    <m:t>H</m:t>
                  </m:r>
                </m:e>
                <m:sub>
                  <m:r>
                    <m:t>m</m:t>
                  </m:r>
                </m:sub>
              </m:sSub>
            </m:oMath>
            <w:r>
              <w:rPr>
                <w:b w:val="0"/>
                <w:sz w:val="20"/>
              </w:rPr>
              <w:t xml:space="preserve">,</w:t>
            </w:r>
            <w:r>
              <w:rPr>
                <w:b w:val="0"/>
                <w:sz w:val="20"/>
              </w:rPr>
              <w:t xml:space="preserve"> </w:t>
            </w:r>
            <m:oMath>
              <m:sSub>
                <m:e>
                  <m:acc>
                    <m:accPr>
                      <m:chr m:val="̂"/>
                    </m:accPr>
                    <m:e>
                      <m:r>
                        <m:t>H</m:t>
                      </m:r>
                    </m:e>
                  </m:acc>
                </m:e>
                <m:sub>
                  <m:r>
                    <m:t>m</m:t>
                  </m:r>
                </m:sub>
              </m:sSub>
            </m:oMath>
          </w:p>
        </w:tc>
        <w:tc>
          <w:tcPr>
            <w:tcW w:type="dxa" w:w="4884"/>
            <w:vAlign w:val="center"/>
          </w:tcPr>
          <w:p>
            <w:pPr>
              <w:pStyle w:val="Compact"/>
              <w:keepNext w:val="0"/>
              <w:keepLines/>
              <w:spacing w:after="40" w:before="40" w:line="252" w:lineRule="auto"/>
              <w:jc w:val="left"/>
            </w:pPr>
            <w:r>
              <w:rPr>
                <w:b w:val="0"/>
                <w:sz w:val="20"/>
              </w:rPr>
              <w:t xml:space="preserve">Discounted forward,</w:t>
            </w:r>
            <w:r>
              <w:rPr>
                <w:b w:val="0"/>
                <w:sz w:val="20"/>
              </w:rPr>
              <w:t xml:space="preserve"> </w:t>
            </w:r>
            <m:oMath>
              <m:sSub>
                <m:e>
                  <m:r>
                    <m:t>D</m:t>
                  </m:r>
                </m:e>
                <m:sub>
                  <m:r>
                    <m:t>m</m:t>
                  </m:r>
                </m:sub>
              </m:sSub>
              <m:sSub>
                <m:e>
                  <m:r>
                    <m:t>F</m:t>
                  </m:r>
                </m:e>
                <m:sub>
                  <m:r>
                    <m:t>m</m:t>
                  </m:r>
                </m:sub>
              </m:sSub>
            </m:oMath>
            <w:r>
              <w:rPr>
                <w:b w:val="0"/>
                <w:sz w:val="20"/>
              </w:rPr>
              <w:t xml:space="preserve">, and its quote-implied estimate</w:t>
            </w:r>
          </w:p>
        </w:tc>
        <w:tc>
          <w:tcPr>
            <w:tcW w:type="dxa" w:w="2490"/>
            <w:vAlign w:val="center"/>
          </w:tcPr>
          <w:p>
            <w:pPr>
              <w:pStyle w:val="Compact"/>
              <w:keepNext w:val="0"/>
              <w:keepLines/>
              <w:spacing w:after="40" w:before="40" w:line="252" w:lineRule="auto"/>
              <w:jc w:val="left"/>
            </w:pPr>
            <w:r>
              <w:rPr>
                <w:b w:val="0"/>
                <w:sz w:val="20"/>
              </w:rPr>
              <w:t xml:space="preserve">Index points</w:t>
            </w:r>
          </w:p>
        </w:tc>
      </w:tr>
      <w:tr>
        <w:trPr>
          <w:cantSplit/>
        </w:trPr>
        <w:tc>
          <w:tcPr>
            <w:tcW w:type="dxa" w:w="2202"/>
            <w:vAlign w:val="center"/>
          </w:tcPr>
          <w:p>
            <w:pPr>
              <w:pStyle w:val="Compact"/>
              <w:keepNext w:val="0"/>
              <w:keepLines/>
              <w:spacing w:after="40" w:before="40" w:line="252" w:lineRule="auto"/>
              <w:jc w:val="left"/>
            </w:pPr>
            <m:oMath>
              <m:sSub>
                <m:e>
                  <m:acc>
                    <m:accPr>
                      <m:chr m:val="̂"/>
                    </m:accPr>
                    <m:e>
                      <m:r>
                        <m:t>D</m:t>
                      </m:r>
                    </m:e>
                  </m:acc>
                </m:e>
                <m:sub>
                  <m:r>
                    <m:t>m</m:t>
                  </m:r>
                </m:sub>
              </m:sSub>
            </m:oMath>
            <w:r>
              <w:rPr>
                <w:b w:val="0"/>
                <w:sz w:val="20"/>
              </w:rPr>
              <w:t xml:space="preserve">,</w:t>
            </w:r>
            <w:r>
              <w:rPr>
                <w:b w:val="0"/>
                <w:sz w:val="20"/>
              </w:rPr>
              <w:t xml:space="preserve"> </w:t>
            </w:r>
            <m:oMath>
              <m:sSub>
                <m:e>
                  <m:acc>
                    <m:accPr>
                      <m:chr m:val="̂"/>
                    </m:accPr>
                    <m:e>
                      <m:r>
                        <m:t>r</m:t>
                      </m:r>
                    </m:e>
                  </m:acc>
                </m:e>
                <m:sub>
                  <m:r>
                    <m:t>m</m:t>
                  </m:r>
                </m:sub>
              </m:sSub>
            </m:oMath>
          </w:p>
        </w:tc>
        <w:tc>
          <w:tcPr>
            <w:tcW w:type="dxa" w:w="4884"/>
            <w:vAlign w:val="center"/>
          </w:tcPr>
          <w:p>
            <w:pPr>
              <w:pStyle w:val="Compact"/>
              <w:keepNext w:val="0"/>
              <w:keepLines/>
              <w:spacing w:after="40" w:before="40" w:line="252" w:lineRule="auto"/>
              <w:jc w:val="left"/>
            </w:pPr>
            <w:r>
              <w:rPr>
                <w:b w:val="0"/>
                <w:sz w:val="20"/>
              </w:rPr>
              <w:t xml:space="preserve">Quote-implied discount factor and equivalent continuously compounded rate</w:t>
            </w:r>
          </w:p>
        </w:tc>
        <w:tc>
          <w:tcPr>
            <w:tcW w:type="dxa" w:w="2490"/>
            <w:vAlign w:val="center"/>
          </w:tcPr>
          <w:p>
            <w:pPr>
              <w:pStyle w:val="Compact"/>
              <w:keepNext w:val="0"/>
              <w:keepLines/>
              <w:spacing w:after="40" w:before="40" w:line="252" w:lineRule="auto"/>
              <w:jc w:val="left"/>
            </w:pPr>
            <w:r>
              <w:rPr>
                <w:b w:val="0"/>
                <w:sz w:val="20"/>
              </w:rPr>
              <w:t xml:space="preserve">Dimensionless; per year</w:t>
            </w:r>
          </w:p>
        </w:tc>
      </w:tr>
      <w:tr>
        <w:trPr>
          <w:cantSplit/>
        </w:trPr>
        <w:tc>
          <w:tcPr>
            <w:tcW w:type="dxa" w:w="2202"/>
            <w:vAlign w:val="center"/>
          </w:tcPr>
          <w:p>
            <w:pPr>
              <w:pStyle w:val="Compact"/>
              <w:keepNext w:val="0"/>
              <w:keepLines/>
              <w:spacing w:after="40" w:before="40" w:line="252" w:lineRule="auto"/>
              <w:jc w:val="left"/>
            </w:pPr>
            <m:oMath>
              <m:sSubSup>
                <m:e>
                  <m:r>
                    <m:t>b</m:t>
                  </m:r>
                </m:e>
                <m:sub>
                  <m:r>
                    <m:t>m</m:t>
                  </m:r>
                  <m:r>
                    <m:t>i</m:t>
                  </m:r>
                </m:sub>
                <m:sup>
                  <m:r>
                    <m:rPr>
                      <m:sty m:val="p"/>
                    </m:rPr>
                    <m:t>−</m:t>
                  </m:r>
                </m:sup>
              </m:sSubSup>
            </m:oMath>
            <w:r>
              <w:rPr>
                <w:b w:val="0"/>
                <w:sz w:val="20"/>
              </w:rPr>
              <w:t xml:space="preserve">,</w:t>
            </w:r>
            <w:r>
              <w:rPr>
                <w:b w:val="0"/>
                <w:sz w:val="20"/>
              </w:rPr>
              <w:t xml:space="preserve"> </w:t>
            </w:r>
            <m:oMath>
              <m:sSubSup>
                <m:e>
                  <m:r>
                    <m:t>b</m:t>
                  </m:r>
                </m:e>
                <m:sub>
                  <m:r>
                    <m:t>m</m:t>
                  </m:r>
                  <m:r>
                    <m:t>i</m:t>
                  </m:r>
                </m:sub>
                <m:sup>
                  <m:r>
                    <m:rPr>
                      <m:sty m:val="p"/>
                    </m:rPr>
                    <m:t>+</m:t>
                  </m:r>
                </m:sup>
              </m:sSubSup>
            </m:oMath>
          </w:p>
        </w:tc>
        <w:tc>
          <w:tcPr>
            <w:tcW w:type="dxa" w:w="4884"/>
            <w:vAlign w:val="center"/>
          </w:tcPr>
          <w:p>
            <w:pPr>
              <w:pStyle w:val="Compact"/>
              <w:keepNext w:val="0"/>
              <w:keepLines/>
              <w:spacing w:after="40" w:before="40" w:line="252" w:lineRule="auto"/>
              <w:jc w:val="left"/>
            </w:pPr>
            <w:r>
              <w:rPr>
                <w:b w:val="0"/>
                <w:sz w:val="20"/>
              </w:rPr>
              <w:t xml:space="preserve">Opposite-side bid–ask bounds on the call-minus-put difference</w:t>
            </w:r>
          </w:p>
        </w:tc>
        <w:tc>
          <w:tcPr>
            <w:tcW w:type="dxa" w:w="2490"/>
            <w:vAlign w:val="center"/>
          </w:tcPr>
          <w:p>
            <w:pPr>
              <w:pStyle w:val="Compact"/>
              <w:keepNext w:val="0"/>
              <w:keepLines/>
              <w:spacing w:after="40" w:before="40" w:line="252" w:lineRule="auto"/>
              <w:jc w:val="left"/>
            </w:pPr>
            <w:r>
              <w:rPr>
                <w:b w:val="0"/>
                <w:sz w:val="20"/>
              </w:rPr>
              <w:t xml:space="preserve">Index points</w:t>
            </w:r>
          </w:p>
        </w:tc>
      </w:tr>
      <w:tr>
        <w:trPr>
          <w:cantSplit/>
        </w:trPr>
        <w:tc>
          <w:tcPr>
            <w:tcW w:type="dxa" w:w="2202"/>
            <w:vAlign w:val="center"/>
          </w:tcPr>
          <w:p>
            <w:pPr>
              <w:pStyle w:val="Compact"/>
              <w:keepNext w:val="0"/>
              <w:keepLines/>
              <w:spacing w:after="40" w:before="40" w:line="252" w:lineRule="auto"/>
              <w:jc w:val="left"/>
            </w:pPr>
            <m:oMath>
              <m:sSub>
                <m:e>
                  <m:r>
                    <m:t>y</m:t>
                  </m:r>
                </m:e>
                <m:sub>
                  <m:r>
                    <m:t>m</m:t>
                  </m:r>
                  <m:r>
                    <m:t>i</m:t>
                  </m:r>
                </m:sub>
              </m:sSub>
            </m:oMath>
          </w:p>
        </w:tc>
        <w:tc>
          <w:tcPr>
            <w:tcW w:type="dxa" w:w="4884"/>
            <w:vAlign w:val="center"/>
          </w:tcPr>
          <w:p>
            <w:pPr>
              <w:pStyle w:val="Compact"/>
              <w:keepNext w:val="0"/>
              <w:keepLines/>
              <w:spacing w:after="40" w:before="40" w:line="252" w:lineRule="auto"/>
              <w:jc w:val="left"/>
            </w:pPr>
            <w:r>
              <w:rPr>
                <w:b w:val="0"/>
                <w:sz w:val="20"/>
              </w:rPr>
              <w:t xml:space="preserve">Observed call-midpoint minus put-midpoint difference</w:t>
            </w:r>
          </w:p>
        </w:tc>
        <w:tc>
          <w:tcPr>
            <w:tcW w:type="dxa" w:w="2490"/>
            <w:vAlign w:val="center"/>
          </w:tcPr>
          <w:p>
            <w:pPr>
              <w:pStyle w:val="Compact"/>
              <w:keepNext w:val="0"/>
              <w:keepLines/>
              <w:spacing w:after="40" w:before="40" w:line="252" w:lineRule="auto"/>
              <w:jc w:val="left"/>
            </w:pPr>
            <w:r>
              <w:rPr>
                <w:b w:val="0"/>
                <w:sz w:val="20"/>
              </w:rPr>
              <w:t xml:space="preserve">Index points</w:t>
            </w:r>
          </w:p>
        </w:tc>
      </w:tr>
      <w:tr>
        <w:trPr>
          <w:cantSplit/>
        </w:trPr>
        <w:tc>
          <w:tcPr>
            <w:tcW w:type="dxa" w:w="2202"/>
            <w:vAlign w:val="center"/>
          </w:tcPr>
          <w:p>
            <w:pPr>
              <w:pStyle w:val="Compact"/>
              <w:keepNext w:val="0"/>
              <w:keepLines/>
              <w:spacing w:after="40" w:before="40" w:line="252" w:lineRule="auto"/>
              <w:jc w:val="left"/>
            </w:pPr>
            <m:oMath>
              <m:sSub>
                <m:e>
                  <m:r>
                    <m:t>K</m:t>
                  </m:r>
                </m:e>
                <m:sub>
                  <m:r>
                    <m:t>0</m:t>
                  </m:r>
                  <m:r>
                    <m:t>m</m:t>
                  </m:r>
                </m:sub>
              </m:sSub>
            </m:oMath>
          </w:p>
        </w:tc>
        <w:tc>
          <w:tcPr>
            <w:tcW w:type="dxa" w:w="4884"/>
            <w:vAlign w:val="center"/>
          </w:tcPr>
          <w:p>
            <w:pPr>
              <w:pStyle w:val="Compact"/>
              <w:keepNext w:val="0"/>
              <w:keepLines/>
              <w:spacing w:after="40" w:before="40" w:line="252" w:lineRule="auto"/>
              <w:jc w:val="left"/>
            </w:pPr>
            <w:r>
              <w:rPr>
                <w:b w:val="0"/>
                <w:sz w:val="20"/>
              </w:rPr>
              <w:t xml:space="preserve">Median training strike, used to centre and scale the carry regression</w:t>
            </w:r>
          </w:p>
        </w:tc>
        <w:tc>
          <w:tcPr>
            <w:tcW w:type="dxa" w:w="2490"/>
            <w:vAlign w:val="center"/>
          </w:tcPr>
          <w:p>
            <w:pPr>
              <w:pStyle w:val="Compact"/>
              <w:keepNext w:val="0"/>
              <w:keepLines/>
              <w:spacing w:after="40" w:before="40" w:line="252" w:lineRule="auto"/>
              <w:jc w:val="left"/>
            </w:pPr>
            <w:r>
              <w:rPr>
                <w:b w:val="0"/>
                <w:sz w:val="20"/>
              </w:rPr>
              <w:t xml:space="preserve">Index points</w:t>
            </w:r>
          </w:p>
        </w:tc>
      </w:tr>
      <w:tr>
        <w:trPr>
          <w:cantSplit/>
        </w:trPr>
        <w:tc>
          <w:tcPr>
            <w:tcW w:type="dxa" w:w="2202"/>
            <w:vAlign w:val="center"/>
          </w:tcPr>
          <w:p>
            <w:pPr>
              <w:pStyle w:val="Compact"/>
              <w:keepNext w:val="0"/>
              <w:keepLines/>
              <w:spacing w:after="40" w:before="40" w:line="252" w:lineRule="auto"/>
              <w:jc w:val="left"/>
            </w:pPr>
            <m:oMath>
              <m:sSub>
                <m:e>
                  <m:r>
                    <m:t>β</m:t>
                  </m:r>
                </m:e>
                <m:sub>
                  <m:r>
                    <m:t>0</m:t>
                  </m:r>
                </m:sub>
              </m:sSub>
            </m:oMath>
            <w:r>
              <w:rPr>
                <w:b w:val="0"/>
                <w:sz w:val="20"/>
              </w:rPr>
              <w:t xml:space="preserve">,</w:t>
            </w:r>
            <w:r>
              <w:rPr>
                <w:b w:val="0"/>
                <w:sz w:val="20"/>
              </w:rPr>
              <w:t xml:space="preserve"> </w:t>
            </w:r>
            <m:oMath>
              <m:sSub>
                <m:e>
                  <m:r>
                    <m:t>β</m:t>
                  </m:r>
                </m:e>
                <m:sub>
                  <m:r>
                    <m:t>1</m:t>
                  </m:r>
                </m:sub>
              </m:sSub>
            </m:oMath>
          </w:p>
        </w:tc>
        <w:tc>
          <w:tcPr>
            <w:tcW w:type="dxa" w:w="4884"/>
            <w:vAlign w:val="center"/>
          </w:tcPr>
          <w:p>
            <w:pPr>
              <w:pStyle w:val="Compact"/>
              <w:keepNext w:val="0"/>
              <w:keepLines/>
              <w:spacing w:after="40" w:before="40" w:line="252" w:lineRule="auto"/>
              <w:jc w:val="left"/>
            </w:pPr>
            <w:r>
              <w:rPr>
                <w:b w:val="0"/>
                <w:sz w:val="20"/>
              </w:rPr>
              <w:t xml:space="preserve">Scaled parity intercept</w:t>
            </w:r>
            <w:r>
              <w:rPr>
                <w:b w:val="0"/>
                <w:sz w:val="20"/>
              </w:rPr>
              <w:t xml:space="preserve"> </w:t>
            </w:r>
            <m:oMath>
              <m:d>
                <m:dPr>
                  <m:begChr m:val="("/>
                  <m:endChr m:val=")"/>
                  <m:sepChr m:val=""/>
                  <m:grow/>
                </m:dPr>
                <m:e>
                  <m:r>
                    <m:t>H</m:t>
                  </m:r>
                  <m:r>
                    <m:rPr>
                      <m:sty m:val="p"/>
                    </m:rPr>
                    <m:t>−</m:t>
                  </m:r>
                  <m:r>
                    <m:t>D</m:t>
                  </m:r>
                  <m:sSub>
                    <m:e>
                      <m:r>
                        <m:t>K</m:t>
                      </m:r>
                    </m:e>
                    <m:sub>
                      <m:r>
                        <m:t>0</m:t>
                      </m:r>
                    </m:sub>
                  </m:sSub>
                </m:e>
              </m:d>
              <m:r>
                <m:rPr>
                  <m:sty m:val="p"/>
                </m:rPr>
                <m:t>/</m:t>
              </m:r>
              <m:sSub>
                <m:e>
                  <m:r>
                    <m:t>K</m:t>
                  </m:r>
                </m:e>
                <m:sub>
                  <m:r>
                    <m:t>0</m:t>
                  </m:r>
                </m:sub>
              </m:sSub>
            </m:oMath>
            <w:r>
              <w:rPr>
                <w:b w:val="0"/>
                <w:sz w:val="20"/>
              </w:rPr>
              <w:t xml:space="preserve"> </w:t>
            </w:r>
            <w:r>
              <w:rPr>
                <w:b w:val="0"/>
                <w:sz w:val="20"/>
              </w:rPr>
              <w:t xml:space="preserve">and discount factor</w:t>
            </w:r>
            <w:r>
              <w:rPr>
                <w:b w:val="0"/>
                <w:sz w:val="20"/>
              </w:rPr>
              <w:t xml:space="preserve"> </w:t>
            </w:r>
            <m:oMath>
              <m:r>
                <m:t>D</m:t>
              </m:r>
            </m:oMath>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sSub>
                <m:e>
                  <m:r>
                    <m:t>ε</m:t>
                  </m:r>
                </m:e>
                <m:sub>
                  <m:r>
                    <m:rPr>
                      <m:sty m:val="p"/>
                    </m:rPr>
                    <m:t>c</m:t>
                  </m:r>
                  <m:r>
                    <m:rPr>
                      <m:sty m:val="p"/>
                    </m:rPr>
                    <m:t>a</m:t>
                  </m:r>
                  <m:r>
                    <m:rPr>
                      <m:sty m:val="p"/>
                    </m:rPr>
                    <m:t>r</m:t>
                  </m:r>
                  <m:r>
                    <m:rPr>
                      <m:sty m:val="p"/>
                    </m:rPr>
                    <m:t>r</m:t>
                  </m:r>
                  <m:r>
                    <m:rPr>
                      <m:sty m:val="p"/>
                    </m:rPr>
                    <m:t>y</m:t>
                  </m:r>
                </m:sub>
              </m:sSub>
            </m:oMath>
          </w:p>
        </w:tc>
        <w:tc>
          <w:tcPr>
            <w:tcW w:type="dxa" w:w="4884"/>
            <w:vAlign w:val="center"/>
          </w:tcPr>
          <w:p>
            <w:pPr>
              <w:pStyle w:val="Compact"/>
              <w:keepNext w:val="0"/>
              <w:keepLines/>
              <w:spacing w:after="40" w:before="40" w:line="252" w:lineRule="auto"/>
              <w:jc w:val="left"/>
            </w:pPr>
            <w:r>
              <w:rPr>
                <w:b w:val="0"/>
                <w:sz w:val="20"/>
              </w:rPr>
              <w:t xml:space="preserve">Positive lower bound for scaled carry inputs in Equation (39),</w:t>
            </w:r>
            <w:r>
              <w:rPr>
                <w:b w:val="0"/>
                <w:sz w:val="20"/>
              </w:rPr>
              <w:t xml:space="preserve"> </w:t>
            </w:r>
            <m:oMath>
              <m:sSup>
                <m:e>
                  <m:r>
                    <m:t>10</m:t>
                  </m:r>
                </m:e>
                <m:sup>
                  <m:r>
                    <m:rPr>
                      <m:sty m:val="p"/>
                    </m:rPr>
                    <m:t>−</m:t>
                  </m:r>
                  <m:r>
                    <m:t>8</m:t>
                  </m:r>
                </m:sup>
              </m:sSup>
            </m:oMath>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sSub>
                <m:e>
                  <m:r>
                    <m:t>N</m:t>
                  </m:r>
                </m:e>
                <m:sub>
                  <m:r>
                    <m:t>m</m:t>
                  </m:r>
                </m:sub>
              </m:sSub>
            </m:oMath>
          </w:p>
        </w:tc>
        <w:tc>
          <w:tcPr>
            <w:tcW w:type="dxa" w:w="4884"/>
            <w:vAlign w:val="center"/>
          </w:tcPr>
          <w:p>
            <w:pPr>
              <w:pStyle w:val="Compact"/>
              <w:keepNext w:val="0"/>
              <w:keepLines/>
              <w:spacing w:after="40" w:before="40" w:line="252" w:lineRule="auto"/>
              <w:jc w:val="left"/>
            </w:pPr>
            <w:r>
              <w:rPr>
                <w:b w:val="0"/>
                <w:sz w:val="20"/>
              </w:rPr>
              <w:t xml:space="preserve">Retained call–put pair count used in a full-sample or training-only carry fit</w:t>
            </w:r>
          </w:p>
        </w:tc>
        <w:tc>
          <w:tcPr>
            <w:tcW w:type="dxa" w:w="2490"/>
            <w:vAlign w:val="center"/>
          </w:tcPr>
          <w:p>
            <w:pPr>
              <w:pStyle w:val="Compact"/>
              <w:keepNext w:val="0"/>
              <w:keepLines/>
              <w:spacing w:after="40" w:before="40" w:line="252" w:lineRule="auto"/>
              <w:jc w:val="left"/>
            </w:pPr>
            <w:r>
              <w:rPr>
                <w:b w:val="0"/>
                <w:sz w:val="20"/>
              </w:rPr>
              <w:t xml:space="preserve">Count</w:t>
            </w:r>
          </w:p>
        </w:tc>
      </w:tr>
      <w:tr>
        <w:trPr>
          <w:cantSplit/>
        </w:trPr>
        <w:tc>
          <w:tcPr>
            <w:tcW w:type="dxa" w:w="2202"/>
            <w:vAlign w:val="center"/>
          </w:tcPr>
          <w:p>
            <w:pPr>
              <w:pStyle w:val="Compact"/>
              <w:keepNext w:val="0"/>
              <w:keepLines/>
              <w:spacing w:after="40" w:before="40" w:line="252" w:lineRule="auto"/>
              <w:jc w:val="left"/>
            </w:pPr>
            <m:oMath>
              <m:sSub>
                <m:e>
                  <m:r>
                    <m:t>K</m:t>
                  </m:r>
                </m:e>
                <m:sub>
                  <m:r>
                    <m:t>m</m:t>
                  </m:r>
                  <m:r>
                    <m:t>i</m:t>
                  </m:r>
                </m:sub>
              </m:sSub>
            </m:oMath>
          </w:p>
        </w:tc>
        <w:tc>
          <w:tcPr>
            <w:tcW w:type="dxa" w:w="4884"/>
            <w:vAlign w:val="center"/>
          </w:tcPr>
          <w:p>
            <w:pPr>
              <w:pStyle w:val="Compact"/>
              <w:keepNext w:val="0"/>
              <w:keepLines/>
              <w:spacing w:after="40" w:before="40" w:line="252" w:lineRule="auto"/>
              <w:jc w:val="left"/>
            </w:pPr>
            <w:r>
              <w:rPr>
                <w:b w:val="0"/>
                <w:sz w:val="20"/>
              </w:rPr>
              <w:t xml:space="preserve">Strike of matched pair</w:t>
            </w:r>
            <w:r>
              <w:rPr>
                <w:b w:val="0"/>
                <w:sz w:val="20"/>
              </w:rPr>
              <w:t xml:space="preserve"> </w:t>
            </w:r>
            <m:oMath>
              <m:r>
                <m:t>i</m:t>
              </m:r>
            </m:oMath>
            <w:r>
              <w:rPr>
                <w:b w:val="0"/>
                <w:sz w:val="20"/>
              </w:rPr>
              <w:t xml:space="preserve"> </w:t>
            </w:r>
            <w:r>
              <w:rPr>
                <w:b w:val="0"/>
                <w:sz w:val="20"/>
              </w:rPr>
              <w:t xml:space="preserve">at maturity</w:t>
            </w:r>
            <w:r>
              <w:rPr>
                <w:b w:val="0"/>
                <w:sz w:val="20"/>
              </w:rPr>
              <w:t xml:space="preserve"> </w:t>
            </w:r>
            <m:oMath>
              <m:r>
                <m:t>m</m:t>
              </m:r>
            </m:oMath>
          </w:p>
        </w:tc>
        <w:tc>
          <w:tcPr>
            <w:tcW w:type="dxa" w:w="2490"/>
            <w:vAlign w:val="center"/>
          </w:tcPr>
          <w:p>
            <w:pPr>
              <w:pStyle w:val="Compact"/>
              <w:keepNext w:val="0"/>
              <w:keepLines/>
              <w:spacing w:after="40" w:before="40" w:line="252" w:lineRule="auto"/>
              <w:jc w:val="left"/>
            </w:pPr>
            <w:r>
              <w:rPr>
                <w:b w:val="0"/>
                <w:sz w:val="20"/>
              </w:rPr>
              <w:t xml:space="preserve">Index points</w:t>
            </w:r>
          </w:p>
        </w:tc>
      </w:tr>
      <w:tr>
        <w:trPr>
          <w:cantSplit/>
        </w:trPr>
        <w:tc>
          <w:tcPr>
            <w:tcW w:type="dxa" w:w="2202"/>
            <w:vAlign w:val="center"/>
          </w:tcPr>
          <w:p>
            <w:pPr>
              <w:pStyle w:val="Compact"/>
              <w:keepNext w:val="0"/>
              <w:keepLines/>
              <w:spacing w:after="40" w:before="40" w:line="252" w:lineRule="auto"/>
              <w:jc w:val="left"/>
            </w:pPr>
            <m:oMath>
              <m:sSubSup>
                <m:e>
                  <m:r>
                    <m:rPr>
                      <m:sty m:val="p"/>
                    </m:rPr>
                    <m:t>ℓ</m:t>
                  </m:r>
                </m:e>
                <m:sub>
                  <m:r>
                    <m:t>m</m:t>
                  </m:r>
                  <m:r>
                    <m:t>i</m:t>
                  </m:r>
                </m:sub>
                <m:sup>
                  <m:r>
                    <m:t>C</m:t>
                  </m:r>
                </m:sup>
              </m:sSubSup>
            </m:oMath>
            <w:r>
              <w:rPr>
                <w:b w:val="0"/>
                <w:sz w:val="20"/>
              </w:rPr>
              <w:t xml:space="preserve">,</w:t>
            </w:r>
            <w:r>
              <w:rPr>
                <w:b w:val="0"/>
                <w:sz w:val="20"/>
              </w:rPr>
              <w:t xml:space="preserve"> </w:t>
            </w:r>
            <m:oMath>
              <m:sSubSup>
                <m:e>
                  <m:r>
                    <m:t>u</m:t>
                  </m:r>
                </m:e>
                <m:sub>
                  <m:r>
                    <m:t>m</m:t>
                  </m:r>
                  <m:r>
                    <m:t>i</m:t>
                  </m:r>
                </m:sub>
                <m:sup>
                  <m:r>
                    <m:t>C</m:t>
                  </m:r>
                </m:sup>
              </m:sSubSup>
            </m:oMath>
          </w:p>
        </w:tc>
        <w:tc>
          <w:tcPr>
            <w:tcW w:type="dxa" w:w="4884"/>
            <w:vAlign w:val="center"/>
          </w:tcPr>
          <w:p>
            <w:pPr>
              <w:pStyle w:val="Compact"/>
              <w:keepNext w:val="0"/>
              <w:keepLines/>
              <w:spacing w:after="40" w:before="40" w:line="252" w:lineRule="auto"/>
              <w:jc w:val="left"/>
            </w:pPr>
            <w:r>
              <w:rPr>
                <w:b w:val="0"/>
                <w:sz w:val="20"/>
              </w:rPr>
              <w:t xml:space="preserve">Intersection bounds from original call and parity-transformed put quotes</w:t>
            </w:r>
          </w:p>
        </w:tc>
        <w:tc>
          <w:tcPr>
            <w:tcW w:type="dxa" w:w="2490"/>
            <w:vAlign w:val="center"/>
          </w:tcPr>
          <w:p>
            <w:pPr>
              <w:pStyle w:val="Compact"/>
              <w:keepNext w:val="0"/>
              <w:keepLines/>
              <w:spacing w:after="40" w:before="40" w:line="252" w:lineRule="auto"/>
              <w:jc w:val="left"/>
            </w:pPr>
            <w:r>
              <w:rPr>
                <w:b w:val="0"/>
                <w:sz w:val="20"/>
              </w:rPr>
              <w:t xml:space="preserve">Index points</w:t>
            </w:r>
          </w:p>
        </w:tc>
      </w:tr>
      <w:tr>
        <w:trPr>
          <w:cantSplit/>
        </w:trPr>
        <w:tc>
          <w:tcPr>
            <w:tcW w:type="dxa" w:w="2202"/>
            <w:vAlign w:val="center"/>
          </w:tcPr>
          <w:p>
            <w:pPr>
              <w:pStyle w:val="Compact"/>
              <w:keepNext w:val="0"/>
              <w:keepLines/>
              <w:spacing w:after="40" w:before="40" w:line="252" w:lineRule="auto"/>
              <w:jc w:val="left"/>
            </w:pPr>
            <m:oMath>
              <m:r>
                <m:t>W</m:t>
              </m:r>
            </m:oMath>
          </w:p>
        </w:tc>
        <w:tc>
          <w:tcPr>
            <w:tcW w:type="dxa" w:w="4884"/>
            <w:vAlign w:val="center"/>
          </w:tcPr>
          <w:p>
            <w:pPr>
              <w:pStyle w:val="Compact"/>
              <w:keepNext w:val="0"/>
              <w:keepLines/>
              <w:spacing w:after="40" w:before="40" w:line="252" w:lineRule="auto"/>
              <w:jc w:val="left"/>
            </w:pPr>
            <w:r>
              <w:rPr>
                <w:b w:val="0"/>
                <w:sz w:val="20"/>
              </w:rPr>
              <w:t xml:space="preserve">Matrix of probability masses over all jointly fitted maturities</w:t>
            </w:r>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sSub>
                <m:e>
                  <m:r>
                    <m:rPr>
                      <m:sty m:val="p"/>
                      <m:scr m:val="script"/>
                    </m:rPr>
                    <m:t>P</m:t>
                  </m:r>
                </m:e>
                <m:sub>
                  <m:r>
                    <m:t>J</m:t>
                  </m:r>
                </m:sub>
              </m:sSub>
            </m:oMath>
            <w:r>
              <w:rPr>
                <w:b w:val="0"/>
                <w:sz w:val="20"/>
              </w:rPr>
              <w:t xml:space="preserve">,</w:t>
            </w:r>
            <w:r>
              <w:rPr>
                <w:b w:val="0"/>
                <w:sz w:val="20"/>
              </w:rPr>
              <w:t xml:space="preserve"> </w:t>
            </w:r>
            <m:oMath>
              <m:sSub>
                <m:e>
                  <m:r>
                    <m:rPr>
                      <m:sty m:val="p"/>
                      <m:scr m:val="script"/>
                    </m:rPr>
                    <m:t>F</m:t>
                  </m:r>
                </m:e>
                <m:sub>
                  <m:r>
                    <m:t>J</m:t>
                  </m:r>
                </m:sub>
              </m:sSub>
            </m:oMath>
          </w:p>
        </w:tc>
        <w:tc>
          <w:tcPr>
            <w:tcW w:type="dxa" w:w="4884"/>
            <w:vAlign w:val="center"/>
          </w:tcPr>
          <w:p>
            <w:pPr>
              <w:pStyle w:val="Compact"/>
              <w:keepNext w:val="0"/>
              <w:keepLines/>
              <w:spacing w:after="40" w:before="40" w:line="252" w:lineRule="auto"/>
              <w:jc w:val="left"/>
            </w:pPr>
            <w:r>
              <w:rPr>
                <w:b w:val="0"/>
                <w:sz w:val="20"/>
              </w:rPr>
              <w:t xml:space="preserve">Finite-bin probability/calendar family, and its original-spread-feasible subset</w:t>
            </w:r>
          </w:p>
        </w:tc>
        <w:tc>
          <w:tcPr>
            <w:tcW w:type="dxa" w:w="2490"/>
            <w:vAlign w:val="center"/>
          </w:tcPr>
          <w:p>
            <w:pPr>
              <w:pStyle w:val="Compact"/>
              <w:keepNext w:val="0"/>
              <w:keepLines/>
              <w:spacing w:after="40" w:before="40" w:line="252" w:lineRule="auto"/>
              <w:jc w:val="left"/>
            </w:pPr>
            <w:r>
              <w:rPr>
                <w:b w:val="0"/>
                <w:sz w:val="20"/>
              </w:rPr>
              <w:t xml:space="preserve">Sets of mass matrices</w:t>
            </w:r>
          </w:p>
        </w:tc>
      </w:tr>
      <w:tr>
        <w:trPr>
          <w:cantSplit/>
        </w:trPr>
        <w:tc>
          <w:tcPr>
            <w:tcW w:type="dxa" w:w="2202"/>
            <w:vAlign w:val="center"/>
          </w:tcPr>
          <w:p>
            <w:pPr>
              <w:pStyle w:val="Compact"/>
              <w:keepNext w:val="0"/>
              <w:keepLines/>
              <w:spacing w:after="40" w:before="40" w:line="252" w:lineRule="auto"/>
              <w:jc w:val="left"/>
            </w:pPr>
            <m:oMath>
              <m:sSubSup>
                <m:e>
                  <m:r>
                    <m:t>δ</m:t>
                  </m:r>
                </m:e>
                <m:sub>
                  <m:r>
                    <m:t>J</m:t>
                  </m:r>
                </m:sub>
                <m:sup>
                  <m:r>
                    <m:rPr>
                      <m:sty m:val="p"/>
                    </m:rPr>
                    <m:t>*</m:t>
                  </m:r>
                </m:sup>
              </m:sSubSup>
            </m:oMath>
          </w:p>
        </w:tc>
        <w:tc>
          <w:tcPr>
            <w:tcW w:type="dxa" w:w="4884"/>
            <w:vAlign w:val="center"/>
          </w:tcPr>
          <w:p>
            <w:pPr>
              <w:pStyle w:val="Compact"/>
              <w:keepNext w:val="0"/>
              <w:keepLines/>
              <w:spacing w:after="40" w:before="40" w:line="252" w:lineRule="auto"/>
              <w:jc w:val="left"/>
            </w:pPr>
            <w:r>
              <w:rPr>
                <w:b w:val="0"/>
                <w:sz w:val="20"/>
              </w:rPr>
              <w:t xml:space="preserve">Minimum common quote widening on the stated density grid; diagnostic only</w:t>
            </w:r>
          </w:p>
        </w:tc>
        <w:tc>
          <w:tcPr>
            <w:tcW w:type="dxa" w:w="2490"/>
            <w:vAlign w:val="center"/>
          </w:tcPr>
          <w:p>
            <w:pPr>
              <w:pStyle w:val="Compact"/>
              <w:keepNext w:val="0"/>
              <w:keepLines/>
              <w:spacing w:after="40" w:before="40" w:line="252" w:lineRule="auto"/>
              <w:jc w:val="left"/>
            </w:pPr>
            <w:r>
              <w:rPr>
                <w:b w:val="0"/>
                <w:sz w:val="20"/>
              </w:rPr>
              <w:t xml:space="preserve">Index points</w:t>
            </w:r>
          </w:p>
        </w:tc>
      </w:tr>
      <w:tr>
        <w:trPr>
          <w:cantSplit/>
        </w:trPr>
        <w:tc>
          <w:tcPr>
            <w:tcW w:type="dxa" w:w="2202"/>
            <w:vAlign w:val="center"/>
          </w:tcPr>
          <w:p>
            <w:pPr>
              <w:pStyle w:val="Compact"/>
              <w:keepNext w:val="0"/>
              <w:keepLines/>
              <w:spacing w:after="40" w:before="40" w:line="252" w:lineRule="auto"/>
              <w:jc w:val="left"/>
            </w:pPr>
            <m:oMath>
              <m:sSub>
                <m:e>
                  <m:r>
                    <m:rPr>
                      <m:sty m:val="p"/>
                      <m:scr m:val="script"/>
                    </m:rPr>
                    <m:t>R</m:t>
                  </m:r>
                </m:e>
                <m:sub>
                  <m:r>
                    <m:t>J</m:t>
                  </m:r>
                </m:sub>
              </m:sSub>
              <m:d>
                <m:dPr>
                  <m:begChr m:val="("/>
                  <m:endChr m:val=")"/>
                  <m:sepChr m:val=""/>
                  <m:grow/>
                </m:dPr>
                <m:e>
                  <m:r>
                    <m:t>W</m:t>
                  </m:r>
                </m:e>
              </m:d>
            </m:oMath>
          </w:p>
        </w:tc>
        <w:tc>
          <w:tcPr>
            <w:tcW w:type="dxa" w:w="4884"/>
            <w:vAlign w:val="center"/>
          </w:tcPr>
          <w:p>
            <w:pPr>
              <w:pStyle w:val="Compact"/>
              <w:keepNext w:val="0"/>
              <w:keepLines/>
              <w:spacing w:after="40" w:before="40" w:line="252" w:lineRule="auto"/>
              <w:jc w:val="left"/>
            </w:pPr>
            <w:r>
              <w:rPr>
                <w:b w:val="0"/>
                <w:sz w:val="20"/>
              </w:rPr>
              <w:t xml:space="preserve">Discrete density-curvature criterion used without a price-error tradeoff</w:t>
            </w:r>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r>
                <m:rPr>
                  <m:sty m:val="b"/>
                </m:rPr>
                <m:t>a</m:t>
              </m:r>
            </m:oMath>
          </w:p>
        </w:tc>
        <w:tc>
          <w:tcPr>
            <w:tcW w:type="dxa" w:w="4884"/>
            <w:vAlign w:val="center"/>
          </w:tcPr>
          <w:p>
            <w:pPr>
              <w:pStyle w:val="Compact"/>
              <w:keepNext w:val="0"/>
              <w:keepLines/>
              <w:spacing w:after="40" w:before="40" w:line="252" w:lineRule="auto"/>
              <w:jc w:val="left"/>
            </w:pPr>
            <w:r>
              <w:rPr>
                <w:b w:val="0"/>
                <w:sz w:val="20"/>
              </w:rPr>
              <w:t xml:space="preserve">Exact bin-event fractions, including time weights where applicable</w:t>
            </w:r>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r>
                <m:rPr>
                  <m:sty m:val="p"/>
                </m:rPr>
                <m:t>vec</m:t>
              </m:r>
              <m:d>
                <m:dPr>
                  <m:begChr m:val="("/>
                  <m:endChr m:val=")"/>
                  <m:sepChr m:val=""/>
                  <m:grow/>
                </m:dPr>
                <m:e>
                  <m:r>
                    <m:t>W</m:t>
                  </m:r>
                </m:e>
              </m:d>
            </m:oMath>
          </w:p>
        </w:tc>
        <w:tc>
          <w:tcPr>
            <w:tcW w:type="dxa" w:w="4884"/>
            <w:vAlign w:val="center"/>
          </w:tcPr>
          <w:p>
            <w:pPr>
              <w:pStyle w:val="Compact"/>
              <w:keepNext w:val="0"/>
              <w:keepLines/>
              <w:spacing w:after="40" w:before="40" w:line="252" w:lineRule="auto"/>
              <w:jc w:val="left"/>
            </w:pPr>
            <w:r>
              <w:rPr>
                <w:b w:val="0"/>
                <w:sz w:val="20"/>
              </w:rPr>
              <w:t xml:space="preserve">Mass matrix flattened in maturity-major order</w:t>
            </w:r>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sSub>
                <m:e>
                  <m:bar>
                    <m:barPr>
                      <m:pos m:val="bot"/>
                    </m:barPr>
                    <m:e>
                      <m:r>
                        <m:t>p</m:t>
                      </m:r>
                    </m:e>
                  </m:bar>
                </m:e>
                <m:sub>
                  <m:r>
                    <m:t>J</m:t>
                  </m:r>
                </m:sub>
              </m:sSub>
            </m:oMath>
            <w:r>
              <w:rPr>
                <w:b w:val="0"/>
                <w:sz w:val="20"/>
              </w:rPr>
              <w:t xml:space="preserve">,</w:t>
            </w:r>
            <w:r>
              <w:rPr>
                <w:b w:val="0"/>
                <w:sz w:val="20"/>
              </w:rPr>
              <w:t xml:space="preserve"> </w:t>
            </w:r>
            <m:oMath>
              <m:sSub>
                <m:e>
                  <m:bar>
                    <m:barPr>
                      <m:pos m:val="top"/>
                    </m:barPr>
                    <m:e>
                      <m:r>
                        <m:t>p</m:t>
                      </m:r>
                    </m:e>
                  </m:bar>
                </m:e>
                <m:sub>
                  <m:r>
                    <m:t>J</m:t>
                  </m:r>
                </m:sub>
              </m:sSub>
            </m:oMath>
          </w:p>
        </w:tc>
        <w:tc>
          <w:tcPr>
            <w:tcW w:type="dxa" w:w="4884"/>
            <w:vAlign w:val="center"/>
          </w:tcPr>
          <w:p>
            <w:pPr>
              <w:pStyle w:val="Compact"/>
              <w:keepNext w:val="0"/>
              <w:keepLines/>
              <w:spacing w:after="40" w:before="40" w:line="252" w:lineRule="auto"/>
              <w:jc w:val="left"/>
            </w:pPr>
            <w:r>
              <w:rPr>
                <w:b w:val="0"/>
                <w:sz w:val="20"/>
              </w:rPr>
              <w:t xml:space="preserve">Conditional minimum/maximum event probability in the finite feasible family</w:t>
            </w:r>
          </w:p>
        </w:tc>
        <w:tc>
          <w:tcPr>
            <w:tcW w:type="dxa" w:w="2490"/>
            <w:vAlign w:val="center"/>
          </w:tcPr>
          <w:p>
            <w:pPr>
              <w:pStyle w:val="Compact"/>
              <w:keepNext w:val="0"/>
              <w:keepLines/>
              <w:spacing w:after="40" w:before="40" w:line="252" w:lineRule="auto"/>
              <w:jc w:val="left"/>
            </w:pPr>
            <w:r>
              <w:rPr>
                <w:b w:val="0"/>
                <w:sz w:val="20"/>
              </w:rPr>
              <w:t xml:space="preserve">Dimensionless; optionally percentages</w:t>
            </w:r>
          </w:p>
        </w:tc>
      </w:tr>
      <w:tr>
        <w:trPr>
          <w:cantSplit/>
        </w:trPr>
        <w:tc>
          <w:tcPr>
            <w:tcW w:type="dxa" w:w="2202"/>
            <w:vAlign w:val="center"/>
          </w:tcPr>
          <w:p>
            <w:pPr>
              <w:pStyle w:val="Compact"/>
              <w:keepNext w:val="0"/>
              <w:keepLines/>
              <w:spacing w:after="40" w:before="40" w:line="252" w:lineRule="auto"/>
              <w:jc w:val="left"/>
            </w:pPr>
            <m:oMath>
              <m:sSub>
                <m:e>
                  <m:r>
                    <m:t>T</m:t>
                  </m:r>
                </m:e>
                <m:sub>
                  <m:r>
                    <m:t>a</m:t>
                  </m:r>
                </m:sub>
              </m:sSub>
            </m:oMath>
            <w:r>
              <w:rPr>
                <w:b w:val="0"/>
                <w:sz w:val="20"/>
              </w:rPr>
              <w:t xml:space="preserve">,</w:t>
            </w:r>
            <w:r>
              <w:rPr>
                <w:b w:val="0"/>
                <w:sz w:val="20"/>
              </w:rPr>
              <w:t xml:space="preserve"> </w:t>
            </w:r>
            <m:oMath>
              <m:sSub>
                <m:e>
                  <m:r>
                    <m:t>T</m:t>
                  </m:r>
                </m:e>
                <m:sub>
                  <m:r>
                    <m:t>b</m:t>
                  </m:r>
                </m:sub>
              </m:sSub>
            </m:oMath>
            <w:r>
              <w:rPr>
                <w:b w:val="0"/>
                <w:sz w:val="20"/>
              </w:rPr>
              <w:t xml:space="preserve">,</w:t>
            </w:r>
            <w:r>
              <w:rPr>
                <w:b w:val="0"/>
                <w:sz w:val="20"/>
              </w:rPr>
              <w:t xml:space="preserve"> </w:t>
            </w:r>
            <m:oMath>
              <m:sSub>
                <m:e>
                  <m:r>
                    <m:t>T</m:t>
                  </m:r>
                </m:e>
                <m:sub>
                  <m:r>
                    <m:rPr>
                      <m:sty m:val="p"/>
                    </m:rPr>
                    <m:t>*</m:t>
                  </m:r>
                </m:sub>
              </m:sSub>
            </m:oMath>
          </w:p>
        </w:tc>
        <w:tc>
          <w:tcPr>
            <w:tcW w:type="dxa" w:w="4884"/>
            <w:vAlign w:val="center"/>
          </w:tcPr>
          <w:p>
            <w:pPr>
              <w:pStyle w:val="Compact"/>
              <w:keepNext w:val="0"/>
              <w:keepLines/>
              <w:spacing w:after="40" w:before="40" w:line="252" w:lineRule="auto"/>
              <w:jc w:val="left"/>
            </w:pPr>
            <w:r>
              <w:rPr>
                <w:b w:val="0"/>
                <w:sz w:val="20"/>
              </w:rPr>
              <w:t xml:space="preserve">Adjacent interpolation horizons and target horizon; all in the same unit</w:t>
            </w:r>
          </w:p>
        </w:tc>
        <w:tc>
          <w:tcPr>
            <w:tcW w:type="dxa" w:w="2490"/>
            <w:vAlign w:val="center"/>
          </w:tcPr>
          <w:p>
            <w:pPr>
              <w:pStyle w:val="Compact"/>
              <w:keepNext w:val="0"/>
              <w:keepLines/>
              <w:spacing w:after="40" w:before="40" w:line="252" w:lineRule="auto"/>
              <w:jc w:val="left"/>
            </w:pPr>
            <w:r>
              <w:rPr>
                <w:b w:val="0"/>
                <w:sz w:val="20"/>
              </w:rPr>
              <w:t xml:space="preserve">Elapsed days in Notebook 10</w:t>
            </w:r>
          </w:p>
        </w:tc>
      </w:tr>
      <w:tr>
        <w:trPr>
          <w:cantSplit/>
        </w:trPr>
        <w:tc>
          <w:tcPr>
            <w:tcW w:type="dxa" w:w="2202"/>
            <w:vAlign w:val="center"/>
          </w:tcPr>
          <w:p>
            <w:pPr>
              <w:pStyle w:val="Compact"/>
              <w:keepNext w:val="0"/>
              <w:keepLines/>
              <w:spacing w:after="40" w:before="40" w:line="252" w:lineRule="auto"/>
              <w:jc w:val="left"/>
            </w:pPr>
            <m:oMath>
              <m:sSub>
                <m:e>
                  <m:r>
                    <m:t>ω</m:t>
                  </m:r>
                </m:e>
                <m:sub>
                  <m:r>
                    <m:rPr>
                      <m:sty m:val="p"/>
                    </m:rPr>
                    <m:t>*</m:t>
                  </m:r>
                </m:sub>
              </m:sSub>
            </m:oMath>
          </w:p>
        </w:tc>
        <w:tc>
          <w:tcPr>
            <w:tcW w:type="dxa" w:w="4884"/>
            <w:vAlign w:val="center"/>
          </w:tcPr>
          <w:p>
            <w:pPr>
              <w:pStyle w:val="Compact"/>
              <w:keepNext w:val="0"/>
              <w:keepLines/>
              <w:spacing w:after="40" w:before="40" w:line="252" w:lineRule="auto"/>
              <w:jc w:val="left"/>
            </w:pPr>
            <w:r>
              <w:rPr>
                <w:b w:val="0"/>
                <w:sz w:val="20"/>
              </w:rPr>
              <w:t xml:space="preserve">Linear common-horizon time-mixture weight</w:t>
            </w:r>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sSub>
                <m:e>
                  <m:r>
                    <m:rPr>
                      <m:sty m:val="b"/>
                    </m:rPr>
                    <m:t>w</m:t>
                  </m:r>
                </m:e>
                <m:sub>
                  <m:r>
                    <m:rPr>
                      <m:sty m:val="p"/>
                    </m:rPr>
                    <m:t>*</m:t>
                  </m:r>
                </m:sub>
              </m:sSub>
            </m:oMath>
          </w:p>
        </w:tc>
        <w:tc>
          <w:tcPr>
            <w:tcW w:type="dxa" w:w="4884"/>
            <w:vAlign w:val="center"/>
          </w:tcPr>
          <w:p>
            <w:pPr>
              <w:pStyle w:val="Compact"/>
              <w:keepNext w:val="0"/>
              <w:keepLines/>
              <w:spacing w:after="40" w:before="40" w:line="252" w:lineRule="auto"/>
              <w:jc w:val="left"/>
            </w:pPr>
            <w:r>
              <w:rPr>
                <w:b w:val="0"/>
                <w:sz w:val="20"/>
              </w:rPr>
              <w:t xml:space="preserve">Assumed common-horizon mixture of normalised bin masses</w:t>
            </w:r>
          </w:p>
        </w:tc>
        <w:tc>
          <w:tcPr>
            <w:tcW w:type="dxa" w:w="2490"/>
            <w:vAlign w:val="center"/>
          </w:tcPr>
          <w:p>
            <w:pPr>
              <w:pStyle w:val="Compact"/>
              <w:keepNext w:val="0"/>
              <w:keepLines/>
              <w:spacing w:after="40" w:before="40" w:line="252" w:lineRule="auto"/>
              <w:jc w:val="left"/>
            </w:pPr>
            <w:r>
              <w:rPr>
                <w:b w:val="0"/>
                <w:sz w:val="20"/>
              </w:rPr>
              <w:t xml:space="preserve">Dimensionless</w:t>
            </w:r>
          </w:p>
        </w:tc>
      </w:tr>
      <w:tr>
        <w:trPr>
          <w:cantSplit/>
        </w:trPr>
        <w:tc>
          <w:tcPr>
            <w:tcW w:type="dxa" w:w="2202"/>
            <w:vAlign w:val="center"/>
          </w:tcPr>
          <w:p>
            <w:pPr>
              <w:pStyle w:val="Compact"/>
              <w:keepNext w:val="0"/>
              <w:keepLines/>
              <w:spacing w:after="40" w:before="40" w:line="252" w:lineRule="auto"/>
              <w:jc w:val="left"/>
            </w:pPr>
            <m:oMath>
              <m:sSub>
                <m:e>
                  <m:r>
                    <m:t>d</m:t>
                  </m:r>
                </m:e>
                <m:sub>
                  <m:r>
                    <m:t>1</m:t>
                  </m:r>
                </m:sub>
              </m:sSub>
              <m:d>
                <m:dPr>
                  <m:begChr m:val="("/>
                  <m:endChr m:val=")"/>
                  <m:sepChr m:val=""/>
                  <m:grow/>
                </m:dPr>
                <m:e>
                  <m:sSup>
                    <m:e>
                      <m:acc>
                        <m:accPr>
                          <m:chr m:val="̂"/>
                        </m:accPr>
                        <m:e>
                          <m:r>
                            <m:t>g</m:t>
                          </m:r>
                        </m:e>
                      </m:acc>
                    </m:e>
                    <m:sup>
                      <m:d>
                        <m:dPr>
                          <m:begChr m:val="("/>
                          <m:endChr m:val=")"/>
                          <m:sepChr m:val=""/>
                          <m:grow/>
                        </m:dPr>
                        <m:e>
                          <m:r>
                            <m:t>a</m:t>
                          </m:r>
                        </m:e>
                      </m:d>
                    </m:sup>
                  </m:sSup>
                  <m:r>
                    <m:rPr>
                      <m:sty m:val="p"/>
                    </m:rPr>
                    <m:t>,</m:t>
                  </m:r>
                  <m:sSup>
                    <m:e>
                      <m:acc>
                        <m:accPr>
                          <m:chr m:val="̂"/>
                        </m:accPr>
                        <m:e>
                          <m:r>
                            <m:t>g</m:t>
                          </m:r>
                        </m:e>
                      </m:acc>
                    </m:e>
                    <m:sup>
                      <m:d>
                        <m:dPr>
                          <m:begChr m:val="("/>
                          <m:endChr m:val=")"/>
                          <m:sepChr m:val=""/>
                          <m:grow/>
                        </m:dPr>
                        <m:e>
                          <m:r>
                            <m:t>b</m:t>
                          </m:r>
                        </m:e>
                      </m:d>
                    </m:sup>
                  </m:sSup>
                </m:e>
              </m:d>
            </m:oMath>
          </w:p>
        </w:tc>
        <w:tc>
          <w:tcPr>
            <w:tcW w:type="dxa" w:w="4884"/>
            <w:vAlign w:val="center"/>
          </w:tcPr>
          <w:p>
            <w:pPr>
              <w:pStyle w:val="Compact"/>
              <w:keepNext w:val="0"/>
              <w:keepLines/>
              <w:spacing w:after="40" w:before="40" w:line="252" w:lineRule="auto"/>
              <w:jc w:val="left"/>
            </w:pPr>
            <w:r>
              <w:rPr>
                <w:b w:val="0"/>
                <w:sz w:val="20"/>
              </w:rPr>
              <w:t xml:space="preserve">Integrated absolute difference between two fitted normalised densities</w:t>
            </w:r>
          </w:p>
        </w:tc>
        <w:tc>
          <w:tcPr>
            <w:tcW w:type="dxa" w:w="2490"/>
            <w:vAlign w:val="center"/>
          </w:tcPr>
          <w:p>
            <w:pPr>
              <w:pStyle w:val="Compact"/>
              <w:keepNext w:val="0"/>
              <w:keepLines/>
              <w:spacing w:after="40" w:before="40" w:line="252" w:lineRule="auto"/>
              <w:jc w:val="left"/>
            </w:pPr>
            <w:r>
              <w:rPr>
                <w:b w:val="0"/>
                <w:sz w:val="20"/>
              </w:rPr>
              <w:t xml:space="preserve">Dimensionless</w:t>
            </w:r>
          </w:p>
        </w:tc>
      </w:tr>
    </w:tbl>
    <w:p>
      <w:pPr>
        <w:sectPr>
          <w:footerReference w:type="default" r:id="rId11"/>
          <w:headerReference w:type="default" r:id="rId12"/>
          <w:type w:val="nextPage"/>
          <w:pgSz w:w="11906" w:h="16838" w:orient="portrait"/>
          <w:pgMar w:top="1008" w:bottom="1008" w:left="1152" w:right="1152" w:header="432" w:footer="432" w:gutter="0"/>
          <w:pgNumType w:fmt="lowerRoman" w:start="1"/>
        </w:sectPr>
        <w:spacing w:before="0" w:after="0" w:line="1" w:lineRule="exact"/>
      </w:pPr>
      <w:r>
        <w:rPr>
          <w:sz w:val="2"/>
        </w:rPr>
      </w:r>
    </w:p>
    <w:bookmarkEnd w:id="26"/>
    <w:bookmarkStart w:id="31" w:name="introduction"/>
    <w:p>
      <w:bookmarkStart w:id="508" w:name="h1"/>
      <w:pPr>
        <w:pStyle w:val="Heading1"/>
        <w:pageBreakBefore w:val="0"/>
        <w:numPr>
          <w:ilvl w:val="0"/>
          <w:numId w:val="70"/>
        </w:numPr>
      </w:pPr>
      <w:bookmarkEnd w:id="508"/>
      <w:r>
        <w:t>Introduction</w:t>
      </w:r>
    </w:p>
    <w:bookmarkStart w:id="27" w:name="research-background"/>
    <w:p>
      <w:bookmarkStart w:id="509" w:name="h2"/>
      <w:pPr>
        <w:pStyle w:val="Heading2"/>
        <w:numPr>
          <w:ilvl w:val="1"/>
          <w:numId w:val="70"/>
        </w:numPr>
      </w:pPr>
      <w:bookmarkEnd w:id="509"/>
      <w:r>
        <w:t>Research background</w:t>
      </w:r>
    </w:p>
    <w:p>
      <w:pPr>
        <w:pStyle w:val="FirstParagraph"/>
      </w:pPr>
      <w:r>
        <w:t xml:space="preserve">Option prices contain information about the distribution of future outcomes, but extracting that information requires more than drawing a smooth curve through observed prices. As Bahra explains in</w:t>
      </w:r>
      <w:r>
        <w:t xml:space="preserve"> </w:t>
      </w:r>
      <w:r>
        <w:rPr>
          <w:iCs/>
          <w:i/>
        </w:rPr>
        <w:t xml:space="preserve">Implied risk-neutral probability density functions from option prices: theory and application</w:t>
      </w:r>
      <w:r>
        <w:t xml:space="preserve">, a European option price is a discounted expected payoff under a risk-neutral probability measure [1]. The relationship allows prices to be used to recover a distribution. It also determines how that distribution should be interpreted: the probabilities are valuation probabilities, rather than direct estimates of how frequently an event will occur in the real world.</w:t>
      </w:r>
    </w:p>
    <w:p>
      <w:pPr>
        <w:pStyle w:val="BodyText"/>
      </w:pPr>
      <w:r>
        <w:t xml:space="preserve">Breeden and Litzenberger established the relationship between the curvature of a call-price curve and its implied state-contingent claims [6]. Following the derivation presented by Bahra [1], this project begins with numerical differentiation of a known price curve and develops a constrained estimator for discrete observations. As Aït-Sahalia and Duarte explain in</w:t>
      </w:r>
      <w:r>
        <w:t xml:space="preserve"> </w:t>
      </w:r>
      <w:r>
        <w:rPr>
          <w:iCs/>
          <w:i/>
        </w:rPr>
        <w:t xml:space="preserve">Nonparametric option pricing under shape restrictions</w:t>
      </w:r>
      <w:r>
        <w:t xml:space="preserve">, the direction and curvature of an estimated price function should respect the restrictions implied by option valuation [9]. These restrictions provide the foundation for the estimation work, although their particular locally polynomial estimator is not implemented here.</w:t>
      </w:r>
    </w:p>
    <w:p>
      <w:pPr>
        <w:pStyle w:val="BodyText"/>
      </w:pPr>
      <w:r>
        <w:t xml:space="preserve">The practical difficulty is that market observations are finite, spreads are nonzero and information is unevenly distributed across strikes. In his study of option-based distributions, Malz discusses the importance of interpolation and extrapolation when calculating tail probabilities [14]. This motivates the central question of the present work:</w:t>
      </w:r>
      <w:r>
        <w:t xml:space="preserve"> </w:t>
      </w:r>
      <w:r>
        <w:rPr>
          <w:bCs/>
          <w:b/>
        </w:rPr>
        <w:t xml:space="preserve">how far can a numerically consistent option-implied density be trusted when the available price information is incomplete?</w:t>
      </w:r>
    </w:p>
    <w:bookmarkEnd w:id="27"/>
    <w:bookmarkStart w:id="28" w:name="aim-and-objectives"/>
    <w:p>
      <w:bookmarkStart w:id="510" w:name="h3"/>
      <w:pPr>
        <w:pStyle w:val="Heading2"/>
        <w:numPr>
          <w:ilvl w:val="1"/>
          <w:numId w:val="70"/>
        </w:numPr>
      </w:pPr>
      <w:bookmarkEnd w:id="510"/>
      <w:r>
        <w:t>Aim and objectives</w:t>
      </w:r>
    </w:p>
    <w:p>
      <w:pPr>
        <w:pStyle w:val="FirstParagraph"/>
      </w:pPr>
      <w:r>
        <w:t xml:space="preserve">The aim is to develop and critically evaluate a reproducible method for recovering risk-neutral terminal distributions from European SPX option prices. The work has five linked objectives: establish the price–density relationship on a known benchmark; replace unstable differentiation with a probability-constrained estimator; enforce consistency across observed maturities; measure sensitivity and recovery error in controlled simulations; and apply the method to traceable market observations while retaining its empirical and numerical limitations.</w:t>
      </w:r>
    </w:p>
    <w:p>
      <w:pPr>
        <w:pStyle w:val="BodyText"/>
      </w:pPr>
      <w:r>
        <w:t xml:space="preserve">These objectives distinguish four questions that recur throughout the paper. Does the fitted object satisfy the probability and pricing restrictions? Does the numerical solution meet its stated tolerances? Does it reproduce the observations used to fit it? Finally, how accurately is the underlying distribution identified? A favourable answer to one question does not answer the others. In synthetic experiments, the last question can be measured against a known distribution. In the market application, that truth is unavailable, so the analysis instead reports sensitivity and conditional feasible probability ranges.</w:t>
      </w:r>
    </w:p>
    <w:bookmarkEnd w:id="28"/>
    <w:bookmarkStart w:id="29" w:name="scope-and-contribution"/>
    <w:p>
      <w:bookmarkStart w:id="511" w:name="h4"/>
      <w:pPr>
        <w:pStyle w:val="Heading2"/>
        <w:numPr>
          <w:ilvl w:val="1"/>
          <w:numId w:val="70"/>
        </w:numPr>
      </w:pPr>
      <w:bookmarkEnd w:id="511"/>
      <w:r>
        <w:t>Scope and contribution</w:t>
      </w:r>
    </w:p>
    <w:p>
      <w:pPr>
        <w:pStyle w:val="FirstParagraph"/>
      </w:pPr>
      <w:r>
        <w:t xml:space="preserve">The project comprises ten analytical notebooks, progressing from a single synthetic expiry to dated empirical comparisons. Its contribution is the integrated implementation and evaluation of a finite histogram estimator, exact bin-payoff valuation, analytical checks between calendar-constraint locations, controlled recovery experiments and bid–ask-compatible empirical estimation. The individual valuation identities, optimisation principles and simulation summaries are established relationships; the discretisation, experiment designs and reported numerical findings are this project’s work.</w:t>
      </w:r>
    </w:p>
    <w:p>
      <w:pPr>
        <w:pStyle w:val="BodyText"/>
      </w:pPr>
      <w:r>
        <w:t xml:space="preserve">The empirical sample contains two dates, 31 August and 18 September 2026, with a second intraday observation on the latter date. It uses three SPXW settlement horizons per snapshot and documented exchange best bid and offer prices. It is a small conditional case study, not a historical backtest or an event study. Discount factors and forwards are estimated jointly from matched call–put observations; an independently observed discount curve and executable market depth are unavailable in this profile.</w:t>
      </w:r>
    </w:p>
    <w:bookmarkEnd w:id="29"/>
    <w:bookmarkStart w:id="30" w:name="organisation-of-the-paper"/>
    <w:p>
      <w:bookmarkStart w:id="512" w:name="h5"/>
      <w:pPr>
        <w:pStyle w:val="Heading2"/>
        <w:numPr>
          <w:ilvl w:val="1"/>
          <w:numId w:val="70"/>
        </w:numPr>
      </w:pPr>
      <w:bookmarkEnd w:id="512"/>
      <w:r>
        <w:t>Organisation of the paper</w:t>
      </w:r>
    </w:p>
    <w:p>
      <w:pPr>
        <w:pStyle w:val="FirstParagraph"/>
      </w:pPr>
      <w:r>
        <w:t xml:space="preserve">Chapter 2 establishes the valuation relationships and the limitations of numerical differentiation. Chapter 3 addresses data assessment and the constrained single-maturity method. Chapter 4 links the maturity slices and develops the interval-level calendar check. Chapters 5 and 6 evaluate robustness, repeated perturbations, smoothing selection and forward sensitivity. Chapter 7 develops the empirical input process and the first market fit, before Chapter 8 addresses original bid–ask compatibility and dated comparisons. Chapter 9 consolidates the development setbacks and lessons. Chapters 10 and 11 discuss the evidence, answer the research question and identify further work. The appendices describe the reproducibility package and the four interactive companions.</w:t>
      </w:r>
    </w:p>
    <w:bookmarkEnd w:id="30"/>
    <w:bookmarkEnd w:id="31"/>
    <w:bookmarkStart w:id="47" w:name="X9db43471c5f03efdb1a30a7f1e76f6d4d29531e"/>
    <w:p>
      <w:bookmarkStart w:id="513" w:name="h6"/>
      <w:pPr>
        <w:pStyle w:val="Heading1"/>
        <w:numPr>
          <w:ilvl w:val="0"/>
          <w:numId w:val="70"/>
        </w:numPr>
      </w:pPr>
      <w:bookmarkEnd w:id="513"/>
      <w:r>
        <w:t>Valuation relationships and numerical recovery</w:t>
      </w:r>
    </w:p>
    <w:bookmarkStart w:id="32" w:name="X014c7ba5c66d6e2d640210ea9be84c820824c1c"/>
    <w:p>
      <w:bookmarkStart w:id="514" w:name="h7"/>
      <w:pPr>
        <w:pStyle w:val="Heading2"/>
        <w:numPr>
          <w:ilvl w:val="1"/>
          <w:numId w:val="70"/>
        </w:numPr>
      </w:pPr>
      <w:bookmarkEnd w:id="514"/>
      <w:r>
        <w:t>From European calls to a risk-neutral density</w:t>
      </w:r>
    </w:p>
    <w:p>
      <w:pPr>
        <w:pStyle w:val="FirstParagraph"/>
      </w:pPr>
      <w:r>
        <w:t xml:space="preserve">Let</w:t>
      </w:r>
      <w:r>
        <w:t xml:space="preserve"> </w:t>
      </w:r>
      <m:oMath>
        <m:sSub>
          <m:e>
            <m:r>
              <m:t>S</m:t>
            </m:r>
          </m:e>
          <m:sub>
            <m:r>
              <m:t>T</m:t>
            </m:r>
          </m:sub>
        </m:sSub>
      </m:oMath>
      <w:r>
        <w:t xml:space="preserve"> </w:t>
      </w:r>
      <w:r>
        <w:t xml:space="preserve">denote the terminal index level,</w:t>
      </w:r>
      <w:r>
        <w:t xml:space="preserve"> </w:t>
      </w:r>
      <m:oMath>
        <m:r>
          <m:t>K</m:t>
        </m:r>
      </m:oMath>
      <w:r>
        <w:t xml:space="preserve"> </w:t>
      </w:r>
      <w:r>
        <w:t xml:space="preserve">the strike and</w:t>
      </w:r>
      <w:r>
        <w:t xml:space="preserve"> </w:t>
      </w:r>
      <m:oMath>
        <m:r>
          <m:t>T</m:t>
        </m:r>
      </m:oMath>
      <w:r>
        <w:t xml:space="preserve"> </w:t>
      </w:r>
      <w:r>
        <w:t xml:space="preserve">the time to settlement in years. A density gives probabilities through integration over ranges of outcomes; its value at one exact outcome is not itself a probability. As Bahra explains in his Bank of England paper [1], deterministic discounting and a continuous terminal density give the expected-payoff representation in Equation (1).</w:t>
      </w:r>
    </w:p>
    <w:p>
      <w:pPr>
        <w:pStyle w:val="BodyText"/>
        <w:keepNext/>
        <w:spacing w:before="120" w:after="40"/>
        <w:jc w:val="center"/>
      </w:pPr>
      <m:oMathPara>
        <m:oMathParaPr>
          <m:jc m:val="center"/>
        </m:oMathParaPr>
        <m:oMath>
          <m:r>
            <m:t>C</m:t>
          </m:r>
          <m:d>
            <m:dPr>
              <m:begChr m:val="("/>
              <m:endChr m:val=")"/>
              <m:sepChr m:val=""/>
              <m:grow/>
            </m:dPr>
            <m:e>
              <m:r>
                <m:t>K</m:t>
              </m:r>
              <m:r>
                <m:rPr>
                  <m:sty m:val="p"/>
                </m:rPr>
                <m:t>,</m:t>
              </m:r>
              <m:r>
                <m:t>T</m:t>
              </m:r>
            </m:e>
          </m:d>
          <m:r>
            <m:rPr>
              <m:sty m:val="p"/>
            </m:rPr>
            <m:t>=</m:t>
          </m:r>
          <m:sSup>
            <m:e>
              <m:r>
                <m:t>e</m:t>
              </m:r>
            </m:e>
            <m:sup>
              <m:r>
                <m:rPr>
                  <m:sty m:val="p"/>
                </m:rPr>
                <m:t>−</m:t>
              </m:r>
              <m:r>
                <m:t>r</m:t>
              </m:r>
              <m:r>
                <m:t>T</m:t>
              </m:r>
            </m:sup>
          </m:sSup>
          <m:nary>
            <m:naryPr>
              <m:chr m:val="∫"/>
              <m:limLoc m:val="subSup"/>
              <m:subHide m:val="off"/>
              <m:supHide m:val="off"/>
            </m:naryPr>
            <m:sub>
              <m:r>
                <m:t>K</m:t>
              </m:r>
            </m:sub>
            <m:sup>
              <m:r>
                <m:rPr>
                  <m:sty m:val="p"/>
                </m:rPr>
                <m:t>∞</m:t>
              </m:r>
            </m:sup>
            <m:e>
              <m:d>
                <m:dPr>
                  <m:begChr m:val="("/>
                  <m:endChr m:val=")"/>
                  <m:sepChr m:val=""/>
                  <m:grow/>
                </m:dPr>
                <m:e>
                  <m:r>
                    <m:t>s</m:t>
                  </m:r>
                  <m:r>
                    <m:rPr>
                      <m:sty m:val="p"/>
                    </m:rPr>
                    <m:t>−</m:t>
                  </m:r>
                  <m:r>
                    <m:t>K</m:t>
                  </m:r>
                </m:e>
              </m:d>
            </m:e>
          </m:nary>
          <m:sSub>
            <m:e>
              <m:r>
                <m:t>f</m:t>
              </m:r>
            </m:e>
            <m:sub>
              <m:r>
                <m:t>Q</m:t>
              </m:r>
            </m:sub>
          </m:sSub>
          <m:d>
            <m:dPr>
              <m:begChr m:val="("/>
              <m:endChr m:val=")"/>
              <m:sepChr m:val=""/>
              <m:grow/>
            </m:dPr>
            <m:e>
              <m:r>
                <m:t>s</m:t>
              </m:r>
              <m:r>
                <m:rPr>
                  <m:sty m:val="p"/>
                </m:rPr>
                <m:t>;</m:t>
              </m:r>
              <m:r>
                <m:t>T</m:t>
              </m:r>
            </m:e>
          </m:d>
          <m:r>
            <m:t> </m:t>
          </m:r>
          <m:r>
            <m:t>d</m:t>
          </m:r>
          <m:r>
            <m:t>s</m:t>
          </m:r>
          <m:r>
            <m:rPr>
              <m:sty m:val="p"/>
            </m:rPr>
            <m:t>.</m:t>
          </m:r>
        </m:oMath>
      </m:oMathPara>
    </w:p>
    <w:p>
      <w:bookmarkStart w:id="515" w:name="equation1"/>
      <w:pPr>
        <w:pStyle w:val="EquationCaption"/>
      </w:pPr>
      <w:r>
        <w:t xml:space="preserve">Equation 1. Discounted expected call payoff.</w:t>
      </w:r>
      <w:bookmarkEnd w:id="515"/>
    </w:p>
    <w:p>
      <w:pPr>
        <w:pStyle w:val="BodyText"/>
      </w:pPr>
      <w:r>
        <w:t xml:space="preserve">Here</w:t>
      </w:r>
      <w:r>
        <w:t xml:space="preserve"> </w:t>
      </w:r>
      <m:oMath>
        <m:r>
          <m:t>r</m:t>
        </m:r>
      </m:oMath>
      <w:r>
        <w:t xml:space="preserve"> </w:t>
      </w:r>
      <w:r>
        <w:t xml:space="preserve">is the continuously compounded rate and</w:t>
      </w:r>
      <w:r>
        <w:t xml:space="preserve"> </w:t>
      </w:r>
      <m:oMath>
        <m:sSub>
          <m:e>
            <m:r>
              <m:t>f</m:t>
            </m:r>
          </m:e>
          <m:sub>
            <m:r>
              <m:t>Q</m:t>
            </m:r>
          </m:sub>
        </m:sSub>
      </m:oMath>
      <w:r>
        <w:t xml:space="preserve"> </w:t>
      </w:r>
      <w:r>
        <w:t xml:space="preserve">is the density under the risk-neutral measure</w:t>
      </w:r>
      <w:r>
        <w:t xml:space="preserve"> </w:t>
      </w:r>
      <m:oMath>
        <m:r>
          <m:t>Q</m:t>
        </m:r>
      </m:oMath>
      <w:r>
        <w:t xml:space="preserve">. Differentiating across strikes at one observation instant and one maturity gives Equation (2). The moving-boundary term is zero because the call payoff vanishes at</w:t>
      </w:r>
      <w:r>
        <w:t xml:space="preserve"> </w:t>
      </w:r>
      <m:oMath>
        <m:r>
          <m:t>s</m:t>
        </m:r>
        <m:r>
          <m:rPr>
            <m:sty m:val="p"/>
          </m:rPr>
          <m:t>=</m:t>
        </m:r>
        <m:r>
          <m:t>K</m:t>
        </m:r>
      </m:oMath>
      <w:r>
        <w:t xml:space="preserve">.</w:t>
      </w:r>
    </w:p>
    <w:p>
      <w:pPr>
        <w:pStyle w:val="BodyText"/>
        <w:keepNext/>
        <w:spacing w:before="120" w:after="40"/>
        <w:jc w:val="center"/>
      </w:pPr>
      <m:oMathPara>
        <m:oMathParaPr>
          <m:jc m:val="center"/>
        </m:oMathParaPr>
        <m:oMath>
          <m:f>
            <m:fPr>
              <m:type m:val="bar"/>
            </m:fPr>
            <m:num>
              <m:r>
                <m:rPr>
                  <m:sty m:val="p"/>
                </m:rPr>
                <m:t>∂</m:t>
              </m:r>
              <m:r>
                <m:t>C</m:t>
              </m:r>
            </m:num>
            <m:den>
              <m:r>
                <m:rPr>
                  <m:sty m:val="p"/>
                </m:rPr>
                <m:t>∂</m:t>
              </m:r>
              <m:r>
                <m:t>K</m:t>
              </m:r>
            </m:den>
          </m:f>
          <m:r>
            <m:rPr>
              <m:sty m:val="p"/>
            </m:rPr>
            <m:t>=</m:t>
          </m:r>
          <m:r>
            <m:rPr>
              <m:sty m:val="p"/>
            </m:rPr>
            <m:t>−</m:t>
          </m:r>
          <m:sSup>
            <m:e>
              <m:r>
                <m:t>e</m:t>
              </m:r>
            </m:e>
            <m:sup>
              <m:r>
                <m:rPr>
                  <m:sty m:val="p"/>
                </m:rPr>
                <m:t>−</m:t>
              </m:r>
              <m:r>
                <m:t>r</m:t>
              </m:r>
              <m:r>
                <m:t>T</m:t>
              </m:r>
            </m:sup>
          </m:sSup>
          <m:nary>
            <m:naryPr>
              <m:chr m:val="∫"/>
              <m:limLoc m:val="subSup"/>
              <m:subHide m:val="off"/>
              <m:supHide m:val="off"/>
            </m:naryPr>
            <m:sub>
              <m:r>
                <m:t>K</m:t>
              </m:r>
            </m:sub>
            <m:sup>
              <m:r>
                <m:rPr>
                  <m:sty m:val="p"/>
                </m:rPr>
                <m:t>∞</m:t>
              </m:r>
            </m:sup>
            <m:e>
              <m:sSub>
                <m:e>
                  <m:r>
                    <m:t>f</m:t>
                  </m:r>
                </m:e>
                <m:sub>
                  <m:r>
                    <m:t>Q</m:t>
                  </m:r>
                </m:sub>
              </m:sSub>
            </m:e>
          </m:nary>
          <m:d>
            <m:dPr>
              <m:begChr m:val="("/>
              <m:endChr m:val=")"/>
              <m:sepChr m:val=""/>
              <m:grow/>
            </m:dPr>
            <m:e>
              <m:r>
                <m:t>s</m:t>
              </m:r>
              <m:r>
                <m:rPr>
                  <m:sty m:val="p"/>
                </m:rPr>
                <m:t>;</m:t>
              </m:r>
              <m:r>
                <m:t>T</m:t>
              </m:r>
            </m:e>
          </m:d>
          <m:r>
            <m:t> </m:t>
          </m:r>
          <m:r>
            <m:t>d</m:t>
          </m:r>
          <m:r>
            <m:t>s</m:t>
          </m:r>
          <m:r>
            <m:rPr>
              <m:sty m:val="p"/>
            </m:rPr>
            <m:t>.</m:t>
          </m:r>
        </m:oMath>
      </m:oMathPara>
    </w:p>
    <w:p>
      <w:bookmarkStart w:id="516" w:name="equation2"/>
      <w:pPr>
        <w:pStyle w:val="EquationCaption"/>
      </w:pPr>
      <w:r>
        <w:t xml:space="preserve">Equation 2. First strike derivative of the call price.</w:t>
      </w:r>
      <w:bookmarkEnd w:id="516"/>
    </w:p>
    <w:p>
      <w:pPr>
        <w:pStyle w:val="BodyText"/>
      </w:pPr>
      <w:r>
        <w:t xml:space="preserve">Differentiating once more gives the Breeden–Litzenberger extraction relationship [6], following its derivation in Bahra [1]. The argument requires the stated smoothness and valuation assumptions; it is not differentiation across maturities or observation dates.</w:t>
      </w:r>
    </w:p>
    <w:p>
      <w:pPr>
        <w:pStyle w:val="BodyText"/>
        <w:keepNext/>
        <w:spacing w:before="120" w:after="40"/>
        <w:jc w:val="center"/>
      </w:pPr>
      <m:oMathPara>
        <m:oMathParaPr>
          <m:jc m:val="center"/>
        </m:oMathParaPr>
        <m:oMath>
          <m:sSub>
            <m:e>
              <m:r>
                <m:t>f</m:t>
              </m:r>
            </m:e>
            <m:sub>
              <m:r>
                <m:t>Q</m:t>
              </m:r>
            </m:sub>
          </m:sSub>
          <m:d>
            <m:dPr>
              <m:begChr m:val="("/>
              <m:endChr m:val=")"/>
              <m:sepChr m:val=""/>
              <m:grow/>
            </m:dPr>
            <m:e>
              <m:r>
                <m:t>K</m:t>
              </m:r>
              <m:r>
                <m:rPr>
                  <m:sty m:val="p"/>
                </m:rPr>
                <m:t>;</m:t>
              </m:r>
              <m:r>
                <m:t>T</m:t>
              </m:r>
            </m:e>
          </m:d>
          <m:r>
            <m:rPr>
              <m:sty m:val="p"/>
            </m:rPr>
            <m:t>=</m:t>
          </m:r>
          <m:sSup>
            <m:e>
              <m:r>
                <m:t>e</m:t>
              </m:r>
            </m:e>
            <m:sup>
              <m:r>
                <m:t>r</m:t>
              </m:r>
              <m:r>
                <m:t>T</m:t>
              </m:r>
            </m:sup>
          </m:sSup>
          <m:f>
            <m:fPr>
              <m:type m:val="bar"/>
            </m:fPr>
            <m:num>
              <m:sSup>
                <m:e>
                  <m:r>
                    <m:rPr>
                      <m:sty m:val="p"/>
                    </m:rPr>
                    <m:t>∂</m:t>
                  </m:r>
                </m:e>
                <m:sup>
                  <m:r>
                    <m:t>2</m:t>
                  </m:r>
                </m:sup>
              </m:sSup>
              <m:r>
                <m:t>C</m:t>
              </m:r>
            </m:num>
            <m:den>
              <m:r>
                <m:rPr>
                  <m:sty m:val="p"/>
                </m:rPr>
                <m:t>∂</m:t>
              </m:r>
              <m:sSup>
                <m:e>
                  <m:r>
                    <m:t>K</m:t>
                  </m:r>
                </m:e>
                <m:sup>
                  <m:r>
                    <m:t>2</m:t>
                  </m:r>
                </m:sup>
              </m:sSup>
            </m:den>
          </m:f>
          <m:r>
            <m:rPr>
              <m:sty m:val="p"/>
            </m:rPr>
            <m:t>.</m:t>
          </m:r>
        </m:oMath>
      </m:oMathPara>
    </w:p>
    <w:p>
      <w:bookmarkStart w:id="517" w:name="equation3"/>
      <w:pPr>
        <w:pStyle w:val="EquationCaption"/>
      </w:pPr>
      <w:r>
        <w:t xml:space="preserve">Equation 3. Breeden–Litzenberger density-extraction relationship.</w:t>
      </w:r>
      <w:bookmarkEnd w:id="517"/>
    </w:p>
    <w:bookmarkEnd w:id="32"/>
    <w:bookmarkStart w:id="39" w:name="X41003beee019e4f16b12519fa404b74c608e95f"/>
    <w:p>
      <w:bookmarkStart w:id="518" w:name="h8"/>
      <w:pPr>
        <w:pStyle w:val="Heading2"/>
        <w:numPr>
          <w:ilvl w:val="1"/>
          <w:numId w:val="70"/>
        </w:numPr>
      </w:pPr>
      <w:bookmarkEnd w:id="518"/>
      <w:r>
        <w:t>Controlled benchmark and finite differences</w:t>
      </w:r>
    </w:p>
    <w:p>
      <w:pPr>
        <w:pStyle w:val="FirstParagraph"/>
      </w:pPr>
      <w:r>
        <w:t xml:space="preserve">Black and Scholes derive option valuation through a no-arbitrage argument [8]. As Bahra describes [1], the constant-volatility benchmark provides a lognormal terminal distribution. It is used here as a known answer against which the implementation can be assessed. The synthetic initial index level is 6,000, the annual rate is 4%, the continuous dividend yield is 1.5%, the annual volatility is 20% and the maturity is half a year. The dividend adjustment follows the spot–forward relationship discussed by Aït-Sahalia and Lo [10, Equation (16)]. These are illustrative inputs and do not assert a lognormal empirical SPX distribution.</w:t>
      </w:r>
    </w:p>
    <w:p>
      <w:pPr>
        <w:pStyle w:val="BodyText"/>
      </w:pPr>
      <w:r>
        <w:t xml:space="preserve">As Driscoll and Braun explain in</w:t>
      </w:r>
      <w:r>
        <w:t xml:space="preserve"> </w:t>
      </w:r>
      <w:r>
        <w:rPr>
          <w:iCs/>
          <w:i/>
        </w:rPr>
        <w:t xml:space="preserve">Fundamentals of Numerical Computation</w:t>
      </w:r>
      <w:r>
        <w:t xml:space="preserve">, §5.4, a three-point centred difference approximates the second derivative [7]. Substituting their stencil into Equation (3) gives Equation (4), where</w:t>
      </w:r>
      <w:r>
        <w:t xml:space="preserve"> </w:t>
      </w:r>
      <m:oMath>
        <m:r>
          <m:t>h</m:t>
        </m:r>
      </m:oMath>
      <w:r>
        <w:t xml:space="preserve"> </w:t>
      </w:r>
      <w:r>
        <w:t xml:space="preserve">is the strike spacing.</w:t>
      </w:r>
    </w:p>
    <w:p>
      <w:pPr>
        <w:pStyle w:val="BodyText"/>
        <w:keepNext/>
        <w:spacing w:before="120" w:after="40"/>
        <w:jc w:val="center"/>
      </w:pPr>
      <m:oMathPara>
        <m:oMathParaPr>
          <m:jc m:val="center"/>
        </m:oMathParaPr>
        <m:oMath>
          <m:sSub>
            <m:e>
              <m:acc>
                <m:accPr>
                  <m:chr m:val="̂"/>
                </m:accPr>
                <m:e>
                  <m:r>
                    <m:t>f</m:t>
                  </m:r>
                </m:e>
              </m:acc>
            </m:e>
            <m:sub>
              <m:r>
                <m:t>Q</m:t>
              </m:r>
            </m:sub>
          </m:sSub>
          <m:d>
            <m:dPr>
              <m:begChr m:val="("/>
              <m:endChr m:val=")"/>
              <m:sepChr m:val=""/>
              <m:grow/>
            </m:dPr>
            <m:e>
              <m:sSub>
                <m:e>
                  <m:r>
                    <m:t>K</m:t>
                  </m:r>
                </m:e>
                <m:sub>
                  <m:r>
                    <m:t>i</m:t>
                  </m:r>
                </m:sub>
              </m:sSub>
            </m:e>
          </m:d>
          <m:r>
            <m:rPr>
              <m:sty m:val="p"/>
            </m:rPr>
            <m:t>=</m:t>
          </m:r>
          <m:sSup>
            <m:e>
              <m:r>
                <m:t>e</m:t>
              </m:r>
            </m:e>
            <m:sup>
              <m:r>
                <m:t>r</m:t>
              </m:r>
              <m:r>
                <m:t>T</m:t>
              </m:r>
            </m:sup>
          </m:sSup>
          <m:f>
            <m:fPr>
              <m:type m:val="bar"/>
            </m:fPr>
            <m:num>
              <m:r>
                <m:t>C</m:t>
              </m:r>
              <m:d>
                <m:dPr>
                  <m:begChr m:val="("/>
                  <m:endChr m:val=")"/>
                  <m:sepChr m:val=""/>
                  <m:grow/>
                </m:dPr>
                <m:e>
                  <m:sSub>
                    <m:e>
                      <m:r>
                        <m:t>K</m:t>
                      </m:r>
                    </m:e>
                    <m:sub>
                      <m:r>
                        <m:t>i</m:t>
                      </m:r>
                    </m:sub>
                  </m:sSub>
                  <m:r>
                    <m:rPr>
                      <m:sty m:val="p"/>
                    </m:rPr>
                    <m:t>+</m:t>
                  </m:r>
                  <m:r>
                    <m:t>h</m:t>
                  </m:r>
                </m:e>
              </m:d>
              <m:r>
                <m:rPr>
                  <m:sty m:val="p"/>
                </m:rPr>
                <m:t>−</m:t>
              </m:r>
              <m:r>
                <m:t>2</m:t>
              </m:r>
              <m:r>
                <m:t>C</m:t>
              </m:r>
              <m:d>
                <m:dPr>
                  <m:begChr m:val="("/>
                  <m:endChr m:val=")"/>
                  <m:sepChr m:val=""/>
                  <m:grow/>
                </m:dPr>
                <m:e>
                  <m:sSub>
                    <m:e>
                      <m:r>
                        <m:t>K</m:t>
                      </m:r>
                    </m:e>
                    <m:sub>
                      <m:r>
                        <m:t>i</m:t>
                      </m:r>
                    </m:sub>
                  </m:sSub>
                </m:e>
              </m:d>
              <m:r>
                <m:rPr>
                  <m:sty m:val="p"/>
                </m:rPr>
                <m:t>+</m:t>
              </m:r>
              <m:r>
                <m:t>C</m:t>
              </m:r>
              <m:d>
                <m:dPr>
                  <m:begChr m:val="("/>
                  <m:endChr m:val=")"/>
                  <m:sepChr m:val=""/>
                  <m:grow/>
                </m:dPr>
                <m:e>
                  <m:sSub>
                    <m:e>
                      <m:r>
                        <m:t>K</m:t>
                      </m:r>
                    </m:e>
                    <m:sub>
                      <m:r>
                        <m:t>i</m:t>
                      </m:r>
                    </m:sub>
                  </m:sSub>
                  <m:r>
                    <m:rPr>
                      <m:sty m:val="p"/>
                    </m:rPr>
                    <m:t>−</m:t>
                  </m:r>
                  <m:r>
                    <m:t>h</m:t>
                  </m:r>
                </m:e>
              </m:d>
            </m:num>
            <m:den>
              <m:sSup>
                <m:e>
                  <m:r>
                    <m:t>h</m:t>
                  </m:r>
                </m:e>
                <m:sup>
                  <m:r>
                    <m:t>2</m:t>
                  </m:r>
                </m:sup>
              </m:sSup>
            </m:den>
          </m:f>
          <m:r>
            <m:rPr>
              <m:sty m:val="p"/>
            </m:rPr>
            <m:t>.</m:t>
          </m:r>
        </m:oMath>
      </m:oMathPara>
    </w:p>
    <w:p>
      <w:bookmarkStart w:id="519" w:name="equation4"/>
      <w:pPr>
        <w:pStyle w:val="EquationCaption"/>
      </w:pPr>
      <w:r>
        <w:t xml:space="preserve">Equation 4. Centred finite-difference density estimate.</w:t>
      </w:r>
      <w:bookmarkEnd w:id="519"/>
    </w:p>
    <w:p>
      <w:pPr>
        <w:pStyle w:val="BodyText"/>
      </w:pPr>
      <w:r>
        <w:t xml:space="preserve">The validated call grid spans 2,500–14,000 index points with spacing 5; density values use the interior points, 2,505–13,995. Grid endpoints are excluded because a centred stencil is unavailable there. No negative estimates are clipped and no density is renormalised. Figure 1 shows the input price curve and Figure 2 compares the recovered density with its analytical counterpart.</w:t>
      </w:r>
    </w:p>
    <w:p>
      <w:pPr>
        <w:pStyle w:val="BodyText"/>
        <w:keepNext/>
        <w:spacing w:after="40"/>
        <w:jc w:val="center"/>
      </w:pPr>
      <w:r>
        <w:drawing>
          <wp:inline>
            <wp:extent cx="5334000" cy="2810530"/>
            <wp:effectExtent b="0" l="0" r="0" t="0"/>
            <wp:docPr descr="Synthetic European call prices" title="" id="34" name="Picture"/>
            <a:graphic>
              <a:graphicData uri="http://schemas.openxmlformats.org/drawingml/2006/picture">
                <pic:pic>
                  <pic:nvPicPr>
                    <pic:cNvPr descr="/workspace/scratch/62b9274b9d7e/spx-density-research/figures/figure_01_call_prices.png" id="35" name="Picture"/>
                    <pic:cNvPicPr>
                      <a:picLocks noChangeArrowheads="1" noChangeAspect="1"/>
                    </pic:cNvPicPr>
                  </pic:nvPicPr>
                  <pic:blipFill>
                    <a:blip r:embed="rId33"/>
                    <a:stretch>
                      <a:fillRect/>
                    </a:stretch>
                  </pic:blipFill>
                  <pic:spPr bwMode="auto">
                    <a:xfrm>
                      <a:off x="0" y="0"/>
                      <a:ext cx="5334000" cy="2810530"/>
                    </a:xfrm>
                    <a:prstGeom prst="rect">
                      <a:avLst/>
                    </a:prstGeom>
                    <a:noFill/>
                    <a:ln w="9525">
                      <a:noFill/>
                      <a:headEnd/>
                      <a:tailEnd/>
                    </a:ln>
                  </pic:spPr>
                </pic:pic>
              </a:graphicData>
            </a:graphic>
          </wp:inline>
        </w:drawing>
      </w:r>
    </w:p>
    <w:p>
      <w:bookmarkStart w:id="520" w:name="figure1"/>
      <w:pPr>
        <w:pStyle w:val="FigureCaption"/>
      </w:pPr>
      <w:r>
        <w:t xml:space="preserve">Figure 1. Synthetic European call prices across strikes for a six-month expiry, using an illustrative initial index level of 6,000 and constant annual volatility of 20%.</w:t>
      </w:r>
      <w:bookmarkEnd w:id="520"/>
    </w:p>
    <w:p>
      <w:pPr>
        <w:pStyle w:val="BodyText"/>
        <w:keepNext/>
        <w:spacing w:after="40"/>
        <w:jc w:val="center"/>
      </w:pPr>
      <w:r>
        <w:drawing>
          <wp:inline>
            <wp:extent cx="5334000" cy="2810530"/>
            <wp:effectExtent b="0" l="0" r="0" t="0"/>
            <wp:docPr descr="Known and recovered synthetic density" title="" id="37" name="Picture"/>
            <a:graphic>
              <a:graphicData uri="http://schemas.openxmlformats.org/drawingml/2006/picture">
                <pic:pic>
                  <pic:nvPicPr>
                    <pic:cNvPr descr="/workspace/scratch/62b9274b9d7e/spx-density-research/figures/figure_02_density_recovery.png" id="38" name="Picture"/>
                    <pic:cNvPicPr>
                      <a:picLocks noChangeArrowheads="1" noChangeAspect="1"/>
                    </pic:cNvPicPr>
                  </pic:nvPicPr>
                  <pic:blipFill>
                    <a:blip r:embed="rId36"/>
                    <a:stretch>
                      <a:fillRect/>
                    </a:stretch>
                  </pic:blipFill>
                  <pic:spPr bwMode="auto">
                    <a:xfrm>
                      <a:off x="0" y="0"/>
                      <a:ext cx="5334000" cy="2810530"/>
                    </a:xfrm>
                    <a:prstGeom prst="rect">
                      <a:avLst/>
                    </a:prstGeom>
                    <a:noFill/>
                    <a:ln w="9525">
                      <a:noFill/>
                      <a:headEnd/>
                      <a:tailEnd/>
                    </a:ln>
                  </pic:spPr>
                </pic:pic>
              </a:graphicData>
            </a:graphic>
          </wp:inline>
        </w:drawing>
      </w:r>
    </w:p>
    <w:p>
      <w:bookmarkStart w:id="521" w:name="figure2"/>
      <w:pPr>
        <w:pStyle w:val="FigureCaption"/>
      </w:pPr>
      <w:r>
        <w:t xml:space="preserve">Figure 2. Analytical lognormal density and density recovered from synthetic call-price curvature. The dashed vertical line identifies the theoretical forward of 6,075.47. The recovered and analytical curves nearly coincide.</w:t>
      </w:r>
      <w:bookmarkEnd w:id="521"/>
    </w:p>
    <w:p>
      <w:pPr>
        <w:pStyle w:val="BodyText"/>
      </w:pPr>
      <w:r>
        <w:t xml:space="preserve">The curves nearly coincide in this controlled example. The forward is 6,075.470709 index points and is the risk-neutral mean under the assumptions described by Bahra [1, Mathematical appendix]. It is distinct from the density’s mode. Table 1 records the numerical checks rather than relying on visual agreement alone.</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4788"/>
        <w:gridCol w:w="4788"/>
      </w:tblGrid>
      <w:tr>
        <w:trPr>
          <w:tblHeader w:val="true"/>
          <w:cantSplit/>
          <w:tblHeader/>
        </w:trPr>
        <w:tc>
          <w:tcPr>
            <w:tcW w:type="dxa" w:w="4788"/>
            <w:vAlign w:val="center"/>
            <w:shd w:fill="E9EEF3"/>
          </w:tcPr>
          <w:p>
            <w:pPr>
              <w:pStyle w:val="Compact"/>
              <w:keepNext/>
              <w:keepLines/>
              <w:spacing w:after="40" w:before="40" w:line="252" w:lineRule="auto"/>
              <w:jc w:val="left"/>
            </w:pPr>
            <w:r>
              <w:rPr>
                <w:b/>
                <w:sz w:val="21"/>
              </w:rPr>
              <w:t xml:space="preserve">Metric</w:t>
            </w:r>
          </w:p>
        </w:tc>
        <w:tc>
          <w:tcPr>
            <w:tcW w:type="dxa" w:w="4788"/>
            <w:vAlign w:val="center"/>
            <w:shd w:fill="E9EEF3"/>
          </w:tcPr>
          <w:p>
            <w:pPr>
              <w:pStyle w:val="Compact"/>
              <w:keepNext/>
              <w:keepLines/>
              <w:spacing w:after="40" w:before="40" w:line="252" w:lineRule="auto"/>
              <w:jc w:val="right"/>
            </w:pPr>
            <w:r>
              <w:rPr>
                <w:b/>
                <w:sz w:val="21"/>
              </w:rPr>
              <w:t xml:space="preserve">Result</w:t>
            </w:r>
          </w:p>
        </w:tc>
      </w:tr>
      <w:tr>
        <w:trPr>
          <w:cantSplit/>
        </w:trPr>
        <w:tc>
          <w:tcPr>
            <w:tcW w:type="dxa" w:w="4788"/>
            <w:vAlign w:val="center"/>
          </w:tcPr>
          <w:p>
            <w:pPr>
              <w:pStyle w:val="Compact"/>
              <w:keepNext/>
              <w:keepLines/>
              <w:spacing w:after="40" w:before="40" w:line="252" w:lineRule="auto"/>
              <w:jc w:val="left"/>
            </w:pPr>
            <w:r>
              <w:rPr>
                <w:b w:val="0"/>
                <w:sz w:val="21"/>
              </w:rPr>
              <w:t xml:space="preserve">Integrated probability mass</w:t>
            </w:r>
          </w:p>
        </w:tc>
        <w:tc>
          <w:tcPr>
            <w:tcW w:type="dxa" w:w="4788"/>
            <w:vAlign w:val="center"/>
          </w:tcPr>
          <w:p>
            <w:pPr>
              <w:pStyle w:val="Compact"/>
              <w:keepNext/>
              <w:keepLines/>
              <w:spacing w:after="40" w:before="40" w:line="252" w:lineRule="auto"/>
              <w:jc w:val="right"/>
            </w:pPr>
            <w:r>
              <w:rPr>
                <w:b w:val="0"/>
                <w:sz w:val="21"/>
              </w:rPr>
              <w:t xml:space="preserve">0.9999999985</w:t>
            </w:r>
          </w:p>
        </w:tc>
      </w:tr>
      <w:tr>
        <w:trPr>
          <w:cantSplit/>
        </w:trPr>
        <w:tc>
          <w:tcPr>
            <w:tcW w:type="dxa" w:w="4788"/>
            <w:vAlign w:val="center"/>
          </w:tcPr>
          <w:p>
            <w:pPr>
              <w:pStyle w:val="Compact"/>
              <w:keepNext/>
              <w:keepLines/>
              <w:spacing w:after="40" w:before="40" w:line="252" w:lineRule="auto"/>
              <w:jc w:val="left"/>
            </w:pPr>
            <w:r>
              <w:rPr>
                <w:b w:val="0"/>
                <w:sz w:val="21"/>
              </w:rPr>
              <w:t xml:space="preserve">Minimum density (per index point)</w:t>
            </w:r>
          </w:p>
        </w:tc>
        <w:tc>
          <w:tcPr>
            <w:tcW w:type="dxa" w:w="4788"/>
            <w:vAlign w:val="center"/>
          </w:tcPr>
          <w:p>
            <w:pPr>
              <w:pStyle w:val="Compact"/>
              <w:keepNext/>
              <w:keepLines/>
              <w:spacing w:after="40" w:before="40" w:line="252" w:lineRule="auto"/>
              <w:jc w:val="right"/>
            </w:pPr>
            <w:r>
              <w:rPr>
                <w:b w:val="0"/>
                <w:sz w:val="21"/>
              </w:rPr>
              <w:t xml:space="preserve">3.649747692e-12</w:t>
            </w:r>
          </w:p>
        </w:tc>
      </w:tr>
      <w:tr>
        <w:trPr>
          <w:cantSplit/>
        </w:trPr>
        <w:tc>
          <w:tcPr>
            <w:tcW w:type="dxa" w:w="4788"/>
            <w:vAlign w:val="center"/>
          </w:tcPr>
          <w:p>
            <w:pPr>
              <w:pStyle w:val="Compact"/>
              <w:keepNext/>
              <w:keepLines/>
              <w:spacing w:after="40" w:before="40" w:line="252" w:lineRule="auto"/>
              <w:jc w:val="left"/>
            </w:pPr>
            <w:r>
              <w:rPr>
                <w:b w:val="0"/>
                <w:sz w:val="21"/>
              </w:rPr>
              <w:t xml:space="preserve">Negative density estimates</w:t>
            </w:r>
          </w:p>
        </w:tc>
        <w:tc>
          <w:tcPr>
            <w:tcW w:type="dxa" w:w="4788"/>
            <w:vAlign w:val="center"/>
          </w:tcPr>
          <w:p>
            <w:pPr>
              <w:pStyle w:val="Compact"/>
              <w:keepNext/>
              <w:keepLines/>
              <w:spacing w:after="40" w:before="40" w:line="252" w:lineRule="auto"/>
              <w:jc w:val="right"/>
            </w:pPr>
            <w:r>
              <w:rPr>
                <w:b w:val="0"/>
                <w:sz w:val="21"/>
              </w:rPr>
              <w:t xml:space="preserve">0</w:t>
            </w:r>
          </w:p>
        </w:tc>
      </w:tr>
      <w:tr>
        <w:trPr>
          <w:cantSplit/>
        </w:trPr>
        <w:tc>
          <w:tcPr>
            <w:tcW w:type="dxa" w:w="4788"/>
            <w:vAlign w:val="center"/>
          </w:tcPr>
          <w:p>
            <w:pPr>
              <w:pStyle w:val="Compact"/>
              <w:keepNext/>
              <w:keepLines/>
              <w:spacing w:after="40" w:before="40" w:line="252" w:lineRule="auto"/>
              <w:jc w:val="left"/>
            </w:pPr>
            <w:r>
              <w:rPr>
                <w:b w:val="0"/>
                <w:sz w:val="21"/>
              </w:rPr>
              <w:t xml:space="preserve">Integrated absolute density error</w:t>
            </w:r>
          </w:p>
        </w:tc>
        <w:tc>
          <w:tcPr>
            <w:tcW w:type="dxa" w:w="4788"/>
            <w:vAlign w:val="center"/>
          </w:tcPr>
          <w:p>
            <w:pPr>
              <w:pStyle w:val="Compact"/>
              <w:keepNext/>
              <w:keepLines/>
              <w:spacing w:after="40" w:before="40" w:line="252" w:lineRule="auto"/>
              <w:jc w:val="right"/>
            </w:pPr>
            <w:r>
              <w:rPr>
                <w:b w:val="0"/>
                <w:sz w:val="21"/>
              </w:rPr>
              <w:t xml:space="preserve">2.914825705e-06</w:t>
            </w:r>
          </w:p>
        </w:tc>
      </w:tr>
      <w:tr>
        <w:trPr>
          <w:cantSplit/>
        </w:trPr>
        <w:tc>
          <w:tcPr>
            <w:tcW w:type="dxa" w:w="4788"/>
            <w:vAlign w:val="center"/>
          </w:tcPr>
          <w:p>
            <w:pPr>
              <w:pStyle w:val="Compact"/>
              <w:keepNext/>
              <w:keepLines/>
              <w:spacing w:after="40" w:before="40" w:line="252" w:lineRule="auto"/>
              <w:jc w:val="left"/>
            </w:pPr>
            <w:r>
              <w:rPr>
                <w:b w:val="0"/>
                <w:sz w:val="21"/>
              </w:rPr>
              <w:t xml:space="preserve">Recovered mean (index points)</w:t>
            </w:r>
          </w:p>
        </w:tc>
        <w:tc>
          <w:tcPr>
            <w:tcW w:type="dxa" w:w="4788"/>
            <w:vAlign w:val="center"/>
          </w:tcPr>
          <w:p>
            <w:pPr>
              <w:pStyle w:val="Compact"/>
              <w:keepNext/>
              <w:keepLines/>
              <w:spacing w:after="40" w:before="40" w:line="252" w:lineRule="auto"/>
              <w:jc w:val="right"/>
            </w:pPr>
            <w:r>
              <w:rPr>
                <w:b w:val="0"/>
                <w:sz w:val="21"/>
              </w:rPr>
              <w:t xml:space="preserve">6075.470692</w:t>
            </w:r>
          </w:p>
        </w:tc>
      </w:tr>
      <w:tr>
        <w:trPr>
          <w:cantSplit/>
        </w:trPr>
        <w:tc>
          <w:tcPr>
            <w:tcW w:type="dxa" w:w="4788"/>
            <w:vAlign w:val="center"/>
          </w:tcPr>
          <w:p>
            <w:pPr>
              <w:pStyle w:val="Compact"/>
              <w:keepNext/>
              <w:keepLines/>
              <w:spacing w:after="40" w:before="40" w:line="252" w:lineRule="auto"/>
              <w:jc w:val="left"/>
            </w:pPr>
            <w:r>
              <w:rPr>
                <w:b w:val="0"/>
                <w:sz w:val="21"/>
              </w:rPr>
              <w:t xml:space="preserve">Theoretical forward (index points)</w:t>
            </w:r>
          </w:p>
        </w:tc>
        <w:tc>
          <w:tcPr>
            <w:tcW w:type="dxa" w:w="4788"/>
            <w:vAlign w:val="center"/>
          </w:tcPr>
          <w:p>
            <w:pPr>
              <w:pStyle w:val="Compact"/>
              <w:keepNext/>
              <w:keepLines/>
              <w:spacing w:after="40" w:before="40" w:line="252" w:lineRule="auto"/>
              <w:jc w:val="right"/>
            </w:pPr>
            <w:r>
              <w:rPr>
                <w:b w:val="0"/>
                <w:sz w:val="21"/>
              </w:rPr>
              <w:t xml:space="preserve">6075.470709</w:t>
            </w:r>
          </w:p>
        </w:tc>
      </w:tr>
      <w:tr>
        <w:trPr>
          <w:cantSplit/>
        </w:trPr>
        <w:tc>
          <w:tcPr>
            <w:tcW w:type="dxa" w:w="4788"/>
            <w:vAlign w:val="center"/>
          </w:tcPr>
          <w:p>
            <w:pPr>
              <w:pStyle w:val="Compact"/>
              <w:keepNext/>
              <w:keepLines/>
              <w:spacing w:after="40" w:before="40" w:line="252" w:lineRule="auto"/>
              <w:jc w:val="left"/>
            </w:pPr>
            <w:r>
              <w:rPr>
                <w:b w:val="0"/>
                <w:sz w:val="21"/>
              </w:rPr>
              <w:t xml:space="preserve">Relative error in the forward mean</w:t>
            </w:r>
          </w:p>
        </w:tc>
        <w:tc>
          <w:tcPr>
            <w:tcW w:type="dxa" w:w="4788"/>
            <w:vAlign w:val="center"/>
          </w:tcPr>
          <w:p>
            <w:pPr>
              <w:pStyle w:val="Compact"/>
              <w:keepNext/>
              <w:keepLines/>
              <w:spacing w:after="40" w:before="40" w:line="252" w:lineRule="auto"/>
              <w:jc w:val="right"/>
            </w:pPr>
            <w:r>
              <w:rPr>
                <w:b w:val="0"/>
                <w:sz w:val="21"/>
              </w:rPr>
              <w:t xml:space="preserve">2.895368748e-09</w:t>
            </w:r>
          </w:p>
        </w:tc>
      </w:tr>
      <w:tr>
        <w:trPr>
          <w:cantSplit/>
        </w:trPr>
        <w:tc>
          <w:tcPr>
            <w:tcW w:type="dxa" w:w="4788"/>
            <w:vAlign w:val="center"/>
          </w:tcPr>
          <w:p>
            <w:pPr>
              <w:pStyle w:val="Compact"/>
              <w:keepNext/>
              <w:keepLines/>
              <w:spacing w:after="40" w:before="40" w:line="252" w:lineRule="auto"/>
              <w:jc w:val="left"/>
            </w:pPr>
            <w:r>
              <w:rPr>
                <w:b w:val="0"/>
                <w:sz w:val="21"/>
              </w:rPr>
              <w:t xml:space="preserve">Maximum repricing error (index points)</w:t>
            </w:r>
          </w:p>
        </w:tc>
        <w:tc>
          <w:tcPr>
            <w:tcW w:type="dxa" w:w="4788"/>
            <w:vAlign w:val="center"/>
          </w:tcPr>
          <w:p>
            <w:pPr>
              <w:pStyle w:val="Compact"/>
              <w:keepNext/>
              <w:keepLines/>
              <w:spacing w:after="40" w:before="40" w:line="252" w:lineRule="auto"/>
              <w:jc w:val="right"/>
            </w:pPr>
            <w:r>
              <w:rPr>
                <w:b w:val="0"/>
                <w:sz w:val="21"/>
              </w:rPr>
              <w:t xml:space="preserve">1.099256224e-05</w:t>
            </w:r>
          </w:p>
        </w:tc>
      </w:tr>
    </w:tbl>
    <w:p>
      <w:bookmarkStart w:id="522" w:name="table1"/>
      <w:pPr>
        <w:pStyle w:val="TableCaption"/>
      </w:pPr>
      <w:r>
        <w:t xml:space="preserve">Table 1. Measured baseline validation</w:t>
      </w:r>
      <w:bookmarkEnd w:id="522"/>
    </w:p>
    <w:bookmarkEnd w:id="39"/>
    <w:bookmarkStart w:id="46" w:name="X439bdf0c94434e31662694f207af444faef2e44"/>
    <w:p>
      <w:bookmarkStart w:id="523" w:name="h9"/>
      <w:pPr>
        <w:pStyle w:val="Heading2"/>
        <w:numPr>
          <w:ilvl w:val="1"/>
          <w:numId w:val="70"/>
        </w:numPr>
      </w:pPr>
      <w:bookmarkEnd w:id="523"/>
      <w:r>
        <w:t>Convergence, cancellation and noisy observations</w:t>
      </w:r>
    </w:p>
    <w:p>
      <w:pPr>
        <w:pStyle w:val="FirstParagraph"/>
      </w:pPr>
      <w:r>
        <w:t xml:space="preserve">As Driscoll and Braun discuss in §5.5 [7], the centred second-difference truncation error is of order</w:t>
      </w:r>
      <w:r>
        <w:t xml:space="preserve"> </w:t>
      </w:r>
      <m:oMath>
        <m:sSup>
          <m:e>
            <m:r>
              <m:t>h</m:t>
            </m:r>
          </m:e>
          <m:sup>
            <m:r>
              <m:t>2</m:t>
            </m:r>
          </m:sup>
        </m:sSup>
      </m:oMath>
      <w:r>
        <w:t xml:space="preserve"> </w:t>
      </w:r>
      <w:r>
        <w:t xml:space="preserve">when the price function is sufficiently smooth. Refining the grid from 80 to 5 points produces approximately second-order convergence, as Figure 3 demonstrates. However, smaller steps also increase exposure to roundoff through subtraction of nearly equal values.</w:t>
      </w:r>
    </w:p>
    <w:p>
      <w:pPr>
        <w:pStyle w:val="BodyText"/>
        <w:keepNext/>
        <w:spacing w:after="40"/>
        <w:jc w:val="center"/>
      </w:pPr>
      <w:r>
        <w:drawing>
          <wp:inline>
            <wp:extent cx="5334000" cy="2797342"/>
            <wp:effectExtent b="0" l="0" r="0" t="0"/>
            <wp:docPr descr="Strike-spacing convergence" title="" id="41" name="Picture"/>
            <a:graphic>
              <a:graphicData uri="http://schemas.openxmlformats.org/drawingml/2006/picture">
                <pic:pic>
                  <pic:nvPicPr>
                    <pic:cNvPr descr="/workspace/scratch/62b9274b9d7e/spx-density-research/figures/figure_03_convergence.png" id="42" name="Picture"/>
                    <pic:cNvPicPr>
                      <a:picLocks noChangeArrowheads="1" noChangeAspect="1"/>
                    </pic:cNvPicPr>
                  </pic:nvPicPr>
                  <pic:blipFill>
                    <a:blip r:embed="rId40"/>
                    <a:stretch>
                      <a:fillRect/>
                    </a:stretch>
                  </pic:blipFill>
                  <pic:spPr bwMode="auto">
                    <a:xfrm>
                      <a:off x="0" y="0"/>
                      <a:ext cx="5334000" cy="2797342"/>
                    </a:xfrm>
                    <a:prstGeom prst="rect">
                      <a:avLst/>
                    </a:prstGeom>
                    <a:noFill/>
                    <a:ln w="9525">
                      <a:noFill/>
                      <a:headEnd/>
                      <a:tailEnd/>
                    </a:ln>
                  </pic:spPr>
                </pic:pic>
              </a:graphicData>
            </a:graphic>
          </wp:inline>
        </w:drawing>
      </w:r>
    </w:p>
    <w:p>
      <w:bookmarkStart w:id="524" w:name="figure3"/>
      <w:pPr>
        <w:pStyle w:val="FigureCaption"/>
      </w:pPr>
      <w:r>
        <w:t xml:space="preserve">Figure 3. Integrated absolute density error against strike spacing. The measured error follows approximately second-order convergence over the tested grid spacings.</w:t>
      </w:r>
      <w:bookmarkEnd w:id="524"/>
    </w:p>
    <w:p>
      <w:pPr>
        <w:pStyle w:val="BodyText"/>
      </w:pPr>
      <w:r>
        <w:t xml:space="preserve">An initial lower boundary of 1,000 produced tiny negative second differences in the far left tail, where call prices were nearly linear. Raising the boundary to 2,500 reduced cancellation while retaining essentially all the known benchmark mass. This was a benchmark-specific numerical decision, not a rule transferred automatically to the empirical sample.</w:t>
      </w:r>
    </w:p>
    <w:p>
      <w:pPr>
        <w:pStyle w:val="BodyText"/>
        <w:keepNext/>
        <w:spacing w:after="40"/>
        <w:jc w:val="center"/>
      </w:pPr>
      <w:r>
        <w:drawing>
          <wp:inline>
            <wp:extent cx="5334000" cy="2810530"/>
            <wp:effectExtent b="0" l="0" r="0" t="0"/>
            <wp:docPr descr="Sensitivity to independent quote errors" title="" id="44" name="Picture"/>
            <a:graphic>
              <a:graphicData uri="http://schemas.openxmlformats.org/drawingml/2006/picture">
                <pic:pic>
                  <pic:nvPicPr>
                    <pic:cNvPr descr="/workspace/scratch/62b9274b9d7e/spx-density-research/figures/figure_04_noise_sensitivity.png" id="45" name="Picture"/>
                    <pic:cNvPicPr>
                      <a:picLocks noChangeArrowheads="1" noChangeAspect="1"/>
                    </pic:cNvPicPr>
                  </pic:nvPicPr>
                  <pic:blipFill>
                    <a:blip r:embed="rId43"/>
                    <a:stretch>
                      <a:fillRect/>
                    </a:stretch>
                  </pic:blipFill>
                  <pic:spPr bwMode="auto">
                    <a:xfrm>
                      <a:off x="0" y="0"/>
                      <a:ext cx="5334000" cy="2810530"/>
                    </a:xfrm>
                    <a:prstGeom prst="rect">
                      <a:avLst/>
                    </a:prstGeom>
                    <a:noFill/>
                    <a:ln w="9525">
                      <a:noFill/>
                      <a:headEnd/>
                      <a:tailEnd/>
                    </a:ln>
                  </pic:spPr>
                </pic:pic>
              </a:graphicData>
            </a:graphic>
          </wp:inline>
        </w:drawing>
      </w:r>
    </w:p>
    <w:p>
      <w:bookmarkStart w:id="525" w:name="figure4"/>
      <w:pPr>
        <w:pStyle w:val="FigureCaption"/>
        <w:keepNext/>
      </w:pPr>
      <w:r>
        <w:t xml:space="preserve">Figure 4. Density recovered after adding independent, zero-mean quote noise with a standard deviation of 0.05 index points (seed 42). Negative estimates demonstrate the sensitivity of raw second differences to quote errors.</w:t>
      </w:r>
      <w:bookmarkEnd w:id="525"/>
    </w:p>
    <w:p>
      <w:pPr>
        <w:pStyle w:val="BodyText"/>
        <w:keepLines/>
      </w:pPr>
      <w:r>
        <w:t xml:space="preserve">Figure 4 introduces independent zero-mean quote perturbations with a standard deviation of 0.05 index points and seed 42. These errors need not preserve arbitrage constraints. Applying Equation (4) amplifies their effect through division by the squared strike spacing. This is an algebraic consequence of the stencil in Driscoll and Braun [7], rather than a calibrated model of market noise. The stress test deliberately shows the consequence of applying raw differences to inconsistent quotes; it is not a fitted market-noise model.</w:t>
      </w:r>
    </w:p>
    <w:p>
      <w:pPr>
        <w:pStyle w:val="BodyText"/>
      </w:pPr>
      <w:r>
        <w:t xml:space="preserve">The clean-data result therefore validates the implementation within the tested conditions. It does not validate direct numerical differentiation of market quotes. The subsequent estimator addresses this failure by fitting probabilities subject to explicit restrictions, rather than interpreting clipped negative derivatives as recovered probabilities.</w:t>
      </w:r>
    </w:p>
    <w:bookmarkEnd w:id="46"/>
    <w:bookmarkEnd w:id="47"/>
    <w:bookmarkStart w:id="67" w:name="X6d07374f3022a707da1f7c22978f25671fb0b1c"/>
    <w:p>
      <w:bookmarkStart w:id="526" w:name="h10"/>
      <w:pPr>
        <w:pStyle w:val="Heading1"/>
        <w:numPr>
          <w:ilvl w:val="0"/>
          <w:numId w:val="70"/>
        </w:numPr>
      </w:pPr>
      <w:bookmarkEnd w:id="526"/>
      <w:r>
        <w:t>Quote assessment and constrained estimation</w:t>
      </w:r>
    </w:p>
    <w:bookmarkStart w:id="54" w:name="X5ed8591f97ae3fb6610dbb4a76fbfb5c285b428"/>
    <w:p>
      <w:bookmarkStart w:id="527" w:name="h11"/>
      <w:pPr>
        <w:pStyle w:val="Heading2"/>
        <w:numPr>
          <w:ilvl w:val="1"/>
          <w:numId w:val="70"/>
        </w:numPr>
      </w:pPr>
      <w:bookmarkEnd w:id="527"/>
      <w:r>
        <w:t>Assessing observations before calibration</w:t>
      </w:r>
    </w:p>
    <w:p>
      <w:pPr>
        <w:pStyle w:val="FirstParagraph"/>
      </w:pPr>
      <w:r>
        <w:t xml:space="preserve">Cboe’s source and contract documentation distinguishes product conventions, observation fields and settlement classes [2–5]. These operational facts must be established before a statistical or numerical method can supply an interpretable market result. The first candidate payload contained 27,782 option records across 61 root/expiry groups. Its time-only field, 17:43:22, did not establish a complete quote observation instant. The underlying’s last-trade timestamp described a different event, and every bid/ask size field was zero. Those fields were treated as unavailable information, not evidence that all contracts lacked liquidity.</w:t>
      </w:r>
    </w:p>
    <w:p>
      <w:pPr>
        <w:pStyle w:val="BodyText"/>
      </w:pPr>
      <w:r>
        <w:t xml:space="preserve">Table 2 records the initial access assessment. It is a historical assessment of that stage: the separately supplied marking-price files used in Chapters 7–8 subsequently enabled the empirical application. They did not resolve the original payload’s missing interpretation.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02"/>
        <w:gridCol w:w="3064"/>
        <w:gridCol w:w="4309"/>
      </w:tblGrid>
      <w:tr>
        <w:trPr>
          <w:tblHeader w:val="true"/>
          <w:cantSplit/>
          <w:tblHeader/>
        </w:trPr>
        <w:tc>
          <w:tcPr>
            <w:tcW w:type="dxa" w:w="2202"/>
            <w:vAlign w:val="center"/>
            <w:shd w:fill="E9EEF3"/>
          </w:tcPr>
          <w:p>
            <w:pPr>
              <w:pStyle w:val="Compact"/>
              <w:keepNext/>
              <w:keepLines/>
              <w:spacing w:after="40" w:before="40" w:line="252" w:lineRule="auto"/>
              <w:jc w:val="left"/>
            </w:pPr>
            <w:r>
              <w:rPr>
                <w:b/>
                <w:sz w:val="21"/>
              </w:rPr>
              <w:t xml:space="preserve">Source</w:t>
            </w:r>
          </w:p>
        </w:tc>
        <w:tc>
          <w:tcPr>
            <w:tcW w:type="dxa" w:w="3064"/>
            <w:vAlign w:val="center"/>
            <w:shd w:fill="E9EEF3"/>
          </w:tcPr>
          <w:p>
            <w:pPr>
              <w:pStyle w:val="Compact"/>
              <w:keepNext/>
              <w:keepLines/>
              <w:spacing w:after="40" w:before="40" w:line="252" w:lineRule="auto"/>
              <w:jc w:val="left"/>
            </w:pPr>
            <w:r>
              <w:rPr>
                <w:b/>
                <w:sz w:val="21"/>
              </w:rPr>
              <w:t xml:space="preserve">Evidence obtained</w:t>
            </w:r>
          </w:p>
        </w:tc>
        <w:tc>
          <w:tcPr>
            <w:tcW w:type="dxa" w:w="4309"/>
            <w:vAlign w:val="center"/>
            <w:shd w:fill="E9EEF3"/>
          </w:tcPr>
          <w:p>
            <w:pPr>
              <w:pStyle w:val="Compact"/>
              <w:keepNext/>
              <w:keepLines/>
              <w:spacing w:after="40" w:before="40" w:line="252" w:lineRule="auto"/>
              <w:jc w:val="left"/>
            </w:pPr>
            <w:r>
              <w:rPr>
                <w:b/>
                <w:sz w:val="21"/>
              </w:rPr>
              <w:t xml:space="preserve">Decision</w:t>
            </w:r>
          </w:p>
        </w:tc>
      </w:tr>
      <w:tr>
        <w:trPr>
          <w:cantSplit/>
        </w:trPr>
        <w:tc>
          <w:tcPr>
            <w:tcW w:type="dxa" w:w="2202"/>
            <w:vAlign w:val="center"/>
          </w:tcPr>
          <w:p>
            <w:pPr>
              <w:pStyle w:val="Compact"/>
              <w:keepNext/>
              <w:keepLines/>
              <w:spacing w:after="40" w:before="40" w:line="252" w:lineRule="auto"/>
              <w:jc w:val="left"/>
            </w:pPr>
            <w:r>
              <w:rPr>
                <w:b w:val="0"/>
                <w:sz w:val="21"/>
              </w:rPr>
              <w:t xml:space="preserve">Cboe public SPX delayed-quotes page [2]</w:t>
            </w:r>
          </w:p>
        </w:tc>
        <w:tc>
          <w:tcPr>
            <w:tcW w:type="dxa" w:w="3064"/>
            <w:vAlign w:val="center"/>
          </w:tcPr>
          <w:p>
            <w:pPr>
              <w:pStyle w:val="Compact"/>
              <w:keepNext/>
              <w:keepLines/>
              <w:spacing w:after="40" w:before="40" w:line="252" w:lineRule="auto"/>
              <w:jc w:val="left"/>
            </w:pPr>
            <w:r>
              <w:rPr>
                <w:b w:val="0"/>
                <w:sz w:val="21"/>
              </w:rPr>
              <w:t xml:space="preserve">Embedded option records retrieved; time-only timestamp; zero sizes throughout</w:t>
            </w:r>
          </w:p>
        </w:tc>
        <w:tc>
          <w:tcPr>
            <w:tcW w:type="dxa" w:w="4309"/>
            <w:vAlign w:val="center"/>
          </w:tcPr>
          <w:p>
            <w:pPr>
              <w:pStyle w:val="Compact"/>
              <w:keepNext/>
              <w:keepLines/>
              <w:spacing w:after="40" w:before="40" w:line="252" w:lineRule="auto"/>
              <w:jc w:val="left"/>
            </w:pPr>
            <w:r>
              <w:rPr>
                <w:b w:val="0"/>
                <w:sz w:val="21"/>
              </w:rPr>
              <w:t xml:space="preserve">Audit candidate only</w:t>
            </w:r>
          </w:p>
        </w:tc>
      </w:tr>
      <w:tr>
        <w:trPr>
          <w:cantSplit/>
        </w:trPr>
        <w:tc>
          <w:tcPr>
            <w:tcW w:type="dxa" w:w="2202"/>
            <w:vAlign w:val="center"/>
          </w:tcPr>
          <w:p>
            <w:pPr>
              <w:pStyle w:val="Compact"/>
              <w:keepNext/>
              <w:keepLines/>
              <w:spacing w:after="40" w:before="40" w:line="252" w:lineRule="auto"/>
              <w:jc w:val="left"/>
            </w:pPr>
            <w:r>
              <w:rPr>
                <w:b w:val="0"/>
                <w:sz w:val="21"/>
              </w:rPr>
              <w:t xml:space="preserve">Cboe DataShop Option Quotes [3]</w:t>
            </w:r>
          </w:p>
        </w:tc>
        <w:tc>
          <w:tcPr>
            <w:tcW w:type="dxa" w:w="3064"/>
            <w:vAlign w:val="center"/>
          </w:tcPr>
          <w:p>
            <w:pPr>
              <w:pStyle w:val="Compact"/>
              <w:keepNext/>
              <w:keepLines/>
              <w:spacing w:after="40" w:before="40" w:line="252" w:lineRule="auto"/>
              <w:jc w:val="left"/>
            </w:pPr>
            <w:r>
              <w:rPr>
                <w:b w:val="0"/>
                <w:sz w:val="21"/>
              </w:rPr>
              <w:t xml:space="preserve">Documented bid/ask snapshots, contract identifiers and quote datetime</w:t>
            </w:r>
          </w:p>
        </w:tc>
        <w:tc>
          <w:tcPr>
            <w:tcW w:type="dxa" w:w="4309"/>
            <w:vAlign w:val="center"/>
          </w:tcPr>
          <w:p>
            <w:pPr>
              <w:pStyle w:val="Compact"/>
              <w:keepNext/>
              <w:keepLines/>
              <w:spacing w:after="40" w:before="40" w:line="252" w:lineRule="auto"/>
              <w:jc w:val="left"/>
            </w:pPr>
            <w:r>
              <w:rPr>
                <w:b w:val="0"/>
                <w:sz w:val="21"/>
              </w:rPr>
              <w:t xml:space="preserve">Structured fallback; no purchase made</w:t>
            </w:r>
          </w:p>
        </w:tc>
      </w:tr>
      <w:tr>
        <w:trPr>
          <w:cantSplit/>
        </w:trPr>
        <w:tc>
          <w:tcPr>
            <w:tcW w:type="dxa" w:w="2202"/>
            <w:vAlign w:val="center"/>
          </w:tcPr>
          <w:p>
            <w:pPr>
              <w:pStyle w:val="Compact"/>
              <w:keepNext/>
              <w:keepLines/>
              <w:spacing w:after="40" w:before="40" w:line="252" w:lineRule="auto"/>
              <w:jc w:val="left"/>
            </w:pPr>
            <w:r>
              <w:rPr>
                <w:b w:val="0"/>
                <w:sz w:val="21"/>
              </w:rPr>
              <w:t xml:space="preserve">DataShop downloadable sample [3]</w:t>
            </w:r>
          </w:p>
        </w:tc>
        <w:tc>
          <w:tcPr>
            <w:tcW w:type="dxa" w:w="3064"/>
            <w:vAlign w:val="center"/>
          </w:tcPr>
          <w:p>
            <w:pPr>
              <w:pStyle w:val="Compact"/>
              <w:keepNext/>
              <w:keepLines/>
              <w:spacing w:after="40" w:before="40" w:line="252" w:lineRule="auto"/>
              <w:jc w:val="left"/>
            </w:pPr>
            <w:r>
              <w:rPr>
                <w:b w:val="0"/>
                <w:sz w:val="21"/>
              </w:rPr>
              <w:t xml:space="preserve">Download attempt returned HTTP 403</w:t>
            </w:r>
          </w:p>
        </w:tc>
        <w:tc>
          <w:tcPr>
            <w:tcW w:type="dxa" w:w="4309"/>
            <w:vAlign w:val="center"/>
          </w:tcPr>
          <w:p>
            <w:pPr>
              <w:pStyle w:val="Compact"/>
              <w:keepNext/>
              <w:keepLines/>
              <w:spacing w:after="40" w:before="40" w:line="252" w:lineRule="auto"/>
              <w:jc w:val="left"/>
            </w:pPr>
            <w:r>
              <w:rPr>
                <w:b w:val="0"/>
                <w:sz w:val="21"/>
              </w:rPr>
              <w:t xml:space="preserve">Sample contents not inspected</w:t>
            </w:r>
          </w:p>
        </w:tc>
      </w:tr>
    </w:tbl>
    <w:p>
      <w:bookmarkStart w:id="528" w:name="table2"/>
      <w:pPr>
        <w:pStyle w:val="TableCaption"/>
      </w:pPr>
      <w:r>
        <w:t xml:space="preserve">Table 2. Source assessment and access status.</w:t>
      </w:r>
      <w:bookmarkEnd w:id="528"/>
    </w:p>
    <w:p>
      <w:pPr>
        <w:pStyle w:val="BodyText"/>
      </w:pPr>
      <w:r>
        <w:t xml:space="preserve">For finite, ordered bid and ask prices, the audit uses the arithmetic midpoint and relative spread in Equations (5)–(6). These are project definitions rather than new pricing relationships.</w:t>
      </w:r>
    </w:p>
    <w:p>
      <w:pPr>
        <w:pStyle w:val="BodyText"/>
        <w:keepNext/>
        <w:spacing w:before="120" w:after="40"/>
        <w:jc w:val="center"/>
      </w:pPr>
      <m:oMathPara>
        <m:oMathParaPr>
          <m:jc m:val="center"/>
        </m:oMathParaPr>
        <m:oMath>
          <m:sSub>
            <m:e>
              <m:r>
                <m:t>M</m:t>
              </m:r>
            </m:e>
            <m:sub>
              <m:r>
                <m:t>i</m:t>
              </m:r>
            </m:sub>
          </m:sSub>
          <m:r>
            <m:rPr>
              <m:sty m:val="p"/>
            </m:rPr>
            <m:t>=</m:t>
          </m:r>
          <m:f>
            <m:fPr>
              <m:type m:val="bar"/>
            </m:fPr>
            <m:num>
              <m:sSub>
                <m:e>
                  <m:r>
                    <m:t>B</m:t>
                  </m:r>
                </m:e>
                <m:sub>
                  <m:r>
                    <m:t>i</m:t>
                  </m:r>
                </m:sub>
              </m:sSub>
              <m:r>
                <m:rPr>
                  <m:sty m:val="p"/>
                </m:rPr>
                <m:t>+</m:t>
              </m:r>
              <m:sSub>
                <m:e>
                  <m:r>
                    <m:t>A</m:t>
                  </m:r>
                </m:e>
                <m:sub>
                  <m:r>
                    <m:t>i</m:t>
                  </m:r>
                </m:sub>
              </m:sSub>
            </m:num>
            <m:den>
              <m:r>
                <m:t>2</m:t>
              </m:r>
            </m:den>
          </m:f>
          <m:r>
            <m:rPr>
              <m:sty m:val="p"/>
            </m:rPr>
            <m:t>.</m:t>
          </m:r>
        </m:oMath>
      </m:oMathPara>
    </w:p>
    <w:p>
      <w:bookmarkStart w:id="529" w:name="equation5"/>
      <w:pPr>
        <w:pStyle w:val="EquationCaption"/>
      </w:pPr>
      <w:r>
        <w:t xml:space="preserve">Equation 5. Bid–ask midpoint.</w:t>
      </w:r>
      <w:bookmarkEnd w:id="529"/>
    </w:p>
    <w:p>
      <w:pPr>
        <w:pStyle w:val="BodyText"/>
        <w:keepNext/>
        <w:spacing w:before="120" w:after="40"/>
        <w:jc w:val="center"/>
      </w:pPr>
      <m:oMathPara>
        <m:oMathParaPr>
          <m:jc m:val="center"/>
        </m:oMathParaPr>
        <m:oMath>
          <m:sSub>
            <m:e>
              <m:r>
                <m:t>R</m:t>
              </m:r>
            </m:e>
            <m:sub>
              <m:r>
                <m:t>i</m:t>
              </m:r>
            </m:sub>
          </m:sSub>
          <m:r>
            <m:rPr>
              <m:sty m:val="p"/>
            </m:rPr>
            <m:t>=</m:t>
          </m:r>
          <m:f>
            <m:fPr>
              <m:type m:val="bar"/>
            </m:fPr>
            <m:num>
              <m:sSub>
                <m:e>
                  <m:r>
                    <m:t>A</m:t>
                  </m:r>
                </m:e>
                <m:sub>
                  <m:r>
                    <m:t>i</m:t>
                  </m:r>
                </m:sub>
              </m:sSub>
              <m:r>
                <m:rPr>
                  <m:sty m:val="p"/>
                </m:rPr>
                <m:t>−</m:t>
              </m:r>
              <m:sSub>
                <m:e>
                  <m:r>
                    <m:t>B</m:t>
                  </m:r>
                </m:e>
                <m:sub>
                  <m:r>
                    <m:t>i</m:t>
                  </m:r>
                </m:sub>
              </m:sSub>
            </m:num>
            <m:den>
              <m:sSub>
                <m:e>
                  <m:r>
                    <m:t>M</m:t>
                  </m:r>
                </m:e>
                <m:sub>
                  <m:r>
                    <m:t>i</m:t>
                  </m:r>
                </m:sub>
              </m:sSub>
            </m:den>
          </m:f>
          <m:r>
            <m:rPr>
              <m:sty m:val="p"/>
            </m:rPr>
            <m:t>.</m:t>
          </m:r>
        </m:oMath>
      </m:oMathPara>
    </w:p>
    <w:p>
      <w:bookmarkStart w:id="530" w:name="equation6"/>
      <w:pPr>
        <w:pStyle w:val="EquationCaption"/>
      </w:pPr>
      <w:r>
        <w:t xml:space="preserve">Equation 6. Relative bid–ask spread.</w:t>
      </w:r>
      <w:bookmarkEnd w:id="530"/>
    </w:p>
    <w:p>
      <w:pPr>
        <w:pStyle w:val="BodyText"/>
      </w:pPr>
      <w:r>
        <w:t xml:space="preserve">At a 25% maximum relative spread, 25,866 records passed the provisional price screen; 1,916 were wider and 697 had a zero bid, with overlapping exclusion reasons retained. Tightening the threshold to 10% retained 24,721 records, while 50% retained 26,475. Counts describe the candidate data and do not establish usable observation timing or executable depth.</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4788"/>
        <w:gridCol w:w="4788"/>
      </w:tblGrid>
      <w:tr>
        <w:trPr>
          <w:tblHeader w:val="true"/>
          <w:cantSplit/>
          <w:tblHeader/>
        </w:trPr>
        <w:tc>
          <w:tcPr>
            <w:tcW w:type="dxa" w:w="4788"/>
            <w:vAlign w:val="center"/>
            <w:shd w:fill="E9EEF3"/>
          </w:tcPr>
          <w:p>
            <w:pPr>
              <w:pStyle w:val="Compact"/>
              <w:keepNext/>
              <w:keepLines/>
              <w:spacing w:after="40" w:before="40" w:line="252" w:lineRule="auto"/>
              <w:jc w:val="left"/>
            </w:pPr>
            <w:r>
              <w:rPr>
                <w:b/>
                <w:sz w:val="21"/>
              </w:rPr>
              <w:t xml:space="preserve">Measure</w:t>
            </w:r>
          </w:p>
        </w:tc>
        <w:tc>
          <w:tcPr>
            <w:tcW w:type="dxa" w:w="4788"/>
            <w:vAlign w:val="center"/>
            <w:shd w:fill="E9EEF3"/>
          </w:tcPr>
          <w:p>
            <w:pPr>
              <w:pStyle w:val="Compact"/>
              <w:keepNext/>
              <w:keepLines/>
              <w:spacing w:after="40" w:before="40" w:line="252" w:lineRule="auto"/>
              <w:jc w:val="right"/>
            </w:pPr>
            <w:r>
              <w:rPr>
                <w:b/>
                <w:sz w:val="21"/>
              </w:rPr>
              <w:t xml:space="preserve">Result</w:t>
            </w:r>
          </w:p>
        </w:tc>
      </w:tr>
      <w:tr>
        <w:trPr>
          <w:cantSplit/>
        </w:trPr>
        <w:tc>
          <w:tcPr>
            <w:tcW w:type="dxa" w:w="4788"/>
            <w:vAlign w:val="center"/>
          </w:tcPr>
          <w:p>
            <w:pPr>
              <w:pStyle w:val="Compact"/>
              <w:keepNext/>
              <w:keepLines/>
              <w:spacing w:after="40" w:before="40" w:line="252" w:lineRule="auto"/>
              <w:jc w:val="left"/>
            </w:pPr>
            <w:r>
              <w:rPr>
                <w:b w:val="0"/>
                <w:sz w:val="21"/>
              </w:rPr>
              <w:t xml:space="preserve">Retrieved option records</w:t>
            </w:r>
          </w:p>
        </w:tc>
        <w:tc>
          <w:tcPr>
            <w:tcW w:type="dxa" w:w="4788"/>
            <w:vAlign w:val="center"/>
          </w:tcPr>
          <w:p>
            <w:pPr>
              <w:pStyle w:val="Compact"/>
              <w:keepNext/>
              <w:keepLines/>
              <w:spacing w:after="40" w:before="40" w:line="252" w:lineRule="auto"/>
              <w:jc w:val="right"/>
            </w:pPr>
            <w:r>
              <w:rPr>
                <w:b w:val="0"/>
                <w:sz w:val="21"/>
              </w:rPr>
              <w:t xml:space="preserve">27,782</w:t>
            </w:r>
          </w:p>
        </w:tc>
      </w:tr>
      <w:tr>
        <w:trPr>
          <w:cantSplit/>
        </w:trPr>
        <w:tc>
          <w:tcPr>
            <w:tcW w:type="dxa" w:w="4788"/>
            <w:vAlign w:val="center"/>
          </w:tcPr>
          <w:p>
            <w:pPr>
              <w:pStyle w:val="Compact"/>
              <w:keepNext/>
              <w:keepLines/>
              <w:spacing w:after="40" w:before="40" w:line="252" w:lineRule="auto"/>
              <w:jc w:val="left"/>
            </w:pPr>
            <w:r>
              <w:rPr>
                <w:b w:val="0"/>
                <w:sz w:val="21"/>
              </w:rPr>
              <w:t xml:space="preserve">Root-and-expiry groups</w:t>
            </w:r>
          </w:p>
        </w:tc>
        <w:tc>
          <w:tcPr>
            <w:tcW w:type="dxa" w:w="4788"/>
            <w:vAlign w:val="center"/>
          </w:tcPr>
          <w:p>
            <w:pPr>
              <w:pStyle w:val="Compact"/>
              <w:keepNext/>
              <w:keepLines/>
              <w:spacing w:after="40" w:before="40" w:line="252" w:lineRule="auto"/>
              <w:jc w:val="right"/>
            </w:pPr>
            <w:r>
              <w:rPr>
                <w:b w:val="0"/>
                <w:sz w:val="21"/>
              </w:rPr>
              <w:t xml:space="preserve">61</w:t>
            </w:r>
          </w:p>
        </w:tc>
      </w:tr>
      <w:tr>
        <w:trPr>
          <w:cantSplit/>
        </w:trPr>
        <w:tc>
          <w:tcPr>
            <w:tcW w:type="dxa" w:w="4788"/>
            <w:vAlign w:val="center"/>
          </w:tcPr>
          <w:p>
            <w:pPr>
              <w:pStyle w:val="Compact"/>
              <w:keepNext/>
              <w:keepLines/>
              <w:spacing w:after="40" w:before="40" w:line="252" w:lineRule="auto"/>
              <w:jc w:val="left"/>
            </w:pPr>
            <w:r>
              <w:rPr>
                <w:b w:val="0"/>
                <w:sz w:val="21"/>
              </w:rPr>
              <w:t xml:space="preserve">Records passing the 25% local price screen</w:t>
            </w:r>
          </w:p>
        </w:tc>
        <w:tc>
          <w:tcPr>
            <w:tcW w:type="dxa" w:w="4788"/>
            <w:vAlign w:val="center"/>
          </w:tcPr>
          <w:p>
            <w:pPr>
              <w:pStyle w:val="Compact"/>
              <w:keepNext/>
              <w:keepLines/>
              <w:spacing w:after="40" w:before="40" w:line="252" w:lineRule="auto"/>
              <w:jc w:val="right"/>
            </w:pPr>
            <w:r>
              <w:rPr>
                <w:b w:val="0"/>
                <w:sz w:val="21"/>
              </w:rPr>
              <w:t xml:space="preserve">25,866</w:t>
            </w:r>
          </w:p>
        </w:tc>
      </w:tr>
      <w:tr>
        <w:trPr>
          <w:cantSplit/>
        </w:trPr>
        <w:tc>
          <w:tcPr>
            <w:tcW w:type="dxa" w:w="4788"/>
            <w:vAlign w:val="center"/>
          </w:tcPr>
          <w:p>
            <w:pPr>
              <w:pStyle w:val="Compact"/>
              <w:keepNext/>
              <w:keepLines/>
              <w:spacing w:after="40" w:before="40" w:line="252" w:lineRule="auto"/>
              <w:jc w:val="left"/>
            </w:pPr>
            <w:r>
              <w:rPr>
                <w:b w:val="0"/>
                <w:sz w:val="21"/>
              </w:rPr>
              <w:t xml:space="preserve">Records excluded for wide relative spread</w:t>
            </w:r>
          </w:p>
        </w:tc>
        <w:tc>
          <w:tcPr>
            <w:tcW w:type="dxa" w:w="4788"/>
            <w:vAlign w:val="center"/>
          </w:tcPr>
          <w:p>
            <w:pPr>
              <w:pStyle w:val="Compact"/>
              <w:keepNext/>
              <w:keepLines/>
              <w:spacing w:after="40" w:before="40" w:line="252" w:lineRule="auto"/>
              <w:jc w:val="right"/>
            </w:pPr>
            <w:r>
              <w:rPr>
                <w:b w:val="0"/>
                <w:sz w:val="21"/>
              </w:rPr>
              <w:t xml:space="preserve">1,916</w:t>
            </w:r>
          </w:p>
        </w:tc>
      </w:tr>
      <w:tr>
        <w:trPr>
          <w:cantSplit/>
        </w:trPr>
        <w:tc>
          <w:tcPr>
            <w:tcW w:type="dxa" w:w="4788"/>
            <w:vAlign w:val="center"/>
          </w:tcPr>
          <w:p>
            <w:pPr>
              <w:pStyle w:val="Compact"/>
              <w:keepNext/>
              <w:keepLines/>
              <w:spacing w:after="40" w:before="40" w:line="252" w:lineRule="auto"/>
              <w:jc w:val="left"/>
            </w:pPr>
            <w:r>
              <w:rPr>
                <w:b w:val="0"/>
                <w:sz w:val="21"/>
              </w:rPr>
              <w:t xml:space="preserve">Zero-bid records, overlapping the spread exclusions</w:t>
            </w:r>
          </w:p>
        </w:tc>
        <w:tc>
          <w:tcPr>
            <w:tcW w:type="dxa" w:w="4788"/>
            <w:vAlign w:val="center"/>
          </w:tcPr>
          <w:p>
            <w:pPr>
              <w:pStyle w:val="Compact"/>
              <w:keepNext/>
              <w:keepLines/>
              <w:spacing w:after="40" w:before="40" w:line="252" w:lineRule="auto"/>
              <w:jc w:val="right"/>
            </w:pPr>
            <w:r>
              <w:rPr>
                <w:b w:val="0"/>
                <w:sz w:val="21"/>
              </w:rPr>
              <w:t xml:space="preserve">697</w:t>
            </w:r>
          </w:p>
        </w:tc>
      </w:tr>
      <w:tr>
        <w:trPr>
          <w:cantSplit/>
        </w:trPr>
        <w:tc>
          <w:tcPr>
            <w:tcW w:type="dxa" w:w="4788"/>
            <w:vAlign w:val="center"/>
          </w:tcPr>
          <w:p>
            <w:pPr>
              <w:pStyle w:val="Compact"/>
              <w:keepNext/>
              <w:keepLines/>
              <w:spacing w:after="40" w:before="40" w:line="252" w:lineRule="auto"/>
              <w:jc w:val="left"/>
            </w:pPr>
            <w:r>
              <w:rPr>
                <w:b w:val="0"/>
                <w:sz w:val="21"/>
              </w:rPr>
              <w:t xml:space="preserve">Records reporting zero bid size</w:t>
            </w:r>
          </w:p>
        </w:tc>
        <w:tc>
          <w:tcPr>
            <w:tcW w:type="dxa" w:w="4788"/>
            <w:vAlign w:val="center"/>
          </w:tcPr>
          <w:p>
            <w:pPr>
              <w:pStyle w:val="Compact"/>
              <w:keepNext/>
              <w:keepLines/>
              <w:spacing w:after="40" w:before="40" w:line="252" w:lineRule="auto"/>
              <w:jc w:val="right"/>
            </w:pPr>
            <w:r>
              <w:rPr>
                <w:b w:val="0"/>
                <w:sz w:val="21"/>
              </w:rPr>
              <w:t xml:space="preserve">27,782</w:t>
            </w:r>
          </w:p>
        </w:tc>
      </w:tr>
      <w:tr>
        <w:trPr>
          <w:cantSplit/>
        </w:trPr>
        <w:tc>
          <w:tcPr>
            <w:tcW w:type="dxa" w:w="4788"/>
            <w:vAlign w:val="center"/>
          </w:tcPr>
          <w:p>
            <w:pPr>
              <w:pStyle w:val="Compact"/>
              <w:keepNext/>
              <w:keepLines/>
              <w:spacing w:after="40" w:before="40" w:line="252" w:lineRule="auto"/>
              <w:jc w:val="left"/>
            </w:pPr>
            <w:r>
              <w:rPr>
                <w:b w:val="0"/>
                <w:sz w:val="21"/>
              </w:rPr>
              <w:t xml:space="preserve">Records reporting zero ask size</w:t>
            </w:r>
          </w:p>
        </w:tc>
        <w:tc>
          <w:tcPr>
            <w:tcW w:type="dxa" w:w="4788"/>
            <w:vAlign w:val="center"/>
          </w:tcPr>
          <w:p>
            <w:pPr>
              <w:pStyle w:val="Compact"/>
              <w:keepNext/>
              <w:keepLines/>
              <w:spacing w:after="40" w:before="40" w:line="252" w:lineRule="auto"/>
              <w:jc w:val="right"/>
            </w:pPr>
            <w:r>
              <w:rPr>
                <w:b w:val="0"/>
                <w:sz w:val="21"/>
              </w:rPr>
              <w:t xml:space="preserve">27,782</w:t>
            </w:r>
          </w:p>
        </w:tc>
      </w:tr>
    </w:tbl>
    <w:p>
      <w:bookmarkStart w:id="531" w:name="table3"/>
      <w:pPr>
        <w:pStyle w:val="TableCaption"/>
      </w:pPr>
      <w:r>
        <w:t xml:space="preserve">Table 3. Candidate-snapshot audit results.</w:t>
      </w:r>
      <w:bookmarkEnd w:id="531"/>
    </w:p>
    <w:p>
      <w:pPr>
        <w:sectPr>
          <w:footerReference w:type="default" r:id="rId13"/>
          <w:headerReference w:type="default" r:id="rId14"/>
          <w:type w:val="nextPage"/>
          <w:pgSz w:w="11906" w:h="16838" w:orient="portrait"/>
          <w:pgMar w:top="1008" w:bottom="1008" w:left="1152" w:right="1152" w:header="432" w:footer="432" w:gutter="0"/>
          <w:pgNumType w:fmt="decimal" w:start="1"/>
        </w:sectPr>
        <w:spacing w:before="0" w:after="0" w:line="1" w:lineRule="exact"/>
      </w:pPr>
      <w:r>
        <w:rPr>
          <w:sz w:val="2"/>
        </w:rPr>
      </w:r>
    </w:p>
    <w:p>
      <w:pPr>
        <w:pStyle w:val="BodyText"/>
        <w:keepNext/>
        <w:spacing w:after="40"/>
        <w:jc w:val="center"/>
      </w:pPr>
      <w:r>
        <w:drawing>
          <wp:inline>
            <wp:extent cx="5334000" cy="3879272"/>
            <wp:effectExtent b="0" l="0" r="0" t="0"/>
            <wp:docPr descr="Candidate quote coverage by expiry and root" title="" id="49" name="Picture"/>
            <a:graphic>
              <a:graphicData uri="http://schemas.openxmlformats.org/drawingml/2006/picture">
                <pic:pic>
                  <pic:nvPicPr>
                    <pic:cNvPr descr="/workspace/scratch/62b9274b9d7e/spx-density-research/figures/figure_05_quote_coverage.png" id="50" name="Picture"/>
                    <pic:cNvPicPr>
                      <a:picLocks noChangeArrowheads="1" noChangeAspect="1"/>
                    </pic:cNvPicPr>
                  </pic:nvPicPr>
                  <pic:blipFill>
                    <a:blip r:embed="rId48"/>
                    <a:stretch>
                      <a:fillRect/>
                    </a:stretch>
                  </pic:blipFill>
                  <pic:spPr bwMode="auto">
                    <a:xfrm>
                      <a:off x="0" y="0"/>
                      <a:ext cx="5334000" cy="3879272"/>
                    </a:xfrm>
                    <a:prstGeom prst="rect">
                      <a:avLst/>
                    </a:prstGeom>
                    <a:noFill/>
                    <a:ln w="9525">
                      <a:noFill/>
                      <a:headEnd/>
                      <a:tailEnd/>
                    </a:ln>
                  </pic:spPr>
                </pic:pic>
              </a:graphicData>
            </a:graphic>
          </wp:inline>
        </w:drawing>
      </w:r>
    </w:p>
    <w:p>
      <w:bookmarkStart w:id="532" w:name="figure5"/>
      <w:pPr>
        <w:pStyle w:val="FigureCaption"/>
      </w:pPr>
      <w:r>
        <w:t xml:space="preserve">Figure 5. Number of strikes with both a call and a put passing the provisional 25% price screen, for the first twelve listed expiry dates within each root. The panels retain SPX and SPXW separately. Dates are contract expiry labels, not verified settlement horizons. Counts do not establish continuous strike coverage or quote usability.</w:t>
      </w:r>
      <w:bookmarkEnd w:id="532"/>
    </w:p>
    <w:p>
      <w:pPr>
        <w:sectPr>
          <w:type w:val="nextPage"/>
          <w:pgSz w:w="16838" w:h="11906" w:orient="landscape"/>
          <w:pgMar w:top="1008" w:bottom="1008" w:left="1152" w:right="1152" w:header="432" w:footer="432" w:gutter="0"/>
          <w:pgNumType w:fmt="decimal"/>
        </w:sectPr>
        <w:spacing w:before="0" w:after="0" w:line="1" w:lineRule="exact"/>
      </w:pPr>
      <w:r>
        <w:rPr>
          <w:sz w:val="2"/>
        </w:rPr>
      </w:r>
    </w:p>
    <w:p>
      <w:pPr>
        <w:pStyle w:val="BodyText"/>
        <w:keepNext/>
        <w:spacing w:after="40"/>
        <w:jc w:val="center"/>
      </w:pPr>
      <w:r>
        <w:drawing>
          <wp:inline>
            <wp:extent cx="5334000" cy="2963333"/>
            <wp:effectExtent b="0" l="0" r="0" t="0"/>
            <wp:docPr descr="Candidate coverage under spread thresholds" title="" id="52" name="Picture"/>
            <a:graphic>
              <a:graphicData uri="http://schemas.openxmlformats.org/drawingml/2006/picture">
                <pic:pic>
                  <pic:nvPicPr>
                    <pic:cNvPr descr="/workspace/scratch/62b9274b9d7e/spx-density-research/figures/figure_06_spread_sensitivity.png" id="53" name="Picture"/>
                    <pic:cNvPicPr>
                      <a:picLocks noChangeArrowheads="1" noChangeAspect="1"/>
                    </pic:cNvPicPr>
                  </pic:nvPicPr>
                  <pic:blipFill>
                    <a:blip r:embed="rId51"/>
                    <a:stretch>
                      <a:fillRect/>
                    </a:stretch>
                  </pic:blipFill>
                  <pic:spPr bwMode="auto">
                    <a:xfrm>
                      <a:off x="0" y="0"/>
                      <a:ext cx="5334000" cy="2963333"/>
                    </a:xfrm>
                    <a:prstGeom prst="rect">
                      <a:avLst/>
                    </a:prstGeom>
                    <a:noFill/>
                    <a:ln w="9525">
                      <a:noFill/>
                      <a:headEnd/>
                      <a:tailEnd/>
                    </a:ln>
                  </pic:spPr>
                </pic:pic>
              </a:graphicData>
            </a:graphic>
          </wp:inline>
        </w:drawing>
      </w:r>
    </w:p>
    <w:p>
      <w:bookmarkStart w:id="533" w:name="figure6"/>
      <w:pPr>
        <w:pStyle w:val="FigureCaption"/>
      </w:pPr>
      <w:r>
        <w:t xml:space="preserve">Figure 6. Records passing the local price screen when the maximum spread-to-midpoint ratio is set to 10%, 25% and 50%. Counts are 24,721, 25,866 and 26,475, respectively. These are candidate-data diagnostics; the observation-time and size limitations apply at every threshold.</w:t>
      </w:r>
      <w:bookmarkEnd w:id="533"/>
    </w:p>
    <w:p>
      <w:pPr>
        <w:pStyle w:val="BodyText"/>
      </w:pPr>
      <w:r>
        <w:t xml:space="preserve">As Aït-Sahalia and Lo explain in their state-price-density paper [10, §III.A], European put–call parity links prices at the same strike and maturity. Equation (7) states the relationship, and Equation (8) rearranges the opposite sides of the quoted spreads into an indicative forward interval conditional on the discount factor.</w:t>
      </w:r>
    </w:p>
    <w:p>
      <w:pPr>
        <w:pStyle w:val="BodyText"/>
        <w:keepNext/>
        <w:spacing w:before="120" w:after="40"/>
        <w:jc w:val="center"/>
      </w:pPr>
      <m:oMathPara>
        <m:oMathParaPr>
          <m:jc m:val="center"/>
        </m:oMathParaPr>
        <m:oMath>
          <m:r>
            <m:t>C</m:t>
          </m:r>
          <m:d>
            <m:dPr>
              <m:begChr m:val="("/>
              <m:endChr m:val=")"/>
              <m:sepChr m:val=""/>
              <m:grow/>
            </m:dPr>
            <m:e>
              <m:r>
                <m:t>K</m:t>
              </m:r>
              <m:r>
                <m:rPr>
                  <m:sty m:val="p"/>
                </m:rPr>
                <m:t>,</m:t>
              </m:r>
              <m:r>
                <m:t>T</m:t>
              </m:r>
            </m:e>
          </m:d>
          <m:r>
            <m:rPr>
              <m:sty m:val="p"/>
            </m:rPr>
            <m:t>−</m:t>
          </m:r>
          <m:r>
            <m:t>P</m:t>
          </m:r>
          <m:d>
            <m:dPr>
              <m:begChr m:val="("/>
              <m:endChr m:val=")"/>
              <m:sepChr m:val=""/>
              <m:grow/>
            </m:dPr>
            <m:e>
              <m:r>
                <m:t>K</m:t>
              </m:r>
              <m:r>
                <m:rPr>
                  <m:sty m:val="p"/>
                </m:rPr>
                <m:t>,</m:t>
              </m:r>
              <m:r>
                <m:t>T</m:t>
              </m:r>
            </m:e>
          </m:d>
          <m:r>
            <m:rPr>
              <m:sty m:val="p"/>
            </m:rPr>
            <m:t>=</m:t>
          </m:r>
          <m:r>
            <m:t>D</m:t>
          </m:r>
          <m:d>
            <m:dPr>
              <m:begChr m:val="("/>
              <m:endChr m:val=")"/>
              <m:sepChr m:val=""/>
              <m:grow/>
            </m:dPr>
            <m:e>
              <m:r>
                <m:t>T</m:t>
              </m:r>
            </m:e>
          </m:d>
          <m:r>
            <m:t> </m:t>
          </m:r>
          <m:d>
            <m:dPr>
              <m:begChr m:val="["/>
              <m:endChr m:val="]"/>
              <m:sepChr m:val=""/>
              <m:grow/>
            </m:dPr>
            <m:e>
              <m:r>
                <m:t>F</m:t>
              </m:r>
              <m:d>
                <m:dPr>
                  <m:begChr m:val="("/>
                  <m:endChr m:val=")"/>
                  <m:sepChr m:val=""/>
                  <m:grow/>
                </m:dPr>
                <m:e>
                  <m:r>
                    <m:t>T</m:t>
                  </m:r>
                </m:e>
              </m:d>
              <m:r>
                <m:rPr>
                  <m:sty m:val="p"/>
                </m:rPr>
                <m:t>−</m:t>
              </m:r>
              <m:r>
                <m:t>K</m:t>
              </m:r>
            </m:e>
          </m:d>
          <m:r>
            <m:rPr>
              <m:sty m:val="p"/>
            </m:rPr>
            <m:t>,</m:t>
          </m:r>
          <m:r>
            <m:t>  </m:t>
          </m:r>
          <m:r>
            <m:t>D</m:t>
          </m:r>
          <m:d>
            <m:dPr>
              <m:begChr m:val="("/>
              <m:endChr m:val=")"/>
              <m:sepChr m:val=""/>
              <m:grow/>
            </m:dPr>
            <m:e>
              <m:r>
                <m:t>T</m:t>
              </m:r>
            </m:e>
          </m:d>
          <m:r>
            <m:rPr>
              <m:sty m:val="p"/>
            </m:rPr>
            <m:t>=</m:t>
          </m:r>
          <m:sSup>
            <m:e>
              <m:r>
                <m:t>e</m:t>
              </m:r>
            </m:e>
            <m:sup>
              <m:r>
                <m:rPr>
                  <m:sty m:val="p"/>
                </m:rPr>
                <m:t>−</m:t>
              </m:r>
              <m:r>
                <m:t>r</m:t>
              </m:r>
              <m:r>
                <m:t>T</m:t>
              </m:r>
            </m:sup>
          </m:sSup>
          <m:r>
            <m:rPr>
              <m:sty m:val="p"/>
            </m:rPr>
            <m:t>.</m:t>
          </m:r>
        </m:oMath>
      </m:oMathPara>
    </w:p>
    <w:p>
      <w:bookmarkStart w:id="534" w:name="equation7"/>
      <w:pPr>
        <w:pStyle w:val="EquationCaption"/>
      </w:pPr>
      <w:r>
        <w:t xml:space="preserve">Equation 7. Discounted put–call parity.</w:t>
      </w:r>
      <w:bookmarkEnd w:id="534"/>
    </w:p>
    <w:p>
      <w:pPr>
        <w:pStyle w:val="BodyText"/>
        <w:keepNext/>
        <w:spacing w:before="120" w:after="40"/>
        <w:jc w:val="center"/>
      </w:pPr>
      <m:oMathPara>
        <m:oMathParaPr>
          <m:jc m:val="center"/>
        </m:oMathParaPr>
        <m:oMath>
          <m:r>
            <m:t>K</m:t>
          </m:r>
          <m:r>
            <m:rPr>
              <m:sty m:val="p"/>
            </m:rPr>
            <m:t>+</m:t>
          </m:r>
          <m:f>
            <m:fPr>
              <m:type m:val="bar"/>
            </m:fPr>
            <m:num>
              <m:sSub>
                <m:e>
                  <m:r>
                    <m:t>C</m:t>
                  </m:r>
                </m:e>
                <m:sub>
                  <m:r>
                    <m:rPr>
                      <m:sty m:val="p"/>
                    </m:rPr>
                    <m:t>b</m:t>
                  </m:r>
                  <m:r>
                    <m:rPr>
                      <m:sty m:val="p"/>
                    </m:rPr>
                    <m:t>i</m:t>
                  </m:r>
                  <m:r>
                    <m:rPr>
                      <m:sty m:val="p"/>
                    </m:rPr>
                    <m:t>d</m:t>
                  </m:r>
                </m:sub>
              </m:sSub>
              <m:r>
                <m:rPr>
                  <m:sty m:val="p"/>
                </m:rPr>
                <m:t>−</m:t>
              </m:r>
              <m:sSub>
                <m:e>
                  <m:r>
                    <m:t>P</m:t>
                  </m:r>
                </m:e>
                <m:sub>
                  <m:r>
                    <m:rPr>
                      <m:sty m:val="p"/>
                    </m:rPr>
                    <m:t>a</m:t>
                  </m:r>
                  <m:r>
                    <m:rPr>
                      <m:sty m:val="p"/>
                    </m:rPr>
                    <m:t>s</m:t>
                  </m:r>
                  <m:r>
                    <m:rPr>
                      <m:sty m:val="p"/>
                    </m:rPr>
                    <m:t>k</m:t>
                  </m:r>
                </m:sub>
              </m:sSub>
            </m:num>
            <m:den>
              <m:r>
                <m:t>D</m:t>
              </m:r>
              <m:d>
                <m:dPr>
                  <m:begChr m:val="("/>
                  <m:endChr m:val=")"/>
                  <m:sepChr m:val=""/>
                  <m:grow/>
                </m:dPr>
                <m:e>
                  <m:r>
                    <m:t>T</m:t>
                  </m:r>
                </m:e>
              </m:d>
            </m:den>
          </m:f>
          <m:r>
            <m:rPr>
              <m:sty m:val="p"/>
            </m:rPr>
            <m:t>≤</m:t>
          </m:r>
          <m:r>
            <m:t>F</m:t>
          </m:r>
          <m:d>
            <m:dPr>
              <m:begChr m:val="("/>
              <m:endChr m:val=")"/>
              <m:sepChr m:val=""/>
              <m:grow/>
            </m:dPr>
            <m:e>
              <m:r>
                <m:t>T</m:t>
              </m:r>
            </m:e>
          </m:d>
          <m:r>
            <m:rPr>
              <m:sty m:val="p"/>
            </m:rPr>
            <m:t>≤</m:t>
          </m:r>
          <m:r>
            <m:t>K</m:t>
          </m:r>
          <m:r>
            <m:rPr>
              <m:sty m:val="p"/>
            </m:rPr>
            <m:t>+</m:t>
          </m:r>
          <m:f>
            <m:fPr>
              <m:type m:val="bar"/>
            </m:fPr>
            <m:num>
              <m:sSub>
                <m:e>
                  <m:r>
                    <m:t>C</m:t>
                  </m:r>
                </m:e>
                <m:sub>
                  <m:r>
                    <m:rPr>
                      <m:sty m:val="p"/>
                    </m:rPr>
                    <m:t>a</m:t>
                  </m:r>
                  <m:r>
                    <m:rPr>
                      <m:sty m:val="p"/>
                    </m:rPr>
                    <m:t>s</m:t>
                  </m:r>
                  <m:r>
                    <m:rPr>
                      <m:sty m:val="p"/>
                    </m:rPr>
                    <m:t>k</m:t>
                  </m:r>
                </m:sub>
              </m:sSub>
              <m:r>
                <m:rPr>
                  <m:sty m:val="p"/>
                </m:rPr>
                <m:t>−</m:t>
              </m:r>
              <m:sSub>
                <m:e>
                  <m:r>
                    <m:t>P</m:t>
                  </m:r>
                </m:e>
                <m:sub>
                  <m:r>
                    <m:rPr>
                      <m:sty m:val="p"/>
                    </m:rPr>
                    <m:t>b</m:t>
                  </m:r>
                  <m:r>
                    <m:rPr>
                      <m:sty m:val="p"/>
                    </m:rPr>
                    <m:t>i</m:t>
                  </m:r>
                  <m:r>
                    <m:rPr>
                      <m:sty m:val="p"/>
                    </m:rPr>
                    <m:t>d</m:t>
                  </m:r>
                </m:sub>
              </m:sSub>
            </m:num>
            <m:den>
              <m:r>
                <m:t>D</m:t>
              </m:r>
              <m:d>
                <m:dPr>
                  <m:begChr m:val="("/>
                  <m:endChr m:val=")"/>
                  <m:sepChr m:val=""/>
                  <m:grow/>
                </m:dPr>
                <m:e>
                  <m:r>
                    <m:t>T</m:t>
                  </m:r>
                </m:e>
              </m:d>
            </m:den>
          </m:f>
          <m:r>
            <m:rPr>
              <m:sty m:val="p"/>
            </m:rPr>
            <m:t>.</m:t>
          </m:r>
        </m:oMath>
      </m:oMathPara>
    </w:p>
    <w:p>
      <w:bookmarkStart w:id="535" w:name="equation8"/>
      <w:pPr>
        <w:pStyle w:val="EquationCaption"/>
      </w:pPr>
      <w:r>
        <w:t xml:space="preserve">Equation 8. Indicative forward interval from bid–ask quotes.</w:t>
      </w:r>
      <w:bookmarkEnd w:id="535"/>
    </w:p>
    <w:p>
      <w:pPr>
        <w:pStyle w:val="BodyText"/>
      </w:pPr>
      <w:r>
        <w:t xml:space="preserve">The interval requires matched contracts and compatible observation information. A provider specification cannot fill missing metadata in another payload. Table 4 identifies the required fields and the treatment at the initial audit stage. The later empirical adapter supplies a separate, explicit profile based on the information actually available.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4788"/>
        <w:gridCol w:w="4788"/>
      </w:tblGrid>
      <w:tr>
        <w:trPr>
          <w:tblHeader w:val="true"/>
          <w:cantSplit/>
          <w:tblHeader/>
        </w:trPr>
        <w:tc>
          <w:tcPr>
            <w:tcW w:type="dxa" w:w="4788"/>
            <w:vAlign w:val="center"/>
            <w:shd w:fill="E9EEF3"/>
          </w:tcPr>
          <w:p>
            <w:pPr>
              <w:pStyle w:val="Compact"/>
              <w:keepNext/>
              <w:keepLines/>
              <w:spacing w:after="40" w:before="40" w:line="252" w:lineRule="auto"/>
              <w:jc w:val="left"/>
            </w:pPr>
            <w:r>
              <w:rPr>
                <w:b/>
                <w:sz w:val="21"/>
              </w:rPr>
              <w:t xml:space="preserve">Field</w:t>
            </w:r>
          </w:p>
        </w:tc>
        <w:tc>
          <w:tcPr>
            <w:tcW w:type="dxa" w:w="4788"/>
            <w:vAlign w:val="center"/>
            <w:shd w:fill="E9EEF3"/>
          </w:tcPr>
          <w:p>
            <w:pPr>
              <w:pStyle w:val="Compact"/>
              <w:keepNext/>
              <w:keepLines/>
              <w:spacing w:after="40" w:before="40" w:line="252" w:lineRule="auto"/>
              <w:jc w:val="left"/>
            </w:pPr>
            <w:r>
              <w:rPr>
                <w:b/>
                <w:sz w:val="21"/>
              </w:rPr>
              <w:t xml:space="preserve">Meaning and treatment</w:t>
            </w:r>
          </w:p>
        </w:tc>
      </w:tr>
      <w:tr>
        <w:trPr>
          <w:cantSplit/>
        </w:trPr>
        <w:tc>
          <w:tcPr>
            <w:tcW w:type="dxa" w:w="4788"/>
            <w:vAlign w:val="center"/>
          </w:tcPr>
          <w:p>
            <w:pPr>
              <w:pStyle w:val="Compact"/>
              <w:keepNext/>
              <w:keepLines/>
              <w:spacing w:after="40" w:before="40" w:line="252" w:lineRule="auto"/>
              <w:jc w:val="left"/>
            </w:pPr>
            <w:r>
              <w:rPr>
                <w:b w:val="0"/>
                <w:sz w:val="21"/>
              </w:rPr>
              <w:t xml:space="preserve">Raw contract symbol</w:t>
            </w:r>
          </w:p>
        </w:tc>
        <w:tc>
          <w:tcPr>
            <w:tcW w:type="dxa" w:w="4788"/>
            <w:vAlign w:val="center"/>
          </w:tcPr>
          <w:p>
            <w:pPr>
              <w:pStyle w:val="Compact"/>
              <w:keepNext/>
              <w:keepLines/>
              <w:spacing w:after="40" w:before="40" w:line="252" w:lineRule="auto"/>
              <w:jc w:val="left"/>
            </w:pPr>
            <w:r>
              <w:rPr>
                <w:b w:val="0"/>
                <w:sz w:val="21"/>
              </w:rPr>
              <w:t xml:space="preserve">Preserved identifier; decoded root, expiry date, type and strike</w:t>
            </w:r>
          </w:p>
        </w:tc>
      </w:tr>
      <w:tr>
        <w:trPr>
          <w:cantSplit/>
        </w:trPr>
        <w:tc>
          <w:tcPr>
            <w:tcW w:type="dxa" w:w="4788"/>
            <w:vAlign w:val="center"/>
          </w:tcPr>
          <w:p>
            <w:pPr>
              <w:pStyle w:val="Compact"/>
              <w:keepNext/>
              <w:keepLines/>
              <w:spacing w:after="40" w:before="40" w:line="252" w:lineRule="auto"/>
              <w:jc w:val="left"/>
            </w:pPr>
            <w:r>
              <w:rPr>
                <w:b w:val="0"/>
                <w:sz w:val="21"/>
              </w:rPr>
              <w:t xml:space="preserve">Bid and ask</w:t>
            </w:r>
          </w:p>
        </w:tc>
        <w:tc>
          <w:tcPr>
            <w:tcW w:type="dxa" w:w="4788"/>
            <w:vAlign w:val="center"/>
          </w:tcPr>
          <w:p>
            <w:pPr>
              <w:pStyle w:val="Compact"/>
              <w:keepNext/>
              <w:keepLines/>
              <w:spacing w:after="40" w:before="40" w:line="252" w:lineRule="auto"/>
              <w:jc w:val="left"/>
            </w:pPr>
            <w:r>
              <w:rPr>
                <w:b w:val="0"/>
                <w:sz w:val="21"/>
              </w:rPr>
              <w:t xml:space="preserve">Index-point premiums; finite and ordered</w:t>
            </w:r>
          </w:p>
        </w:tc>
      </w:tr>
      <w:tr>
        <w:trPr>
          <w:cantSplit/>
        </w:trPr>
        <w:tc>
          <w:tcPr>
            <w:tcW w:type="dxa" w:w="4788"/>
            <w:vAlign w:val="center"/>
          </w:tcPr>
          <w:p>
            <w:pPr>
              <w:pStyle w:val="Compact"/>
              <w:keepNext/>
              <w:keepLines/>
              <w:spacing w:after="40" w:before="40" w:line="252" w:lineRule="auto"/>
              <w:jc w:val="left"/>
            </w:pPr>
            <w:r>
              <w:rPr>
                <w:b w:val="0"/>
                <w:sz w:val="21"/>
              </w:rPr>
              <w:t xml:space="preserve">Bid and ask sizes</w:t>
            </w:r>
          </w:p>
        </w:tc>
        <w:tc>
          <w:tcPr>
            <w:tcW w:type="dxa" w:w="4788"/>
            <w:vAlign w:val="center"/>
          </w:tcPr>
          <w:p>
            <w:pPr>
              <w:pStyle w:val="Compact"/>
              <w:keepNext/>
              <w:keepLines/>
              <w:spacing w:after="40" w:before="40" w:line="252" w:lineRule="auto"/>
              <w:jc w:val="left"/>
            </w:pPr>
            <w:r>
              <w:rPr>
                <w:b w:val="0"/>
                <w:sz w:val="21"/>
              </w:rPr>
              <w:t xml:space="preserve">Preserved in raw JSON; missing or nonpositive values flagged</w:t>
            </w:r>
          </w:p>
        </w:tc>
      </w:tr>
      <w:tr>
        <w:trPr>
          <w:cantSplit/>
        </w:trPr>
        <w:tc>
          <w:tcPr>
            <w:tcW w:type="dxa" w:w="4788"/>
            <w:vAlign w:val="center"/>
          </w:tcPr>
          <w:p>
            <w:pPr>
              <w:pStyle w:val="Compact"/>
              <w:keepNext/>
              <w:keepLines/>
              <w:spacing w:after="40" w:before="40" w:line="252" w:lineRule="auto"/>
              <w:jc w:val="left"/>
            </w:pPr>
            <w:r>
              <w:rPr>
                <w:b w:val="0"/>
                <w:sz w:val="21"/>
              </w:rPr>
              <w:t xml:space="preserve">Full quote observation datetime</w:t>
            </w:r>
          </w:p>
        </w:tc>
        <w:tc>
          <w:tcPr>
            <w:tcW w:type="dxa" w:w="4788"/>
            <w:vAlign w:val="center"/>
          </w:tcPr>
          <w:p>
            <w:pPr>
              <w:pStyle w:val="Compact"/>
              <w:keepNext/>
              <w:keepLines/>
              <w:spacing w:after="40" w:before="40" w:line="252" w:lineRule="auto"/>
              <w:jc w:val="left"/>
            </w:pPr>
            <w:r>
              <w:rPr>
                <w:b w:val="0"/>
                <w:sz w:val="21"/>
              </w:rPr>
              <w:t xml:space="preserve">Required before estimation; currently unresolved</w:t>
            </w:r>
          </w:p>
        </w:tc>
      </w:tr>
      <w:tr>
        <w:trPr>
          <w:cantSplit/>
        </w:trPr>
        <w:tc>
          <w:tcPr>
            <w:tcW w:type="dxa" w:w="4788"/>
            <w:vAlign w:val="center"/>
          </w:tcPr>
          <w:p>
            <w:pPr>
              <w:pStyle w:val="Compact"/>
              <w:keepNext/>
              <w:keepLines/>
              <w:spacing w:after="40" w:before="40" w:line="252" w:lineRule="auto"/>
              <w:jc w:val="left"/>
            </w:pPr>
            <w:r>
              <w:rPr>
                <w:b w:val="0"/>
                <w:sz w:val="21"/>
              </w:rPr>
              <w:t xml:space="preserve">Quote timezone</w:t>
            </w:r>
          </w:p>
        </w:tc>
        <w:tc>
          <w:tcPr>
            <w:tcW w:type="dxa" w:w="4788"/>
            <w:vAlign w:val="center"/>
          </w:tcPr>
          <w:p>
            <w:pPr>
              <w:pStyle w:val="Compact"/>
              <w:keepNext/>
              <w:keepLines/>
              <w:spacing w:after="40" w:before="40" w:line="252" w:lineRule="auto"/>
              <w:jc w:val="left"/>
            </w:pPr>
            <w:r>
              <w:rPr>
                <w:b w:val="0"/>
                <w:sz w:val="21"/>
              </w:rPr>
              <w:t xml:space="preserve">Required and explicit; currently unresolved</w:t>
            </w:r>
          </w:p>
        </w:tc>
      </w:tr>
      <w:tr>
        <w:trPr>
          <w:cantSplit/>
        </w:trPr>
        <w:tc>
          <w:tcPr>
            <w:tcW w:type="dxa" w:w="4788"/>
            <w:vAlign w:val="center"/>
          </w:tcPr>
          <w:p>
            <w:pPr>
              <w:pStyle w:val="Compact"/>
              <w:keepNext/>
              <w:keepLines/>
              <w:spacing w:after="40" w:before="40" w:line="252" w:lineRule="auto"/>
              <w:jc w:val="left"/>
            </w:pPr>
            <w:r>
              <w:rPr>
                <w:b w:val="0"/>
                <w:sz w:val="21"/>
              </w:rPr>
              <w:t xml:space="preserve">Settlement convention and datetime</w:t>
            </w:r>
          </w:p>
        </w:tc>
        <w:tc>
          <w:tcPr>
            <w:tcW w:type="dxa" w:w="4788"/>
            <w:vAlign w:val="center"/>
          </w:tcPr>
          <w:p>
            <w:pPr>
              <w:pStyle w:val="Compact"/>
              <w:keepNext/>
              <w:keepLines/>
              <w:spacing w:after="40" w:before="40" w:line="252" w:lineRule="auto"/>
              <w:jc w:val="left"/>
            </w:pPr>
            <w:r>
              <w:rPr>
                <w:b w:val="0"/>
                <w:sz w:val="21"/>
              </w:rPr>
              <w:t xml:space="preserve">Confirm for selected contracts before calculating maturity</w:t>
            </w:r>
          </w:p>
        </w:tc>
      </w:tr>
      <w:tr>
        <w:trPr>
          <w:cantSplit/>
        </w:trPr>
        <w:tc>
          <w:tcPr>
            <w:tcW w:type="dxa" w:w="4788"/>
            <w:vAlign w:val="center"/>
          </w:tcPr>
          <w:p>
            <w:pPr>
              <w:pStyle w:val="Compact"/>
              <w:keepNext/>
              <w:keepLines/>
              <w:spacing w:after="40" w:before="40" w:line="252" w:lineRule="auto"/>
              <w:jc w:val="left"/>
            </w:pPr>
            <w:r>
              <w:rPr>
                <w:b w:val="0"/>
                <w:sz w:val="21"/>
              </w:rPr>
              <w:t xml:space="preserve">Retrieval time and source</w:t>
            </w:r>
          </w:p>
        </w:tc>
        <w:tc>
          <w:tcPr>
            <w:tcW w:type="dxa" w:w="4788"/>
            <w:vAlign w:val="center"/>
          </w:tcPr>
          <w:p>
            <w:pPr>
              <w:pStyle w:val="Compact"/>
              <w:keepNext/>
              <w:keepLines/>
              <w:spacing w:after="40" w:before="40" w:line="252" w:lineRule="auto"/>
              <w:jc w:val="left"/>
            </w:pPr>
            <w:r>
              <w:rPr>
                <w:b w:val="0"/>
                <w:sz w:val="21"/>
              </w:rPr>
              <w:t xml:space="preserve">Provenance only; not substitutes for observation time</w:t>
            </w:r>
          </w:p>
        </w:tc>
      </w:tr>
      <w:tr>
        <w:trPr>
          <w:cantSplit/>
        </w:trPr>
        <w:tc>
          <w:tcPr>
            <w:tcW w:type="dxa" w:w="4788"/>
            <w:vAlign w:val="center"/>
          </w:tcPr>
          <w:p>
            <w:pPr>
              <w:pStyle w:val="Compact"/>
              <w:keepNext/>
              <w:keepLines/>
              <w:spacing w:after="40" w:before="40" w:line="252" w:lineRule="auto"/>
              <w:jc w:val="left"/>
            </w:pPr>
            <w:r>
              <w:rPr>
                <w:b w:val="0"/>
                <w:sz w:val="21"/>
              </w:rPr>
              <w:t xml:space="preserve">Discount factor and forward</w:t>
            </w:r>
          </w:p>
        </w:tc>
        <w:tc>
          <w:tcPr>
            <w:tcW w:type="dxa" w:w="4788"/>
            <w:vAlign w:val="center"/>
          </w:tcPr>
          <w:p>
            <w:pPr>
              <w:pStyle w:val="Compact"/>
              <w:keepNext/>
              <w:keepLines/>
              <w:spacing w:after="40" w:before="40" w:line="252" w:lineRule="auto"/>
              <w:jc w:val="left"/>
            </w:pPr>
            <w:r>
              <w:rPr>
                <w:b w:val="0"/>
                <w:sz w:val="21"/>
              </w:rPr>
              <w:t xml:space="preserve">Establish and document separately for each horizon</w:t>
            </w:r>
          </w:p>
        </w:tc>
      </w:tr>
    </w:tbl>
    <w:p>
      <w:bookmarkStart w:id="536" w:name="table4"/>
      <w:pPr>
        <w:pStyle w:val="TableCaption"/>
      </w:pPr>
      <w:r>
        <w:t xml:space="preserve">Table 4. Required fields and current treatment.</w:t>
      </w:r>
      <w:bookmarkEnd w:id="536"/>
    </w:p>
    <w:bookmarkEnd w:id="54"/>
    <w:bookmarkStart w:id="55" w:name="Xbf81023ad31ac7fa84d0478edf5a1024b7cfd12"/>
    <w:p>
      <w:bookmarkStart w:id="537" w:name="h12"/>
      <w:pPr>
        <w:pStyle w:val="Heading2"/>
        <w:numPr>
          <w:ilvl w:val="1"/>
          <w:numId w:val="70"/>
        </w:numPr>
      </w:pPr>
      <w:bookmarkEnd w:id="537"/>
      <w:r>
        <w:t>Representing a valid terminal distribution</w:t>
      </w:r>
    </w:p>
    <w:p>
      <w:pPr>
        <w:pStyle w:val="FirstParagraph"/>
      </w:pPr>
      <w:r>
        <w:t xml:space="preserve">As Aït-Sahalia and Duarte explain [9], imposing the shape restrictions of option valuation helps prevent inconsistent estimated price curves. The present implementation takes a direct probability approach. Interval</w:t>
      </w:r>
      <w:r>
        <w:t xml:space="preserve"> </w:t>
      </w:r>
      <m:oMath>
        <m:r>
          <m:t>j</m:t>
        </m:r>
      </m:oMath>
      <w:r>
        <w:t xml:space="preserve"> </w:t>
      </w:r>
      <w:r>
        <w:t xml:space="preserve">has boundaries</w:t>
      </w:r>
      <w:r>
        <w:t xml:space="preserve"> </w:t>
      </w:r>
      <m:oMath>
        <m:sSub>
          <m:e>
            <m:r>
              <m:t>a</m:t>
            </m:r>
          </m:e>
          <m:sub>
            <m:r>
              <m:t>j</m:t>
            </m:r>
          </m:sub>
        </m:sSub>
        <m:r>
          <m:rPr>
            <m:sty m:val="p"/>
          </m:rPr>
          <m:t>,</m:t>
        </m:r>
        <m:sSub>
          <m:e>
            <m:r>
              <m:t>b</m:t>
            </m:r>
          </m:e>
          <m:sub>
            <m:r>
              <m:t>j</m:t>
            </m:r>
          </m:sub>
        </m:sSub>
      </m:oMath>
      <w:r>
        <w:t xml:space="preserve">, width</w:t>
      </w:r>
      <w:r>
        <w:t xml:space="preserve"> </w:t>
      </w:r>
      <m:oMath>
        <m:r>
          <m:t>Δ</m:t>
        </m:r>
        <m:sSub>
          <m:e>
            <m:r>
              <m:t>s</m:t>
            </m:r>
          </m:e>
          <m:sub>
            <m:r>
              <m:t>j</m:t>
            </m:r>
          </m:sub>
        </m:sSub>
      </m:oMath>
      <w:r>
        <w:t xml:space="preserve"> </w:t>
      </w:r>
      <w:r>
        <w:t xml:space="preserve">and centre</w:t>
      </w:r>
      <w:r>
        <w:t xml:space="preserve"> </w:t>
      </w:r>
      <m:oMath>
        <m:sSub>
          <m:e>
            <m:r>
              <m:t>m</m:t>
            </m:r>
          </m:e>
          <m:sub>
            <m:r>
              <m:t>j</m:t>
            </m:r>
          </m:sub>
        </m:sSub>
      </m:oMath>
      <w:r>
        <w:t xml:space="preserve">. A mass</w:t>
      </w:r>
      <w:r>
        <w:t xml:space="preserve"> </w:t>
      </w:r>
      <m:oMath>
        <m:sSub>
          <m:e>
            <m:r>
              <m:t>w</m:t>
            </m:r>
          </m:e>
          <m:sub>
            <m:r>
              <m:t>j</m:t>
            </m:r>
          </m:sub>
        </m:sSub>
      </m:oMath>
      <w:r>
        <w:t xml:space="preserve"> </w:t>
      </w:r>
      <w:r>
        <w:t xml:space="preserve">is uniformly distributed inside it, giving the histogram in Equation (9).</w:t>
      </w:r>
    </w:p>
    <w:p>
      <w:pPr>
        <w:pStyle w:val="BodyText"/>
        <w:keepNext/>
        <w:spacing w:before="120" w:after="40"/>
        <w:jc w:val="center"/>
      </w:pPr>
      <m:oMathPara>
        <m:oMathParaPr>
          <m:jc m:val="center"/>
        </m:oMathParaPr>
        <m:oMath>
          <m:sSub>
            <m:e>
              <m:acc>
                <m:accPr>
                  <m:chr m:val="̂"/>
                </m:accPr>
                <m:e>
                  <m:r>
                    <m:t>f</m:t>
                  </m:r>
                </m:e>
              </m:acc>
            </m:e>
            <m:sub>
              <m:r>
                <m:t>Q</m:t>
              </m:r>
            </m:sub>
          </m:sSub>
          <m:d>
            <m:dPr>
              <m:begChr m:val="("/>
              <m:endChr m:val=")"/>
              <m:sepChr m:val=""/>
              <m:grow/>
            </m:dPr>
            <m:e>
              <m:r>
                <m:t>s</m:t>
              </m:r>
            </m:e>
          </m:d>
          <m:r>
            <m:rPr>
              <m:sty m:val="p"/>
            </m:rPr>
            <m:t>=</m:t>
          </m:r>
          <m:nary>
            <m:naryPr>
              <m:chr m:val="∑"/>
              <m:limLoc m:val="undOvr"/>
              <m:subHide m:val="off"/>
              <m:supHide m:val="off"/>
            </m:naryPr>
            <m:sub>
              <m:r>
                <m:t>j</m:t>
              </m:r>
              <m:r>
                <m:rPr>
                  <m:sty m:val="p"/>
                </m:rPr>
                <m:t>=</m:t>
              </m:r>
              <m:r>
                <m:t>1</m:t>
              </m:r>
            </m:sub>
            <m:sup>
              <m:r>
                <m:t>J</m:t>
              </m:r>
            </m:sup>
            <m:e>
              <m:f>
                <m:fPr>
                  <m:type m:val="bar"/>
                </m:fPr>
                <m:num>
                  <m:sSub>
                    <m:e>
                      <m:r>
                        <m:t>w</m:t>
                      </m:r>
                    </m:e>
                    <m:sub>
                      <m:r>
                        <m:t>j</m:t>
                      </m:r>
                    </m:sub>
                  </m:sSub>
                </m:num>
                <m:den>
                  <m:r>
                    <m:t>Δ</m:t>
                  </m:r>
                  <m:sSub>
                    <m:e>
                      <m:r>
                        <m:t>s</m:t>
                      </m:r>
                    </m:e>
                    <m:sub>
                      <m:r>
                        <m:t>j</m:t>
                      </m:r>
                    </m:sub>
                  </m:sSub>
                </m:den>
              </m:f>
            </m:e>
          </m:nary>
          <m:r>
            <m:t> </m:t>
          </m:r>
          <m:sSub>
            <m:e>
              <m:r>
                <m:rPr>
                  <m:sty m:val="b"/>
                </m:rPr>
                <m:t>1</m:t>
              </m:r>
            </m:e>
            <m:sub>
              <m:r>
                <m:rPr>
                  <m:sty m:val="p"/>
                </m:rPr>
                <m:t>[</m:t>
              </m:r>
              <m:sSub>
                <m:e>
                  <m:r>
                    <m:t>a</m:t>
                  </m:r>
                </m:e>
                <m:sub>
                  <m:r>
                    <m:t>j</m:t>
                  </m:r>
                </m:sub>
              </m:sSub>
              <m:r>
                <m:rPr>
                  <m:sty m:val="p"/>
                </m:rPr>
                <m:t>,</m:t>
              </m:r>
              <m:sSub>
                <m:e>
                  <m:r>
                    <m:t>b</m:t>
                  </m:r>
                </m:e>
                <m:sub>
                  <m:r>
                    <m:t>j</m:t>
                  </m:r>
                </m:sub>
              </m:sSub>
              <m:r>
                <m:rPr>
                  <m:sty m:val="p"/>
                </m:rPr>
                <m:t>)</m:t>
              </m:r>
            </m:sub>
          </m:sSub>
          <m:d>
            <m:dPr>
              <m:begChr m:val="("/>
              <m:endChr m:val=")"/>
              <m:sepChr m:val=""/>
              <m:grow/>
            </m:dPr>
            <m:e>
              <m:r>
                <m:t>s</m:t>
              </m:r>
            </m:e>
          </m:d>
          <m:r>
            <m:rPr>
              <m:sty m:val="p"/>
            </m:rPr>
            <m:t>.</m:t>
          </m:r>
        </m:oMath>
      </m:oMathPara>
    </w:p>
    <w:p>
      <w:bookmarkStart w:id="538" w:name="equation9"/>
      <w:pPr>
        <w:pStyle w:val="EquationCaption"/>
      </w:pPr>
      <w:r>
        <w:t xml:space="preserve">Equation 9. Piecewise-constant probability density.</w:t>
      </w:r>
      <w:bookmarkEnd w:id="538"/>
    </w:p>
    <w:p>
      <w:pPr>
        <w:pStyle w:val="BodyText"/>
      </w:pPr>
      <w:r>
        <w:t xml:space="preserve">The stepwise density is intentional and is zero outside its finite support. Following the mean–forward identity discussed by Bahra [1], the masses satisfy non-negativity, unit total mass and the supplied forward mean.</w:t>
      </w:r>
    </w:p>
    <w:p>
      <w:pPr>
        <w:pStyle w:val="BodyText"/>
        <w:keepNext/>
        <w:spacing w:before="120" w:after="40"/>
        <w:jc w:val="center"/>
      </w:pPr>
      <m:oMathPara>
        <m:oMathParaPr>
          <m:jc m:val="center"/>
        </m:oMathParaPr>
        <m:oMath>
          <m:sSub>
            <m:e>
              <m:r>
                <m:t>w</m:t>
              </m:r>
            </m:e>
            <m:sub>
              <m:r>
                <m:t>j</m:t>
              </m:r>
            </m:sub>
          </m:sSub>
          <m:r>
            <m:rPr>
              <m:sty m:val="p"/>
            </m:rPr>
            <m:t>≥</m:t>
          </m:r>
          <m:r>
            <m:t>0</m:t>
          </m:r>
          <m:r>
            <m:rPr>
              <m:sty m:val="p"/>
            </m:rPr>
            <m:t>,</m:t>
          </m:r>
          <m:r>
            <m:t>  </m:t>
          </m:r>
          <m:nary>
            <m:naryPr>
              <m:chr m:val="∑"/>
              <m:limLoc m:val="undOvr"/>
              <m:subHide m:val="off"/>
              <m:supHide m:val="off"/>
            </m:naryPr>
            <m:sub>
              <m:r>
                <m:t>j</m:t>
              </m:r>
              <m:r>
                <m:rPr>
                  <m:sty m:val="p"/>
                </m:rPr>
                <m:t>=</m:t>
              </m:r>
              <m:r>
                <m:t>1</m:t>
              </m:r>
            </m:sub>
            <m:sup>
              <m:r>
                <m:t>J</m:t>
              </m:r>
            </m:sup>
            <m:e>
              <m:sSub>
                <m:e>
                  <m:r>
                    <m:t>w</m:t>
                  </m:r>
                </m:e>
                <m:sub>
                  <m:r>
                    <m:t>j</m:t>
                  </m:r>
                </m:sub>
              </m:sSub>
            </m:e>
          </m:nary>
          <m:r>
            <m:rPr>
              <m:sty m:val="p"/>
            </m:rPr>
            <m:t>=</m:t>
          </m:r>
          <m:r>
            <m:t>1</m:t>
          </m:r>
          <m:r>
            <m:rPr>
              <m:sty m:val="p"/>
            </m:rPr>
            <m:t>,</m:t>
          </m:r>
          <m:r>
            <m:t>  </m:t>
          </m:r>
          <m:nary>
            <m:naryPr>
              <m:chr m:val="∑"/>
              <m:limLoc m:val="undOvr"/>
              <m:subHide m:val="off"/>
              <m:supHide m:val="off"/>
            </m:naryPr>
            <m:sub>
              <m:r>
                <m:t>j</m:t>
              </m:r>
              <m:r>
                <m:rPr>
                  <m:sty m:val="p"/>
                </m:rPr>
                <m:t>=</m:t>
              </m:r>
              <m:r>
                <m:t>1</m:t>
              </m:r>
            </m:sub>
            <m:sup>
              <m:r>
                <m:t>J</m:t>
              </m:r>
            </m:sup>
            <m:e>
              <m:sSub>
                <m:e>
                  <m:r>
                    <m:t>m</m:t>
                  </m:r>
                </m:e>
                <m:sub>
                  <m:r>
                    <m:t>j</m:t>
                  </m:r>
                </m:sub>
              </m:sSub>
            </m:e>
          </m:nary>
          <m:sSub>
            <m:e>
              <m:r>
                <m:t>w</m:t>
              </m:r>
            </m:e>
            <m:sub>
              <m:r>
                <m:t>j</m:t>
              </m:r>
            </m:sub>
          </m:sSub>
          <m:r>
            <m:rPr>
              <m:sty m:val="p"/>
            </m:rPr>
            <m:t>=</m:t>
          </m:r>
          <m:r>
            <m:t>F</m:t>
          </m:r>
          <m:d>
            <m:dPr>
              <m:begChr m:val="("/>
              <m:endChr m:val=")"/>
              <m:sepChr m:val=""/>
              <m:grow/>
            </m:dPr>
            <m:e>
              <m:r>
                <m:t>T</m:t>
              </m:r>
            </m:e>
          </m:d>
          <m:r>
            <m:rPr>
              <m:sty m:val="p"/>
            </m:rPr>
            <m:t>.</m:t>
          </m:r>
        </m:oMath>
      </m:oMathPara>
    </w:p>
    <w:p>
      <w:bookmarkStart w:id="539" w:name="equation10"/>
      <w:pPr>
        <w:pStyle w:val="EquationCaption"/>
      </w:pPr>
      <w:r>
        <w:t xml:space="preserve">Equation 10. Non-negativity, total-mass and forward constraints.</w:t>
      </w:r>
      <w:bookmarkEnd w:id="539"/>
    </w:p>
    <w:p>
      <w:pPr>
        <w:pStyle w:val="BodyText"/>
      </w:pPr>
      <w:r>
        <w:t xml:space="preserve">These are imposed conditions. Recovering a total mass of one or the supplied forward does not independently establish recovery accuracy. Integrating the positive-part payoff over each interval gives the exact bin-pricing map in Equation (11), a project discretisation of Equation (1).</w:t>
      </w:r>
    </w:p>
    <w:p>
      <w:pPr>
        <w:pStyle w:val="BodyText"/>
        <w:keepNext/>
        <w:spacing w:before="120" w:after="40"/>
        <w:jc w:val="center"/>
      </w:pPr>
      <m:oMathPara>
        <m:oMathParaPr>
          <m:jc m:val="center"/>
        </m:oMathParaPr>
        <m:oMath>
          <m:m>
            <m:mPr>
              <m:baseJc m:val="center"/>
              <m:plcHide m:val="on"/>
              <m:mcs>
                <m:mc>
                  <m:mcPr>
                    <m:mcJc m:val="center"/>
                    <m:count m:val="1"/>
                  </m:mcPr>
                </m:mc>
              </m:mcs>
            </m:mPr>
            <m:mr>
              <m:e>
                <m:acc>
                  <m:accPr>
                    <m:chr m:val="̂"/>
                  </m:accPr>
                  <m:e>
                    <m:r>
                      <m:t>C</m:t>
                    </m:r>
                  </m:e>
                </m:acc>
                <m:d>
                  <m:dPr>
                    <m:begChr m:val="("/>
                    <m:endChr m:val=")"/>
                    <m:sepChr m:val=""/>
                    <m:grow/>
                  </m:dPr>
                  <m:e>
                    <m:sSub>
                      <m:e>
                        <m:r>
                          <m:t>K</m:t>
                        </m:r>
                      </m:e>
                      <m:sub>
                        <m:r>
                          <m:t>i</m:t>
                        </m:r>
                      </m:sub>
                    </m:sSub>
                  </m:e>
                </m:d>
                <m:r>
                  <m:rPr>
                    <m:sty m:val="p"/>
                  </m:rPr>
                  <m:t>=</m:t>
                </m:r>
                <m:nary>
                  <m:naryPr>
                    <m:chr m:val="∑"/>
                    <m:limLoc m:val="undOvr"/>
                    <m:subHide m:val="off"/>
                    <m:supHide m:val="on"/>
                  </m:naryPr>
                  <m:sub>
                    <m:r>
                      <m:t>j</m:t>
                    </m:r>
                  </m:sub>
                  <m:sup>
                    <m:r>
                      <m:t>​</m:t>
                    </m:r>
                  </m:sup>
                  <m:e>
                    <m:sSub>
                      <m:e>
                        <m:r>
                          <m:t>A</m:t>
                        </m:r>
                      </m:e>
                      <m:sub>
                        <m:r>
                          <m:t>i</m:t>
                        </m:r>
                        <m:r>
                          <m:t>j</m:t>
                        </m:r>
                      </m:sub>
                    </m:sSub>
                  </m:e>
                </m:nary>
                <m:sSub>
                  <m:e>
                    <m:r>
                      <m:t>w</m:t>
                    </m:r>
                  </m:e>
                  <m:sub>
                    <m:r>
                      <m:t>j</m:t>
                    </m:r>
                  </m:sub>
                </m:sSub>
                <m:r>
                  <m:rPr>
                    <m:sty m:val="p"/>
                  </m:rPr>
                  <m:t>,</m:t>
                </m:r>
              </m:e>
            </m:mr>
            <m:mr>
              <m:e>
                <m:sSub>
                  <m:e>
                    <m:r>
                      <m:t>A</m:t>
                    </m:r>
                  </m:e>
                  <m:sub>
                    <m:r>
                      <m:t>i</m:t>
                    </m:r>
                    <m:r>
                      <m:t>j</m:t>
                    </m:r>
                  </m:sub>
                </m:sSub>
                <m:r>
                  <m:rPr>
                    <m:sty m:val="p"/>
                  </m:rPr>
                  <m:t>=</m:t>
                </m:r>
                <m:f>
                  <m:fPr>
                    <m:type m:val="bar"/>
                  </m:fPr>
                  <m:num>
                    <m:r>
                      <m:t>D</m:t>
                    </m:r>
                    <m:d>
                      <m:dPr>
                        <m:begChr m:val="("/>
                        <m:endChr m:val=")"/>
                        <m:sepChr m:val=""/>
                        <m:grow/>
                      </m:dPr>
                      <m:e>
                        <m:r>
                          <m:t>T</m:t>
                        </m:r>
                      </m:e>
                    </m:d>
                  </m:num>
                  <m:den>
                    <m:r>
                      <m:t>2</m:t>
                    </m:r>
                    <m:r>
                      <m:t>Δ</m:t>
                    </m:r>
                    <m:sSub>
                      <m:e>
                        <m:r>
                          <m:t>s</m:t>
                        </m:r>
                      </m:e>
                      <m:sub>
                        <m:r>
                          <m:t>j</m:t>
                        </m:r>
                      </m:sub>
                    </m:sSub>
                  </m:den>
                </m:f>
                <m:d>
                  <m:dPr>
                    <m:begChr m:val="["/>
                    <m:endChr m:val="]"/>
                    <m:sepChr m:val=""/>
                    <m:grow/>
                  </m:dPr>
                  <m:e>
                    <m:sSubSup>
                      <m:e>
                        <m:d>
                          <m:dPr>
                            <m:begChr m:val="("/>
                            <m:endChr m:val=")"/>
                            <m:sepChr m:val=""/>
                            <m:grow/>
                          </m:dPr>
                          <m:e>
                            <m:sSub>
                              <m:e>
                                <m:r>
                                  <m:t>b</m:t>
                                </m:r>
                              </m:e>
                              <m:sub>
                                <m:r>
                                  <m:t>j</m:t>
                                </m:r>
                              </m:sub>
                            </m:sSub>
                            <m:r>
                              <m:rPr>
                                <m:sty m:val="p"/>
                              </m:rPr>
                              <m:t>−</m:t>
                            </m:r>
                            <m:sSub>
                              <m:e>
                                <m:r>
                                  <m:t>K</m:t>
                                </m:r>
                              </m:e>
                              <m:sub>
                                <m:r>
                                  <m:t>i</m:t>
                                </m:r>
                              </m:sub>
                            </m:sSub>
                          </m:e>
                        </m:d>
                      </m:e>
                      <m:sub>
                        <m:r>
                          <m:rPr>
                            <m:sty m:val="p"/>
                          </m:rPr>
                          <m:t>+</m:t>
                        </m:r>
                      </m:sub>
                      <m:sup>
                        <m:r>
                          <m:t>2</m:t>
                        </m:r>
                      </m:sup>
                    </m:sSubSup>
                    <m:r>
                      <m:rPr>
                        <m:sty m:val="p"/>
                      </m:rPr>
                      <m:t>−</m:t>
                    </m:r>
                    <m:sSubSup>
                      <m:e>
                        <m:d>
                          <m:dPr>
                            <m:begChr m:val="("/>
                            <m:endChr m:val=")"/>
                            <m:sepChr m:val=""/>
                            <m:grow/>
                          </m:dPr>
                          <m:e>
                            <m:sSub>
                              <m:e>
                                <m:r>
                                  <m:t>a</m:t>
                                </m:r>
                              </m:e>
                              <m:sub>
                                <m:r>
                                  <m:t>j</m:t>
                                </m:r>
                              </m:sub>
                            </m:sSub>
                            <m:r>
                              <m:rPr>
                                <m:sty m:val="p"/>
                              </m:rPr>
                              <m:t>−</m:t>
                            </m:r>
                            <m:sSub>
                              <m:e>
                                <m:r>
                                  <m:t>K</m:t>
                                </m:r>
                              </m:e>
                              <m:sub>
                                <m:r>
                                  <m:t>i</m:t>
                                </m:r>
                              </m:sub>
                            </m:sSub>
                          </m:e>
                        </m:d>
                      </m:e>
                      <m:sub>
                        <m:r>
                          <m:rPr>
                            <m:sty m:val="p"/>
                          </m:rPr>
                          <m:t>+</m:t>
                        </m:r>
                      </m:sub>
                      <m:sup>
                        <m:r>
                          <m:t>2</m:t>
                        </m:r>
                      </m:sup>
                    </m:sSubSup>
                  </m:e>
                </m:d>
                <m:r>
                  <m:rPr>
                    <m:sty m:val="p"/>
                  </m:rPr>
                  <m:t>.</m:t>
                </m:r>
              </m:e>
            </m:mr>
          </m:m>
        </m:oMath>
      </m:oMathPara>
    </w:p>
    <w:p>
      <w:bookmarkStart w:id="540" w:name="equation11"/>
      <w:pPr>
        <w:pStyle w:val="EquationCaption"/>
      </w:pPr>
      <w:r>
        <w:t xml:space="preserve">Equation 11. Exact call valuation under interval probabilities.</w:t>
      </w:r>
      <w:bookmarkEnd w:id="540"/>
    </w:p>
    <w:p>
      <w:pPr>
        <w:pStyle w:val="BodyText"/>
      </w:pPr>
      <w:r>
        <w:t xml:space="preserve">Here</w:t>
      </w:r>
      <w:r>
        <w:t xml:space="preserve"> </w:t>
      </w:r>
      <m:oMath>
        <m:sSub>
          <m:e>
            <m:d>
              <m:dPr>
                <m:begChr m:val="("/>
                <m:endChr m:val=")"/>
                <m:sepChr m:val=""/>
                <m:grow/>
              </m:dPr>
              <m:e>
                <m:r>
                  <m:t>x</m:t>
                </m:r>
              </m:e>
            </m:d>
          </m:e>
          <m:sub>
            <m:r>
              <m:rPr>
                <m:sty m:val="p"/>
              </m:rPr>
              <m:t>+</m:t>
            </m:r>
          </m:sub>
        </m:sSub>
        <m:r>
          <m:rPr>
            <m:sty m:val="p"/>
          </m:rPr>
          <m:t>=</m:t>
        </m:r>
        <m:r>
          <m:rPr>
            <m:sty m:val="p"/>
          </m:rPr>
          <m:t>max</m:t>
        </m:r>
        <m:d>
          <m:dPr>
            <m:begChr m:val="("/>
            <m:endChr m:val=")"/>
            <m:sepChr m:val=""/>
            <m:grow/>
          </m:dPr>
          <m:e>
            <m:r>
              <m:t>x</m:t>
            </m:r>
            <m:r>
              <m:rPr>
                <m:sty m:val="p"/>
              </m:rPr>
              <m:t>,</m:t>
            </m:r>
            <m:r>
              <m:t>0</m:t>
            </m:r>
          </m:e>
        </m:d>
      </m:oMath>
      <w:r>
        <w:t xml:space="preserve"> </w:t>
      </w:r>
      <w:r>
        <w:t xml:space="preserve">and</w:t>
      </w:r>
      <w:r>
        <w:t xml:space="preserve"> </w:t>
      </w:r>
      <m:oMath>
        <m:sSub>
          <m:e>
            <m:r>
              <m:t>A</m:t>
            </m:r>
          </m:e>
          <m:sub>
            <m:r>
              <m:t>i</m:t>
            </m:r>
            <m:r>
              <m:t>j</m:t>
            </m:r>
          </m:sub>
        </m:sSub>
      </m:oMath>
      <w:r>
        <w:t xml:space="preserve"> </w:t>
      </w:r>
      <w:r>
        <w:t xml:space="preserve">is a discounted payoff coefficient, not an ask quote. The map is linear in the unknown probabilities. It produces a decreasing, convex, continuously differentiable call curve that is quadratic within each bin; its strike slope lies between</w:t>
      </w:r>
      <w:r>
        <w:t xml:space="preserve"> </w:t>
      </w:r>
      <m:oMath>
        <m:r>
          <m:rPr>
            <m:sty m:val="p"/>
          </m:rPr>
          <m:t>−</m:t>
        </m:r>
        <m:r>
          <m:t>D</m:t>
        </m:r>
      </m:oMath>
      <w:r>
        <w:t xml:space="preserve"> </w:t>
      </w:r>
      <w:r>
        <w:t xml:space="preserve">and zero. Its second derivative recovers the histogram away from bin boundaries.</w:t>
      </w:r>
    </w:p>
    <w:bookmarkEnd w:id="55"/>
    <w:bookmarkStart w:id="56" w:name="X6c639dd19584b51d6247a155d8e73d0aaa77073"/>
    <w:p>
      <w:bookmarkStart w:id="541" w:name="h13"/>
      <w:pPr>
        <w:pStyle w:val="Heading2"/>
        <w:numPr>
          <w:ilvl w:val="1"/>
          <w:numId w:val="70"/>
        </w:numPr>
      </w:pPr>
      <w:bookmarkEnd w:id="541"/>
      <w:r>
        <w:t>Fitting noisy calls with a smoothness penalty</w:t>
      </w:r>
    </w:p>
    <w:p>
      <w:pPr>
        <w:pStyle w:val="FirstParagraph"/>
      </w:pPr>
      <w:r>
        <w:t xml:space="preserve">Boyd and Vandenberghe explain in</w:t>
      </w:r>
      <w:r>
        <w:t xml:space="preserve"> </w:t>
      </w:r>
      <w:r>
        <w:rPr>
          <w:iCs/>
          <w:i/>
        </w:rPr>
        <w:t xml:space="preserve">Convex Optimization</w:t>
      </w:r>
      <w:r>
        <w:t xml:space="preserve"> </w:t>
      </w:r>
      <w:r>
        <w:t xml:space="preserve">that regularisation balances agreement with observations against a chosen complexity criterion [11, §6.3]. Equation (12) applies that principle to second differences of the forward-normalised density heights</w:t>
      </w:r>
      <w:r>
        <w:t xml:space="preserve"> </w:t>
      </w:r>
      <m:oMath>
        <m:sSub>
          <m:e>
            <m:r>
              <m:t>g</m:t>
            </m:r>
          </m:e>
          <m:sub>
            <m:r>
              <m:t>j</m:t>
            </m:r>
          </m:sub>
        </m:sSub>
        <m:r>
          <m:rPr>
            <m:sty m:val="p"/>
          </m:rPr>
          <m:t>=</m:t>
        </m:r>
        <m:sSub>
          <m:e>
            <m:r>
              <m:t>w</m:t>
            </m:r>
          </m:e>
          <m:sub>
            <m:r>
              <m:t>j</m:t>
            </m:r>
          </m:sub>
        </m:sSub>
        <m:r>
          <m:rPr>
            <m:sty m:val="p"/>
          </m:rPr>
          <m:t>/</m:t>
        </m:r>
        <m:d>
          <m:dPr>
            <m:begChr m:val="("/>
            <m:endChr m:val=")"/>
            <m:sepChr m:val=""/>
            <m:grow/>
          </m:dPr>
          <m:e>
            <m:r>
              <m:t>Δ</m:t>
            </m:r>
            <m:sSub>
              <m:e>
                <m:r>
                  <m:t>s</m:t>
                </m:r>
              </m:e>
              <m:sub>
                <m:r>
                  <m:t>j</m:t>
                </m:r>
              </m:sub>
            </m:sSub>
            <m:r>
              <m:rPr>
                <m:sty m:val="p"/>
              </m:rPr>
              <m:t>/</m:t>
            </m:r>
            <m:r>
              <m:t>F</m:t>
            </m:r>
          </m:e>
        </m:d>
      </m:oMath>
      <w:r>
        <w:t xml:space="preserve">.</w:t>
      </w:r>
    </w:p>
    <w:p>
      <w:pPr>
        <w:pStyle w:val="BodyText"/>
        <w:keepNext/>
        <w:spacing w:before="120" w:after="40"/>
        <w:jc w:val="center"/>
      </w:pPr>
      <m:oMathPara>
        <m:oMathParaPr>
          <m:jc m:val="center"/>
        </m:oMathParaPr>
        <m:oMath>
          <m:m>
            <m:mPr>
              <m:baseJc m:val="center"/>
              <m:plcHide m:val="on"/>
              <m:mcs>
                <m:mc>
                  <m:mcPr>
                    <m:mcJc m:val="center"/>
                    <m:count m:val="1"/>
                  </m:mcPr>
                </m:mc>
              </m:mcs>
            </m:mPr>
            <m:mr>
              <m:e>
                <m:limLow>
                  <m:e>
                    <m:r>
                      <m:rPr>
                        <m:sty m:val="p"/>
                      </m:rPr>
                      <m:t>min</m:t>
                    </m:r>
                  </m:e>
                  <m:lim>
                    <m:r>
                      <m:rPr>
                        <m:sty m:val="b"/>
                      </m:rPr>
                      <m:t>w</m:t>
                    </m:r>
                  </m:lim>
                </m:limLow>
                <m:r>
                  <m:t> </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endChr m:val=")"/>
                            <m:sepChr m:val=""/>
                            <m:grow/>
                          </m:dPr>
                          <m:e>
                            <m:f>
                              <m:fPr>
                                <m:type m:val="bar"/>
                              </m:fPr>
                              <m:num>
                                <m:nary>
                                  <m:naryPr>
                                    <m:chr m:val="∑"/>
                                    <m:limLoc m:val="undOvr"/>
                                    <m:subHide m:val="off"/>
                                    <m:supHide m:val="on"/>
                                  </m:naryPr>
                                  <m:sub>
                                    <m:r>
                                      <m:t>j</m:t>
                                    </m:r>
                                  </m:sub>
                                  <m:sup>
                                    <m:r>
                                      <m:t>​</m:t>
                                    </m:r>
                                  </m:sup>
                                  <m:e>
                                    <m:sSub>
                                      <m:e>
                                        <m:r>
                                          <m:t>A</m:t>
                                        </m:r>
                                      </m:e>
                                      <m:sub>
                                        <m:r>
                                          <m:t>i</m:t>
                                        </m:r>
                                        <m:r>
                                          <m:t>j</m:t>
                                        </m:r>
                                      </m:sub>
                                    </m:sSub>
                                  </m:e>
                                </m:nary>
                                <m:sSub>
                                  <m:e>
                                    <m:r>
                                      <m:t>w</m:t>
                                    </m:r>
                                  </m:e>
                                  <m:sub>
                                    <m:r>
                                      <m:t>j</m:t>
                                    </m:r>
                                  </m:sub>
                                </m:sSub>
                                <m:r>
                                  <m:rPr>
                                    <m:sty m:val="p"/>
                                  </m:rPr>
                                  <m:t>−</m:t>
                                </m:r>
                                <m:sSub>
                                  <m:e>
                                    <m:r>
                                      <m:t>y</m:t>
                                    </m:r>
                                  </m:e>
                                  <m:sub>
                                    <m:r>
                                      <m:t>i</m:t>
                                    </m:r>
                                  </m:sub>
                                </m:sSub>
                              </m:num>
                              <m:den>
                                <m:r>
                                  <m:t>F</m:t>
                                </m:r>
                              </m:den>
                            </m:f>
                          </m:e>
                        </m:d>
                      </m:e>
                      <m:sup>
                        <m:r>
                          <m:t>2</m:t>
                        </m:r>
                      </m:sup>
                    </m:sSup>
                  </m:e>
                </m:nary>
              </m:e>
            </m:mr>
            <m:mr>
              <m:e>
                <m:r>
                  <m:rPr>
                    <m:sty m:val="p"/>
                  </m:rPr>
                  <m:t>+</m:t>
                </m:r>
                <m:f>
                  <m:fPr>
                    <m:type m:val="bar"/>
                  </m:fPr>
                  <m:num>
                    <m:r>
                      <m:t>λ</m:t>
                    </m:r>
                  </m:num>
                  <m:den>
                    <m:r>
                      <m:t>J</m:t>
                    </m:r>
                    <m:r>
                      <m:rPr>
                        <m:sty m:val="p"/>
                      </m:rPr>
                      <m:t>−</m:t>
                    </m:r>
                    <m:r>
                      <m:t>2</m:t>
                    </m:r>
                  </m:den>
                </m:f>
                <m:nary>
                  <m:naryPr>
                    <m:chr m:val="∑"/>
                    <m:limLoc m:val="undOvr"/>
                    <m:subHide m:val="off"/>
                    <m:supHide m:val="off"/>
                  </m:naryPr>
                  <m:sub>
                    <m:r>
                      <m:t>j</m:t>
                    </m:r>
                    <m:r>
                      <m:rPr>
                        <m:sty m:val="p"/>
                      </m:rPr>
                      <m:t>=</m:t>
                    </m:r>
                    <m:r>
                      <m:t>1</m:t>
                    </m:r>
                  </m:sub>
                  <m:sup>
                    <m:r>
                      <m:t>J</m:t>
                    </m:r>
                    <m:r>
                      <m:rPr>
                        <m:sty m:val="p"/>
                      </m:rPr>
                      <m:t>−</m:t>
                    </m:r>
                    <m:r>
                      <m:t>2</m:t>
                    </m:r>
                  </m:sup>
                  <m:e>
                    <m:sSup>
                      <m:e>
                        <m:d>
                          <m:dPr>
                            <m:begChr m:val="("/>
                            <m:endChr m:val=")"/>
                            <m:sepChr m:val=""/>
                            <m:grow/>
                          </m:dPr>
                          <m:e>
                            <m:sSub>
                              <m:e>
                                <m:r>
                                  <m:t>g</m:t>
                                </m:r>
                              </m:e>
                              <m:sub>
                                <m:r>
                                  <m:t>j</m:t>
                                </m:r>
                                <m:r>
                                  <m:rPr>
                                    <m:sty m:val="p"/>
                                  </m:rPr>
                                  <m:t>+</m:t>
                                </m:r>
                                <m:r>
                                  <m:t>2</m:t>
                                </m:r>
                              </m:sub>
                            </m:sSub>
                            <m:r>
                              <m:rPr>
                                <m:sty m:val="p"/>
                              </m:rPr>
                              <m:t>−</m:t>
                            </m:r>
                            <m:r>
                              <m:t>2</m:t>
                            </m:r>
                            <m:sSub>
                              <m:e>
                                <m:r>
                                  <m:t>g</m:t>
                                </m:r>
                              </m:e>
                              <m:sub>
                                <m:r>
                                  <m:t>j</m:t>
                                </m:r>
                                <m:r>
                                  <m:rPr>
                                    <m:sty m:val="p"/>
                                  </m:rPr>
                                  <m:t>+</m:t>
                                </m:r>
                                <m:r>
                                  <m:t>1</m:t>
                                </m:r>
                              </m:sub>
                            </m:sSub>
                            <m:r>
                              <m:rPr>
                                <m:sty m:val="p"/>
                              </m:rPr>
                              <m:t>+</m:t>
                            </m:r>
                            <m:sSub>
                              <m:e>
                                <m:r>
                                  <m:t>g</m:t>
                                </m:r>
                              </m:e>
                              <m:sub>
                                <m:r>
                                  <m:t>j</m:t>
                                </m:r>
                              </m:sub>
                            </m:sSub>
                          </m:e>
                        </m:d>
                      </m:e>
                      <m:sup>
                        <m:r>
                          <m:t>2</m:t>
                        </m:r>
                      </m:sup>
                    </m:sSup>
                  </m:e>
                </m:nary>
                <m:r>
                  <m:rPr>
                    <m:sty m:val="p"/>
                  </m:rPr>
                  <m:t>,</m:t>
                </m:r>
              </m:e>
            </m:mr>
            <m:mr>
              <m:e>
                <m:r>
                  <m:rPr>
                    <m:nor/>
                    <m:sty m:val="p"/>
                  </m:rPr>
                  <m:t>subject to Equation (10).</m:t>
                </m:r>
              </m:e>
            </m:mr>
          </m:m>
        </m:oMath>
      </m:oMathPara>
    </w:p>
    <w:p>
      <w:bookmarkStart w:id="542" w:name="equation12"/>
      <w:pPr>
        <w:pStyle w:val="EquationCaption"/>
      </w:pPr>
      <w:r>
        <w:t xml:space="preserve">Equation 12. Regularised constrained fitting objective.</w:t>
      </w:r>
      <w:bookmarkEnd w:id="542"/>
    </w:p>
    <w:p>
      <w:pPr>
        <w:pStyle w:val="BodyText"/>
      </w:pPr>
      <w:r>
        <w:t xml:space="preserve">The observations</w:t>
      </w:r>
      <w:r>
        <w:t xml:space="preserve"> </w:t>
      </w:r>
      <m:oMath>
        <m:sSub>
          <m:e>
            <m:r>
              <m:t>y</m:t>
            </m:r>
          </m:e>
          <m:sub>
            <m:r>
              <m:t>i</m:t>
            </m:r>
          </m:sub>
        </m:sSub>
      </m:oMath>
      <w:r>
        <w:t xml:space="preserve"> </w:t>
      </w:r>
      <w:r>
        <w:t xml:space="preserve">and price residuals are in index points before division by</w:t>
      </w:r>
      <w:r>
        <w:t xml:space="preserve"> </w:t>
      </w:r>
      <m:oMath>
        <m:r>
          <m:t>F</m:t>
        </m:r>
      </m:oMath>
      <w:r>
        <w:t xml:space="preserve">. The parameter</w:t>
      </w:r>
      <w:r>
        <w:t xml:space="preserve"> </w:t>
      </w:r>
      <m:oMath>
        <m:r>
          <m:t>λ</m:t>
        </m:r>
      </m:oMath>
      <w:r>
        <w:t xml:space="preserve"> </w:t>
      </w:r>
      <w:r>
        <w:t xml:space="preserve">controls the penalty. The precise normalisation is a project choice; in particular, equal numerical coefficients do not produce equal effective smoothing when the bin width changes. This issue is examined explicitly in Chapter 5.</w:t>
      </w:r>
    </w:p>
    <w:p>
      <w:pPr>
        <w:pStyle w:val="BodyText"/>
      </w:pPr>
      <w:r>
        <w:t xml:space="preserve">As Boyd and Vandenberghe describe [11, §4.4], a convex quadratic objective with affine restrictions has a quadratic-programme formulation. The initial implementation uses sequential least-squares programming with an analytical gradient and independent residual checks. No negative masses are clipped and no fitted density is renormalised.</w:t>
      </w:r>
    </w:p>
    <w:bookmarkEnd w:id="56"/>
    <w:bookmarkStart w:id="66" w:name="single-maturity-validation"/>
    <w:p>
      <w:bookmarkStart w:id="543" w:name="h14"/>
      <w:pPr>
        <w:pStyle w:val="Heading2"/>
        <w:numPr>
          <w:ilvl w:val="1"/>
          <w:numId w:val="70"/>
        </w:numPr>
      </w:pPr>
      <w:bookmarkEnd w:id="543"/>
      <w:r>
        <w:t>Single-maturity validation</w:t>
      </w:r>
    </w:p>
    <w:p>
      <w:pPr>
        <w:pStyle w:val="FirstParagraph"/>
      </w:pPr>
      <w:r>
        <w:t xml:space="preserve">The experiment uses 81 calls between</w:t>
      </w:r>
      <w:r>
        <w:t xml:space="preserve"> </w:t>
      </w:r>
      <m:oMath>
        <m:r>
          <m:t>0.65</m:t>
        </m:r>
        <m:r>
          <m:t>F</m:t>
        </m:r>
      </m:oMath>
      <w:r>
        <w:t xml:space="preserve"> </w:t>
      </w:r>
      <w:r>
        <w:t xml:space="preserve">and</w:t>
      </w:r>
      <w:r>
        <w:t xml:space="preserve"> </w:t>
      </w:r>
      <m:oMath>
        <m:r>
          <m:t>1.45</m:t>
        </m:r>
        <m:r>
          <m:t>F</m:t>
        </m:r>
      </m:oMath>
      <w:r>
        <w:t xml:space="preserve">, independent Gaussian errors with standard deviation 0.5 points and seed 2026, and 120 bins on</w:t>
      </w:r>
      <w:r>
        <w:t xml:space="preserve"> </w:t>
      </w:r>
      <m:oMath>
        <m:d>
          <m:dPr>
            <m:begChr m:val="["/>
            <m:endChr m:val="]"/>
            <m:sepChr m:val=""/>
            <m:grow/>
          </m:dPr>
          <m:e>
            <m:r>
              <m:t>0.3</m:t>
            </m:r>
            <m:r>
              <m:t>F</m:t>
            </m:r>
            <m:r>
              <m:rPr>
                <m:sty m:val="p"/>
              </m:rPr>
              <m:t>,</m:t>
            </m:r>
            <m:r>
              <m:t>2.2</m:t>
            </m:r>
            <m:r>
              <m:t>F</m:t>
            </m:r>
          </m:e>
        </m:d>
      </m:oMath>
      <w:r>
        <w:t xml:space="preserve">. This is a separate noise experiment from Figure 4. The baseline is</w:t>
      </w:r>
      <w:r>
        <w:t xml:space="preserve"> </w:t>
      </w:r>
      <m:oMath>
        <m:r>
          <m:t>λ</m:t>
        </m:r>
        <m:r>
          <m:rPr>
            <m:sty m:val="p"/>
          </m:rPr>
          <m:t>=</m:t>
        </m:r>
        <m:sSup>
          <m:e>
            <m:r>
              <m:t>10</m:t>
            </m:r>
          </m:e>
          <m:sup>
            <m:r>
              <m:rPr>
                <m:sty m:val="p"/>
              </m:rPr>
              <m:t>−</m:t>
            </m:r>
            <m:r>
              <m:t>6</m:t>
            </m:r>
          </m:sup>
        </m:sSup>
      </m:oMath>
      <w:r>
        <w:t xml:space="preserve">, with</w:t>
      </w:r>
      <w:r>
        <w:t xml:space="preserve"> </w:t>
      </w:r>
      <m:oMath>
        <m:sSup>
          <m:e>
            <m:r>
              <m:t>10</m:t>
            </m:r>
          </m:e>
          <m:sup>
            <m:r>
              <m:rPr>
                <m:sty m:val="p"/>
              </m:rPr>
              <m:t>−</m:t>
            </m:r>
            <m:r>
              <m:t>8</m:t>
            </m:r>
          </m:sup>
        </m:sSup>
      </m:oMath>
      <w:r>
        <w:t xml:space="preserve"> </w:t>
      </w:r>
      <w:r>
        <w:t xml:space="preserve">and</w:t>
      </w:r>
      <w:r>
        <w:t xml:space="preserve"> </w:t>
      </w:r>
      <m:oMath>
        <m:sSup>
          <m:e>
            <m:r>
              <m:t>10</m:t>
            </m:r>
          </m:e>
          <m:sup>
            <m:r>
              <m:rPr>
                <m:sty m:val="p"/>
              </m:rPr>
              <m:t>−</m:t>
            </m:r>
            <m:r>
              <m:t>4</m:t>
            </m:r>
          </m:sup>
        </m:sSup>
      </m:oMath>
      <w:r>
        <w:t xml:space="preserve"> </w:t>
      </w:r>
      <w:r>
        <w:t xml:space="preserve">as sensitivity cases. Known prices at 80 interleaved strikes are excluded from fitting and used only for subsequent evaluation.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586"/>
        <w:gridCol w:w="2298"/>
        <w:gridCol w:w="4692"/>
      </w:tblGrid>
      <w:tr>
        <w:trPr>
          <w:tblHeader w:val="true"/>
          <w:cantSplit/>
          <w:tblHeader/>
        </w:trPr>
        <w:tc>
          <w:tcPr>
            <w:tcW w:type="dxa" w:w="2586"/>
            <w:vAlign w:val="center"/>
            <w:shd w:fill="E9EEF3"/>
          </w:tcPr>
          <w:p>
            <w:pPr>
              <w:pStyle w:val="Compact"/>
              <w:keepNext/>
              <w:keepLines/>
              <w:spacing w:after="40" w:before="40" w:line="252" w:lineRule="auto"/>
              <w:jc w:val="left"/>
            </w:pPr>
            <w:r>
              <w:rPr>
                <w:b/>
                <w:sz w:val="21"/>
              </w:rPr>
              <w:t xml:space="preserve">Check</w:t>
            </w:r>
          </w:p>
        </w:tc>
        <w:tc>
          <w:tcPr>
            <w:tcW w:type="dxa" w:w="2298"/>
            <w:vAlign w:val="center"/>
            <w:shd w:fill="E9EEF3"/>
          </w:tcPr>
          <w:p>
            <w:pPr>
              <w:pStyle w:val="Compact"/>
              <w:keepNext/>
              <w:keepLines/>
              <w:spacing w:after="40" w:before="40" w:line="252" w:lineRule="auto"/>
              <w:jc w:val="right"/>
            </w:pPr>
            <w:r>
              <w:rPr>
                <w:b/>
                <w:sz w:val="21"/>
              </w:rPr>
              <w:t xml:space="preserve">Result</w:t>
            </w:r>
          </w:p>
        </w:tc>
        <w:tc>
          <w:tcPr>
            <w:tcW w:type="dxa" w:w="4692"/>
            <w:vAlign w:val="center"/>
            <w:shd w:fill="E9EEF3"/>
          </w:tcPr>
          <w:p>
            <w:pPr>
              <w:pStyle w:val="Compact"/>
              <w:keepNext/>
              <w:keepLines/>
              <w:spacing w:after="40" w:before="40" w:line="252" w:lineRule="auto"/>
              <w:jc w:val="left"/>
            </w:pPr>
            <w:r>
              <w:rPr>
                <w:b/>
                <w:sz w:val="21"/>
              </w:rPr>
              <w:t xml:space="preserve">Interpretation</w:t>
            </w:r>
          </w:p>
        </w:tc>
      </w:tr>
      <w:tr>
        <w:trPr>
          <w:cantSplit/>
        </w:trPr>
        <w:tc>
          <w:tcPr>
            <w:tcW w:type="dxa" w:w="2586"/>
            <w:vAlign w:val="center"/>
          </w:tcPr>
          <w:p>
            <w:pPr>
              <w:pStyle w:val="Compact"/>
              <w:keepNext/>
              <w:keepLines/>
              <w:spacing w:after="40" w:before="40" w:line="252" w:lineRule="auto"/>
              <w:jc w:val="left"/>
            </w:pPr>
            <w:r>
              <w:rPr>
                <w:b w:val="0"/>
                <w:sz w:val="21"/>
              </w:rPr>
              <w:t xml:space="preserve">Total fitted probability mass</w:t>
            </w:r>
          </w:p>
        </w:tc>
        <w:tc>
          <w:tcPr>
            <w:tcW w:type="dxa" w:w="2298"/>
            <w:vAlign w:val="center"/>
          </w:tcPr>
          <w:p>
            <w:pPr>
              <w:pStyle w:val="Compact"/>
              <w:keepNext/>
              <w:keepLines/>
              <w:spacing w:after="40" w:before="40" w:line="252" w:lineRule="auto"/>
              <w:jc w:val="right"/>
            </w:pPr>
            <w:r>
              <w:rPr>
                <w:b w:val="0"/>
                <w:sz w:val="21"/>
              </w:rPr>
              <w:t xml:space="preserve">1.0000000000</w:t>
            </w:r>
          </w:p>
        </w:tc>
        <w:tc>
          <w:tcPr>
            <w:tcW w:type="dxa" w:w="4692"/>
            <w:vAlign w:val="center"/>
          </w:tcPr>
          <w:p>
            <w:pPr>
              <w:pStyle w:val="Compact"/>
              <w:keepNext/>
              <w:keepLines/>
              <w:spacing w:after="40" w:before="40" w:line="252" w:lineRule="auto"/>
              <w:jc w:val="left"/>
            </w:pPr>
            <w:r>
              <w:rPr>
                <w:b w:val="0"/>
                <w:sz w:val="21"/>
              </w:rPr>
              <w:t xml:space="preserve">Imposed by Equation (10)</w:t>
            </w:r>
          </w:p>
        </w:tc>
      </w:tr>
      <w:tr>
        <w:trPr>
          <w:cantSplit/>
        </w:trPr>
        <w:tc>
          <w:tcPr>
            <w:tcW w:type="dxa" w:w="2586"/>
            <w:vAlign w:val="center"/>
          </w:tcPr>
          <w:p>
            <w:pPr>
              <w:pStyle w:val="Compact"/>
              <w:keepNext/>
              <w:keepLines/>
              <w:spacing w:after="40" w:before="40" w:line="252" w:lineRule="auto"/>
              <w:jc w:val="left"/>
            </w:pPr>
            <w:r>
              <w:rPr>
                <w:b w:val="0"/>
                <w:sz w:val="21"/>
              </w:rPr>
              <w:t xml:space="preserve">Fitted mean</w:t>
            </w:r>
          </w:p>
        </w:tc>
        <w:tc>
          <w:tcPr>
            <w:tcW w:type="dxa" w:w="2298"/>
            <w:vAlign w:val="center"/>
          </w:tcPr>
          <w:p>
            <w:pPr>
              <w:pStyle w:val="Compact"/>
              <w:keepNext/>
              <w:keepLines/>
              <w:spacing w:after="40" w:before="40" w:line="252" w:lineRule="auto"/>
              <w:jc w:val="right"/>
            </w:pPr>
            <w:r>
              <w:rPr>
                <w:b w:val="0"/>
                <w:sz w:val="21"/>
              </w:rPr>
              <w:t xml:space="preserve">6,075.470709</w:t>
            </w:r>
          </w:p>
        </w:tc>
        <w:tc>
          <w:tcPr>
            <w:tcW w:type="dxa" w:w="4692"/>
            <w:vAlign w:val="center"/>
          </w:tcPr>
          <w:p>
            <w:pPr>
              <w:pStyle w:val="Compact"/>
              <w:keepNext/>
              <w:keepLines/>
              <w:spacing w:after="40" w:before="40" w:line="252" w:lineRule="auto"/>
              <w:jc w:val="left"/>
            </w:pPr>
            <w:r>
              <w:rPr>
                <w:b w:val="0"/>
                <w:sz w:val="21"/>
              </w:rPr>
              <w:t xml:space="preserve">Imposed forward consistency</w:t>
            </w:r>
          </w:p>
        </w:tc>
      </w:tr>
      <w:tr>
        <w:trPr>
          <w:cantSplit/>
        </w:trPr>
        <w:tc>
          <w:tcPr>
            <w:tcW w:type="dxa" w:w="2586"/>
            <w:vAlign w:val="center"/>
          </w:tcPr>
          <w:p>
            <w:pPr>
              <w:pStyle w:val="Compact"/>
              <w:keepNext/>
              <w:keepLines/>
              <w:spacing w:after="40" w:before="40" w:line="252" w:lineRule="auto"/>
              <w:jc w:val="left"/>
            </w:pPr>
            <w:r>
              <w:rPr>
                <w:b w:val="0"/>
                <w:sz w:val="21"/>
              </w:rPr>
              <w:t xml:space="preserve">Negative fitted interval masses</w:t>
            </w:r>
          </w:p>
        </w:tc>
        <w:tc>
          <w:tcPr>
            <w:tcW w:type="dxa" w:w="2298"/>
            <w:vAlign w:val="center"/>
          </w:tcPr>
          <w:p>
            <w:pPr>
              <w:pStyle w:val="Compact"/>
              <w:keepNext/>
              <w:keepLines/>
              <w:spacing w:after="40" w:before="40" w:line="252" w:lineRule="auto"/>
              <w:jc w:val="right"/>
            </w:pPr>
            <w:r>
              <w:rPr>
                <w:b w:val="0"/>
                <w:sz w:val="21"/>
              </w:rPr>
              <w:t xml:space="preserve">0</w:t>
            </w:r>
          </w:p>
        </w:tc>
        <w:tc>
          <w:tcPr>
            <w:tcW w:type="dxa" w:w="4692"/>
            <w:vAlign w:val="center"/>
          </w:tcPr>
          <w:p>
            <w:pPr>
              <w:pStyle w:val="Compact"/>
              <w:keepNext/>
              <w:keepLines/>
              <w:spacing w:after="40" w:before="40" w:line="252" w:lineRule="auto"/>
              <w:jc w:val="left"/>
            </w:pPr>
            <w:r>
              <w:rPr>
                <w:b w:val="0"/>
                <w:sz w:val="21"/>
              </w:rPr>
              <w:t xml:space="preserve">Enforced non-negativity</w:t>
            </w:r>
          </w:p>
        </w:tc>
      </w:tr>
      <w:tr>
        <w:trPr>
          <w:cantSplit/>
        </w:trPr>
        <w:tc>
          <w:tcPr>
            <w:tcW w:type="dxa" w:w="2586"/>
            <w:vAlign w:val="center"/>
          </w:tcPr>
          <w:p>
            <w:pPr>
              <w:pStyle w:val="Compact"/>
              <w:keepNext/>
              <w:keepLines/>
              <w:spacing w:after="40" w:before="40" w:line="252" w:lineRule="auto"/>
              <w:jc w:val="left"/>
            </w:pPr>
            <w:r>
              <w:rPr>
                <w:b w:val="0"/>
                <w:sz w:val="21"/>
              </w:rPr>
              <w:t xml:space="preserve">Negative raw finite-difference estimates</w:t>
            </w:r>
          </w:p>
        </w:tc>
        <w:tc>
          <w:tcPr>
            <w:tcW w:type="dxa" w:w="2298"/>
            <w:vAlign w:val="center"/>
          </w:tcPr>
          <w:p>
            <w:pPr>
              <w:pStyle w:val="Compact"/>
              <w:keepNext/>
              <w:keepLines/>
              <w:spacing w:after="40" w:before="40" w:line="252" w:lineRule="auto"/>
              <w:jc w:val="right"/>
            </w:pPr>
            <w:r>
              <w:rPr>
                <w:b w:val="0"/>
                <w:sz w:val="21"/>
              </w:rPr>
              <w:t xml:space="preserve">18 of 79</w:t>
            </w:r>
          </w:p>
        </w:tc>
        <w:tc>
          <w:tcPr>
            <w:tcW w:type="dxa" w:w="4692"/>
            <w:vAlign w:val="center"/>
          </w:tcPr>
          <w:p>
            <w:pPr>
              <w:pStyle w:val="Compact"/>
              <w:keepNext/>
              <w:keepLines/>
              <w:spacing w:after="40" w:before="40" w:line="252" w:lineRule="auto"/>
              <w:jc w:val="left"/>
            </w:pPr>
            <w:r>
              <w:rPr>
                <w:b w:val="0"/>
                <w:sz w:val="21"/>
              </w:rPr>
              <w:t xml:space="preserve">Failure of direct differentiation on these noisy prices</w:t>
            </w:r>
          </w:p>
        </w:tc>
      </w:tr>
      <w:tr>
        <w:trPr>
          <w:cantSplit/>
        </w:trPr>
        <w:tc>
          <w:tcPr>
            <w:tcW w:type="dxa" w:w="2586"/>
            <w:vAlign w:val="center"/>
          </w:tcPr>
          <w:p>
            <w:pPr>
              <w:pStyle w:val="Compact"/>
              <w:keepNext/>
              <w:keepLines/>
              <w:spacing w:after="40" w:before="40" w:line="252" w:lineRule="auto"/>
              <w:jc w:val="left"/>
            </w:pPr>
            <w:r>
              <w:rPr>
                <w:b w:val="0"/>
                <w:sz w:val="21"/>
              </w:rPr>
              <w:t xml:space="preserve">Fitted-price RMSE against noisy inputs</w:t>
            </w:r>
          </w:p>
        </w:tc>
        <w:tc>
          <w:tcPr>
            <w:tcW w:type="dxa" w:w="2298"/>
            <w:vAlign w:val="center"/>
          </w:tcPr>
          <w:p>
            <w:pPr>
              <w:pStyle w:val="Compact"/>
              <w:keepNext/>
              <w:keepLines/>
              <w:spacing w:after="40" w:before="40" w:line="252" w:lineRule="auto"/>
              <w:jc w:val="right"/>
            </w:pPr>
            <w:r>
              <w:rPr>
                <w:b w:val="0"/>
                <w:sz w:val="21"/>
              </w:rPr>
              <w:t xml:space="preserve">0.437732 index points</w:t>
            </w:r>
          </w:p>
        </w:tc>
        <w:tc>
          <w:tcPr>
            <w:tcW w:type="dxa" w:w="4692"/>
            <w:vAlign w:val="center"/>
          </w:tcPr>
          <w:p>
            <w:pPr>
              <w:pStyle w:val="Compact"/>
              <w:keepNext/>
              <w:keepLines/>
              <w:spacing w:after="40" w:before="40" w:line="252" w:lineRule="auto"/>
              <w:jc w:val="left"/>
            </w:pPr>
            <w:r>
              <w:rPr>
                <w:b w:val="0"/>
                <w:sz w:val="21"/>
              </w:rPr>
              <w:t xml:space="preserve">Training-data discrepancy</w:t>
            </w:r>
          </w:p>
        </w:tc>
      </w:tr>
      <w:tr>
        <w:trPr>
          <w:cantSplit/>
        </w:trPr>
        <w:tc>
          <w:tcPr>
            <w:tcW w:type="dxa" w:w="2586"/>
            <w:vAlign w:val="center"/>
          </w:tcPr>
          <w:p>
            <w:pPr>
              <w:pStyle w:val="Compact"/>
              <w:keepNext/>
              <w:keepLines/>
              <w:spacing w:after="40" w:before="40" w:line="252" w:lineRule="auto"/>
              <w:jc w:val="left"/>
            </w:pPr>
            <w:r>
              <w:rPr>
                <w:b w:val="0"/>
                <w:sz w:val="21"/>
              </w:rPr>
              <w:t xml:space="preserve">Price RMSE at withheld clean strikes</w:t>
            </w:r>
          </w:p>
        </w:tc>
        <w:tc>
          <w:tcPr>
            <w:tcW w:type="dxa" w:w="2298"/>
            <w:vAlign w:val="center"/>
          </w:tcPr>
          <w:p>
            <w:pPr>
              <w:pStyle w:val="Compact"/>
              <w:keepNext/>
              <w:keepLines/>
              <w:spacing w:after="40" w:before="40" w:line="252" w:lineRule="auto"/>
              <w:jc w:val="right"/>
            </w:pPr>
            <w:r>
              <w:rPr>
                <w:b w:val="0"/>
                <w:sz w:val="21"/>
              </w:rPr>
              <w:t xml:space="preserve">0.246113 index points</w:t>
            </w:r>
          </w:p>
        </w:tc>
        <w:tc>
          <w:tcPr>
            <w:tcW w:type="dxa" w:w="4692"/>
            <w:vAlign w:val="center"/>
          </w:tcPr>
          <w:p>
            <w:pPr>
              <w:pStyle w:val="Compact"/>
              <w:keepNext/>
              <w:keepLines/>
              <w:spacing w:after="40" w:before="40" w:line="252" w:lineRule="auto"/>
              <w:jc w:val="left"/>
            </w:pPr>
            <w:r>
              <w:rPr>
                <w:b w:val="0"/>
                <w:sz w:val="21"/>
              </w:rPr>
              <w:t xml:space="preserve">Synthetic interpolation accuracy</w:t>
            </w:r>
          </w:p>
        </w:tc>
      </w:tr>
      <w:tr>
        <w:trPr>
          <w:cantSplit/>
        </w:trPr>
        <w:tc>
          <w:tcPr>
            <w:tcW w:type="dxa" w:w="2586"/>
            <w:vAlign w:val="center"/>
          </w:tcPr>
          <w:p>
            <w:pPr>
              <w:pStyle w:val="Compact"/>
              <w:keepNext/>
              <w:keepLines/>
              <w:spacing w:after="40" w:before="40" w:line="252" w:lineRule="auto"/>
              <w:jc w:val="left"/>
            </w:pPr>
            <w:r>
              <w:rPr>
                <w:b w:val="0"/>
                <w:sz w:val="21"/>
              </w:rPr>
              <w:t xml:space="preserve">Integrated absolute density error on support</w:t>
            </w:r>
          </w:p>
        </w:tc>
        <w:tc>
          <w:tcPr>
            <w:tcW w:type="dxa" w:w="2298"/>
            <w:vAlign w:val="center"/>
          </w:tcPr>
          <w:p>
            <w:pPr>
              <w:pStyle w:val="Compact"/>
              <w:keepNext/>
              <w:keepLines/>
              <w:spacing w:after="40" w:before="40" w:line="252" w:lineRule="auto"/>
              <w:jc w:val="right"/>
            </w:pPr>
            <w:r>
              <w:rPr>
                <w:b w:val="0"/>
                <w:sz w:val="21"/>
              </w:rPr>
              <w:t xml:space="preserve">0.030998</w:t>
            </w:r>
          </w:p>
        </w:tc>
        <w:tc>
          <w:tcPr>
            <w:tcW w:type="dxa" w:w="4692"/>
            <w:vAlign w:val="center"/>
          </w:tcPr>
          <w:p>
            <w:pPr>
              <w:pStyle w:val="Compact"/>
              <w:keepNext/>
              <w:keepLines/>
              <w:spacing w:after="40" w:before="40" w:line="252" w:lineRule="auto"/>
              <w:jc w:val="left"/>
            </w:pPr>
            <w:r>
              <w:rPr>
                <w:b w:val="0"/>
                <w:sz w:val="21"/>
              </w:rPr>
              <w:t xml:space="preserve">Density discrepancy; not a pointwise percentage error</w:t>
            </w:r>
          </w:p>
        </w:tc>
      </w:tr>
      <w:tr>
        <w:trPr>
          <w:cantSplit/>
        </w:trPr>
        <w:tc>
          <w:tcPr>
            <w:tcW w:type="dxa" w:w="2586"/>
            <w:vAlign w:val="center"/>
          </w:tcPr>
          <w:p>
            <w:pPr>
              <w:pStyle w:val="Compact"/>
              <w:keepNext/>
              <w:keepLines/>
              <w:spacing w:after="40" w:before="40" w:line="252" w:lineRule="auto"/>
              <w:jc w:val="left"/>
            </w:pPr>
            <w:r>
              <w:rPr>
                <w:b w:val="0"/>
                <w:sz w:val="21"/>
              </w:rPr>
              <w:t xml:space="preserve">Sampled decreasing-price or convexity violations</w:t>
            </w:r>
          </w:p>
        </w:tc>
        <w:tc>
          <w:tcPr>
            <w:tcW w:type="dxa" w:w="2298"/>
            <w:vAlign w:val="center"/>
          </w:tcPr>
          <w:p>
            <w:pPr>
              <w:pStyle w:val="Compact"/>
              <w:keepNext/>
              <w:keepLines/>
              <w:spacing w:after="40" w:before="40" w:line="252" w:lineRule="auto"/>
              <w:jc w:val="right"/>
            </w:pPr>
            <w:r>
              <w:rPr>
                <w:b w:val="0"/>
                <w:sz w:val="21"/>
              </w:rPr>
              <w:t xml:space="preserve">0</w:t>
            </w:r>
          </w:p>
        </w:tc>
        <w:tc>
          <w:tcPr>
            <w:tcW w:type="dxa" w:w="4692"/>
            <w:vAlign w:val="center"/>
          </w:tcPr>
          <w:p>
            <w:pPr>
              <w:pStyle w:val="Compact"/>
              <w:keepNext/>
              <w:keepLines/>
              <w:spacing w:after="40" w:before="40" w:line="252" w:lineRule="auto"/>
              <w:jc w:val="left"/>
            </w:pPr>
            <w:r>
              <w:rPr>
                <w:b w:val="0"/>
                <w:sz w:val="21"/>
              </w:rPr>
              <w:t xml:space="preserve">Numerical check of theoretical shape properties</w:t>
            </w:r>
          </w:p>
        </w:tc>
      </w:tr>
    </w:tbl>
    <w:p>
      <w:bookmarkStart w:id="544" w:name="table5"/>
      <w:pPr>
        <w:pStyle w:val="TableCaption"/>
      </w:pPr>
      <w:r>
        <w:t xml:space="preserve">Table 5. Baseline constrained-fit diagnostics, using</w:t>
      </w:r>
      <w:r>
        <w:t xml:space="preserve"> </w:t>
      </w:r>
      <m:oMath>
        <m:r>
          <m:t>λ</m:t>
        </m:r>
        <m:r>
          <m:rPr>
            <m:sty m:val="p"/>
          </m:rPr>
          <m:t>=</m:t>
        </m:r>
        <m:sSup>
          <m:e>
            <m:r>
              <m:t>10</m:t>
            </m:r>
          </m:e>
          <m:sup>
            <m:r>
              <m:rPr>
                <m:sty m:val="p"/>
              </m:rPr>
              <m:t>−</m:t>
            </m:r>
            <m:r>
              <m:t>6</m:t>
            </m:r>
          </m:sup>
        </m:sSup>
      </m:oMath>
      <w:r>
        <w:t xml:space="preserve">.</w:t>
      </w:r>
      <w:bookmarkEnd w:id="544"/>
    </w:p>
    <w:p>
      <w:pPr>
        <w:pStyle w:val="BodyText"/>
        <w:keepNext/>
        <w:spacing w:after="40"/>
        <w:jc w:val="center"/>
      </w:pPr>
      <w:r>
        <w:drawing>
          <wp:inline>
            <wp:extent cx="5334000" cy="4148666"/>
            <wp:effectExtent b="0" l="0" r="0" t="0"/>
            <wp:docPr descr="Constrained synthetic call-price fit and residuals" title="" id="58" name="Picture"/>
            <a:graphic>
              <a:graphicData uri="http://schemas.openxmlformats.org/drawingml/2006/picture">
                <pic:pic>
                  <pic:nvPicPr>
                    <pic:cNvPr descr="/workspace/scratch/62b9274b9d7e/spx-density-research/figures/figure_07_constrained_prices.png" id="59" name="Picture"/>
                    <pic:cNvPicPr>
                      <a:picLocks noChangeArrowheads="1" noChangeAspect="1"/>
                    </pic:cNvPicPr>
                  </pic:nvPicPr>
                  <pic:blipFill>
                    <a:blip r:embed="rId57"/>
                    <a:stretch>
                      <a:fillRect/>
                    </a:stretch>
                  </pic:blipFill>
                  <pic:spPr bwMode="auto">
                    <a:xfrm>
                      <a:off x="0" y="0"/>
                      <a:ext cx="5334000" cy="4148666"/>
                    </a:xfrm>
                    <a:prstGeom prst="rect">
                      <a:avLst/>
                    </a:prstGeom>
                    <a:noFill/>
                    <a:ln w="9525">
                      <a:noFill/>
                      <a:headEnd/>
                      <a:tailEnd/>
                    </a:ln>
                  </pic:spPr>
                </pic:pic>
              </a:graphicData>
            </a:graphic>
          </wp:inline>
        </w:drawing>
      </w:r>
    </w:p>
    <w:p>
      <w:bookmarkStart w:id="545" w:name="figure7"/>
      <w:pPr>
        <w:pStyle w:val="FigureCaption"/>
      </w:pPr>
      <w:r>
        <w:t xml:space="preserve">Figure 7. Synthetic call prices and the constrained fit for the baseline penalty. The upper panel shows prices; the lower panel compares the added price errors with the fitted price’s deviation from the known value. Prices are in index points, not currency per contract.</w:t>
      </w:r>
      <w:bookmarkEnd w:id="545"/>
    </w:p>
    <w:p>
      <w:pPr>
        <w:pStyle w:val="BodyText"/>
        <w:keepNext/>
        <w:spacing w:after="40"/>
        <w:jc w:val="center"/>
      </w:pPr>
      <w:r>
        <w:drawing>
          <wp:inline>
            <wp:extent cx="5334000" cy="2963333"/>
            <wp:effectExtent b="0" l="0" r="0" t="0"/>
            <wp:docPr descr="Constrained density versus raw differentiation" title="" id="61" name="Picture"/>
            <a:graphic>
              <a:graphicData uri="http://schemas.openxmlformats.org/drawingml/2006/picture">
                <pic:pic>
                  <pic:nvPicPr>
                    <pic:cNvPr descr="/workspace/scratch/62b9274b9d7e/spx-density-research/figures/figure_08_constrained_density.png" id="62" name="Picture"/>
                    <pic:cNvPicPr>
                      <a:picLocks noChangeArrowheads="1" noChangeAspect="1"/>
                    </pic:cNvPicPr>
                  </pic:nvPicPr>
                  <pic:blipFill>
                    <a:blip r:embed="rId60"/>
                    <a:stretch>
                      <a:fillRect/>
                    </a:stretch>
                  </pic:blipFill>
                  <pic:spPr bwMode="auto">
                    <a:xfrm>
                      <a:off x="0" y="0"/>
                      <a:ext cx="5334000" cy="2963333"/>
                    </a:xfrm>
                    <a:prstGeom prst="rect">
                      <a:avLst/>
                    </a:prstGeom>
                    <a:noFill/>
                    <a:ln w="9525">
                      <a:noFill/>
                      <a:headEnd/>
                      <a:tailEnd/>
                    </a:ln>
                  </pic:spPr>
                </pic:pic>
              </a:graphicData>
            </a:graphic>
          </wp:inline>
        </w:drawing>
      </w:r>
    </w:p>
    <w:p>
      <w:bookmarkStart w:id="546" w:name="figure8"/>
      <w:pPr>
        <w:pStyle w:val="FigureCaption"/>
      </w:pPr>
      <w:r>
        <w:t xml:space="preserve">Figure 8. Known lognormal density, raw second differences of noisy call prices and the fitted histogram density. The display is cropped to</w:t>
      </w:r>
      <w:r>
        <w:t xml:space="preserve"> </w:t>
      </w:r>
      <m:oMath>
        <m:d>
          <m:dPr>
            <m:begChr m:val="["/>
            <m:endChr m:val="]"/>
            <m:sepChr m:val=""/>
            <m:grow/>
          </m:dPr>
          <m:e>
            <m:r>
              <m:t>0.6</m:t>
            </m:r>
            <m:r>
              <m:t>F</m:t>
            </m:r>
            <m:r>
              <m:rPr>
                <m:sty m:val="p"/>
              </m:rPr>
              <m:t>,</m:t>
            </m:r>
            <m:r>
              <m:t>1.6</m:t>
            </m:r>
            <m:r>
              <m:t>F</m:t>
            </m:r>
          </m:e>
        </m:d>
      </m:oMath>
      <w:r>
        <w:t xml:space="preserve"> </w:t>
      </w:r>
      <w:r>
        <w:t xml:space="preserve">for readability; fitting uses the wider support stated above. All inputs are synthetic.</w:t>
      </w:r>
      <w:bookmarkEnd w:id="546"/>
    </w:p>
    <w:p>
      <w:pPr>
        <w:pStyle w:val="BodyText"/>
      </w:pPr>
      <w:r>
        <w:t xml:space="preserve">The baseline achieves a withheld clean-price RMSE of 0.246113 points and integrated absolute density error of 0.030998 on the fitting support. Raw differentiation gives 18 negative estimates among 79 interior strikes, whereas the constrained masses remain nonnegative. This demonstrates the intended structural improvement within the chosen experiment. It does not establish an optimal penalty or resolve tail extrapolation.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586"/>
        <w:gridCol w:w="2394"/>
        <w:gridCol w:w="2394"/>
        <w:gridCol w:w="2202"/>
      </w:tblGrid>
      <w:tr>
        <w:trPr>
          <w:tblHeader w:val="true"/>
          <w:cantSplit/>
          <w:tblHeader/>
        </w:trPr>
        <w:tc>
          <w:tcPr>
            <w:tcW w:type="dxa" w:w="2586"/>
            <w:vAlign w:val="center"/>
            <w:shd w:fill="E9EEF3"/>
          </w:tcPr>
          <w:p>
            <w:pPr>
              <w:pStyle w:val="Compact"/>
              <w:keepNext/>
              <w:keepLines/>
              <w:spacing w:after="40" w:before="40" w:line="252" w:lineRule="auto"/>
              <w:jc w:val="left"/>
            </w:pPr>
            <w:r>
              <w:rPr>
                <w:b/>
                <w:sz w:val="21"/>
              </w:rPr>
              <w:t xml:space="preserve">Penalty</w:t>
            </w:r>
          </w:p>
        </w:tc>
        <w:tc>
          <w:tcPr>
            <w:tcW w:type="dxa" w:w="2394"/>
            <w:vAlign w:val="center"/>
            <w:shd w:fill="E9EEF3"/>
          </w:tcPr>
          <w:p>
            <w:pPr>
              <w:pStyle w:val="Compact"/>
              <w:keepNext/>
              <w:keepLines/>
              <w:spacing w:after="40" w:before="40" w:line="252" w:lineRule="auto"/>
              <w:jc w:val="right"/>
            </w:pPr>
            <w:r>
              <w:rPr>
                <w:b/>
                <w:sz w:val="21"/>
              </w:rPr>
              <w:t xml:space="preserve">Noisy-input price RMSE</w:t>
            </w:r>
          </w:p>
        </w:tc>
        <w:tc>
          <w:tcPr>
            <w:tcW w:type="dxa" w:w="2394"/>
            <w:vAlign w:val="center"/>
            <w:shd w:fill="E9EEF3"/>
          </w:tcPr>
          <w:p>
            <w:pPr>
              <w:pStyle w:val="Compact"/>
              <w:keepNext/>
              <w:keepLines/>
              <w:spacing w:after="40" w:before="40" w:line="252" w:lineRule="auto"/>
              <w:jc w:val="right"/>
            </w:pPr>
            <w:r>
              <w:rPr>
                <w:b/>
                <w:sz w:val="21"/>
              </w:rPr>
              <w:t xml:space="preserve">Withheld clean-price RMSE</w:t>
            </w:r>
          </w:p>
        </w:tc>
        <w:tc>
          <w:tcPr>
            <w:tcW w:type="dxa" w:w="2202"/>
            <w:vAlign w:val="center"/>
            <w:shd w:fill="E9EEF3"/>
          </w:tcPr>
          <w:p>
            <w:pPr>
              <w:pStyle w:val="Compact"/>
              <w:keepNext/>
              <w:keepLines/>
              <w:spacing w:after="40" w:before="40" w:line="252" w:lineRule="auto"/>
              <w:jc w:val="right"/>
            </w:pPr>
            <w:r>
              <w:rPr>
                <w:b/>
                <w:sz w:val="21"/>
              </w:rPr>
              <w:t xml:space="preserve">Integrated absolute density error</w:t>
            </w:r>
          </w:p>
        </w:tc>
      </w:tr>
      <w:tr>
        <w:trPr>
          <w:cantSplit/>
        </w:trPr>
        <w:tc>
          <w:tcPr>
            <w:tcW w:type="dxa" w:w="2586"/>
            <w:vAlign w:val="center"/>
          </w:tcPr>
          <w:p>
            <w:pPr>
              <w:pStyle w:val="Compact"/>
              <w:keepNext/>
              <w:keepLines/>
              <w:spacing w:after="40" w:before="40" w:line="252" w:lineRule="auto"/>
              <w:jc w:val="left"/>
            </w:pPr>
            <m:oMath>
              <m:sSup>
                <m:e>
                  <m:r>
                    <m:t>10</m:t>
                  </m:r>
                </m:e>
                <m:sup>
                  <m:r>
                    <m:rPr>
                      <m:sty m:val="p"/>
                    </m:rPr>
                    <m:t>−</m:t>
                  </m:r>
                  <m:r>
                    <m:t>8</m:t>
                  </m:r>
                </m:sup>
              </m:sSup>
            </m:oMath>
          </w:p>
        </w:tc>
        <w:tc>
          <w:tcPr>
            <w:tcW w:type="dxa" w:w="2394"/>
            <w:vAlign w:val="center"/>
          </w:tcPr>
          <w:p>
            <w:pPr>
              <w:pStyle w:val="Compact"/>
              <w:keepNext/>
              <w:keepLines/>
              <w:spacing w:after="40" w:before="40" w:line="252" w:lineRule="auto"/>
              <w:jc w:val="right"/>
            </w:pPr>
            <w:r>
              <w:rPr>
                <w:b w:val="0"/>
                <w:sz w:val="21"/>
              </w:rPr>
              <w:t xml:space="preserve">0.392897</w:t>
            </w:r>
          </w:p>
        </w:tc>
        <w:tc>
          <w:tcPr>
            <w:tcW w:type="dxa" w:w="2394"/>
            <w:vAlign w:val="center"/>
          </w:tcPr>
          <w:p>
            <w:pPr>
              <w:pStyle w:val="Compact"/>
              <w:keepNext/>
              <w:keepLines/>
              <w:spacing w:after="40" w:before="40" w:line="252" w:lineRule="auto"/>
              <w:jc w:val="right"/>
            </w:pPr>
            <w:r>
              <w:rPr>
                <w:b w:val="0"/>
                <w:sz w:val="21"/>
              </w:rPr>
              <w:t xml:space="preserve">0.287372</w:t>
            </w:r>
          </w:p>
        </w:tc>
        <w:tc>
          <w:tcPr>
            <w:tcW w:type="dxa" w:w="2202"/>
            <w:vAlign w:val="center"/>
          </w:tcPr>
          <w:p>
            <w:pPr>
              <w:pStyle w:val="Compact"/>
              <w:keepNext/>
              <w:keepLines/>
              <w:spacing w:after="40" w:before="40" w:line="252" w:lineRule="auto"/>
              <w:jc w:val="right"/>
            </w:pPr>
            <w:r>
              <w:rPr>
                <w:b w:val="0"/>
                <w:sz w:val="21"/>
              </w:rPr>
              <w:t xml:space="preserve">0.108563</w:t>
            </w:r>
          </w:p>
        </w:tc>
      </w:tr>
      <w:tr>
        <w:trPr>
          <w:cantSplit/>
        </w:trPr>
        <w:tc>
          <w:tcPr>
            <w:tcW w:type="dxa" w:w="2586"/>
            <w:vAlign w:val="center"/>
          </w:tcPr>
          <w:p>
            <w:pPr>
              <w:pStyle w:val="Compact"/>
              <w:keepNext/>
              <w:keepLines/>
              <w:spacing w:after="40" w:before="40" w:line="252" w:lineRule="auto"/>
              <w:jc w:val="left"/>
            </w:pPr>
            <m:oMath>
              <m:sSup>
                <m:e>
                  <m:r>
                    <m:t>10</m:t>
                  </m:r>
                </m:e>
                <m:sup>
                  <m:r>
                    <m:rPr>
                      <m:sty m:val="p"/>
                    </m:rPr>
                    <m:t>−</m:t>
                  </m:r>
                  <m:r>
                    <m:t>6</m:t>
                  </m:r>
                </m:sup>
              </m:sSup>
            </m:oMath>
          </w:p>
        </w:tc>
        <w:tc>
          <w:tcPr>
            <w:tcW w:type="dxa" w:w="2394"/>
            <w:vAlign w:val="center"/>
          </w:tcPr>
          <w:p>
            <w:pPr>
              <w:pStyle w:val="Compact"/>
              <w:keepNext/>
              <w:keepLines/>
              <w:spacing w:after="40" w:before="40" w:line="252" w:lineRule="auto"/>
              <w:jc w:val="right"/>
            </w:pPr>
            <w:r>
              <w:rPr>
                <w:b w:val="0"/>
                <w:sz w:val="21"/>
              </w:rPr>
              <w:t xml:space="preserve">0.437732</w:t>
            </w:r>
          </w:p>
        </w:tc>
        <w:tc>
          <w:tcPr>
            <w:tcW w:type="dxa" w:w="2394"/>
            <w:vAlign w:val="center"/>
          </w:tcPr>
          <w:p>
            <w:pPr>
              <w:pStyle w:val="Compact"/>
              <w:keepNext/>
              <w:keepLines/>
              <w:spacing w:after="40" w:before="40" w:line="252" w:lineRule="auto"/>
              <w:jc w:val="right"/>
            </w:pPr>
            <w:r>
              <w:rPr>
                <w:b w:val="0"/>
                <w:sz w:val="21"/>
              </w:rPr>
              <w:t xml:space="preserve">0.246113</w:t>
            </w:r>
          </w:p>
        </w:tc>
        <w:tc>
          <w:tcPr>
            <w:tcW w:type="dxa" w:w="2202"/>
            <w:vAlign w:val="center"/>
          </w:tcPr>
          <w:p>
            <w:pPr>
              <w:pStyle w:val="Compact"/>
              <w:keepNext/>
              <w:keepLines/>
              <w:spacing w:after="40" w:before="40" w:line="252" w:lineRule="auto"/>
              <w:jc w:val="right"/>
            </w:pPr>
            <w:r>
              <w:rPr>
                <w:b w:val="0"/>
                <w:sz w:val="21"/>
              </w:rPr>
              <w:t xml:space="preserve">0.030998</w:t>
            </w:r>
          </w:p>
        </w:tc>
      </w:tr>
      <w:tr>
        <w:trPr>
          <w:cantSplit/>
        </w:trPr>
        <w:tc>
          <w:tcPr>
            <w:tcW w:type="dxa" w:w="2586"/>
            <w:vAlign w:val="center"/>
          </w:tcPr>
          <w:p>
            <w:pPr>
              <w:pStyle w:val="Compact"/>
              <w:keepNext/>
              <w:keepLines/>
              <w:spacing w:after="40" w:before="40" w:line="252" w:lineRule="auto"/>
              <w:jc w:val="left"/>
            </w:pPr>
            <m:oMath>
              <m:sSup>
                <m:e>
                  <m:r>
                    <m:t>10</m:t>
                  </m:r>
                </m:e>
                <m:sup>
                  <m:r>
                    <m:rPr>
                      <m:sty m:val="p"/>
                    </m:rPr>
                    <m:t>−</m:t>
                  </m:r>
                  <m:r>
                    <m:t>4</m:t>
                  </m:r>
                </m:sup>
              </m:sSup>
            </m:oMath>
          </w:p>
        </w:tc>
        <w:tc>
          <w:tcPr>
            <w:tcW w:type="dxa" w:w="2394"/>
            <w:vAlign w:val="center"/>
          </w:tcPr>
          <w:p>
            <w:pPr>
              <w:pStyle w:val="Compact"/>
              <w:keepNext/>
              <w:keepLines/>
              <w:spacing w:after="40" w:before="40" w:line="252" w:lineRule="auto"/>
              <w:jc w:val="right"/>
            </w:pPr>
            <w:r>
              <w:rPr>
                <w:b w:val="0"/>
                <w:sz w:val="21"/>
              </w:rPr>
              <w:t xml:space="preserve">0.458675</w:t>
            </w:r>
          </w:p>
        </w:tc>
        <w:tc>
          <w:tcPr>
            <w:tcW w:type="dxa" w:w="2394"/>
            <w:vAlign w:val="center"/>
          </w:tcPr>
          <w:p>
            <w:pPr>
              <w:pStyle w:val="Compact"/>
              <w:keepNext/>
              <w:keepLines/>
              <w:spacing w:after="40" w:before="40" w:line="252" w:lineRule="auto"/>
              <w:jc w:val="right"/>
            </w:pPr>
            <w:r>
              <w:rPr>
                <w:b w:val="0"/>
                <w:sz w:val="21"/>
              </w:rPr>
              <w:t xml:space="preserve">0.211071</w:t>
            </w:r>
          </w:p>
        </w:tc>
        <w:tc>
          <w:tcPr>
            <w:tcW w:type="dxa" w:w="2202"/>
            <w:vAlign w:val="center"/>
          </w:tcPr>
          <w:p>
            <w:pPr>
              <w:pStyle w:val="Compact"/>
              <w:keepNext/>
              <w:keepLines/>
              <w:spacing w:after="40" w:before="40" w:line="252" w:lineRule="auto"/>
              <w:jc w:val="right"/>
            </w:pPr>
            <w:r>
              <w:rPr>
                <w:b w:val="0"/>
                <w:sz w:val="21"/>
              </w:rPr>
              <w:t xml:space="preserve">0.025788</w:t>
            </w:r>
          </w:p>
        </w:tc>
      </w:tr>
    </w:tbl>
    <w:p>
      <w:bookmarkStart w:id="547" w:name="table6"/>
      <w:pPr>
        <w:pStyle w:val="TableCaption"/>
      </w:pPr>
      <w:r>
        <w:t xml:space="preserve">Table 6. Smoothing sensitivity in the synthetic experiment.</w:t>
      </w:r>
      <w:bookmarkEnd w:id="547"/>
    </w:p>
    <w:p>
      <w:pPr>
        <w:pStyle w:val="BodyText"/>
        <w:keepNext/>
        <w:spacing w:after="40"/>
        <w:jc w:val="center"/>
      </w:pPr>
      <w:r>
        <w:drawing>
          <wp:inline>
            <wp:extent cx="5334000" cy="2963333"/>
            <wp:effectExtent b="0" l="0" r="0" t="0"/>
            <wp:docPr descr="Smoothing-penalty sensitivity" title="" id="64" name="Picture"/>
            <a:graphic>
              <a:graphicData uri="http://schemas.openxmlformats.org/drawingml/2006/picture">
                <pic:pic>
                  <pic:nvPicPr>
                    <pic:cNvPr descr="/workspace/scratch/62b9274b9d7e/spx-density-research/figures/figure_09_smoothing_sensitivity.png" id="65" name="Picture"/>
                    <pic:cNvPicPr>
                      <a:picLocks noChangeArrowheads="1" noChangeAspect="1"/>
                    </pic:cNvPicPr>
                  </pic:nvPicPr>
                  <pic:blipFill>
                    <a:blip r:embed="rId63"/>
                    <a:stretch>
                      <a:fillRect/>
                    </a:stretch>
                  </pic:blipFill>
                  <pic:spPr bwMode="auto">
                    <a:xfrm>
                      <a:off x="0" y="0"/>
                      <a:ext cx="5334000" cy="2963333"/>
                    </a:xfrm>
                    <a:prstGeom prst="rect">
                      <a:avLst/>
                    </a:prstGeom>
                    <a:noFill/>
                    <a:ln w="9525">
                      <a:noFill/>
                      <a:headEnd/>
                      <a:tailEnd/>
                    </a:ln>
                  </pic:spPr>
                </pic:pic>
              </a:graphicData>
            </a:graphic>
          </wp:inline>
        </w:drawing>
      </w:r>
    </w:p>
    <w:p>
      <w:bookmarkStart w:id="548" w:name="figure9"/>
      <w:pPr>
        <w:pStyle w:val="FigureCaption"/>
      </w:pPr>
      <w:r>
        <w:t xml:space="preserve">Figure 9. Histogram densities obtained with penalties</w:t>
      </w:r>
      <w:r>
        <w:t xml:space="preserve"> </w:t>
      </w:r>
      <m:oMath>
        <m:sSup>
          <m:e>
            <m:r>
              <m:t>10</m:t>
            </m:r>
          </m:e>
          <m:sup>
            <m:r>
              <m:rPr>
                <m:sty m:val="p"/>
              </m:rPr>
              <m:t>−</m:t>
            </m:r>
            <m:r>
              <m:t>8</m:t>
            </m:r>
          </m:sup>
        </m:sSup>
      </m:oMath>
      <w:r>
        <w:t xml:space="preserve">,</w:t>
      </w:r>
      <w:r>
        <w:t xml:space="preserve"> </w:t>
      </w:r>
      <m:oMath>
        <m:sSup>
          <m:e>
            <m:r>
              <m:t>10</m:t>
            </m:r>
          </m:e>
          <m:sup>
            <m:r>
              <m:rPr>
                <m:sty m:val="p"/>
              </m:rPr>
              <m:t>−</m:t>
            </m:r>
            <m:r>
              <m:t>6</m:t>
            </m:r>
          </m:sup>
        </m:sSup>
      </m:oMath>
      <w:r>
        <w:t xml:space="preserve"> </w:t>
      </w:r>
      <w:r>
        <w:t xml:space="preserve">and</w:t>
      </w:r>
      <w:r>
        <w:t xml:space="preserve"> </w:t>
      </w:r>
      <m:oMath>
        <m:sSup>
          <m:e>
            <m:r>
              <m:t>10</m:t>
            </m:r>
          </m:e>
          <m:sup>
            <m:r>
              <m:rPr>
                <m:sty m:val="p"/>
              </m:rPr>
              <m:t>−</m:t>
            </m:r>
            <m:r>
              <m:t>4</m:t>
            </m:r>
          </m:sup>
        </m:sSup>
      </m:oMath>
      <w:r>
        <w:t xml:space="preserve">, with the same prices, interval grid and forward. The dashed curve is the known density. This comparison isolates the penalty setting within one noise realisation.</w:t>
      </w:r>
      <w:bookmarkEnd w:id="548"/>
    </w:p>
    <w:p>
      <w:pPr>
        <w:pStyle w:val="BodyText"/>
      </w:pPr>
      <w:r>
        <w:t xml:space="preserve">Changing the penalty alters both the price residuals and recovered shape. The analytical benchmark probability outside the chosen support is approximately</w:t>
      </w:r>
      <w:r>
        <w:t xml:space="preserve"> </w:t>
      </w:r>
      <m:oMath>
        <m:r>
          <m:t>8.21</m:t>
        </m:r>
        <m:r>
          <m:rPr>
            <m:sty m:val="p"/>
          </m:rPr>
          <m:t>×</m:t>
        </m:r>
        <m:sSup>
          <m:e>
            <m:r>
              <m:t>10</m:t>
            </m:r>
          </m:e>
          <m:sup>
            <m:r>
              <m:rPr>
                <m:sty m:val="p"/>
              </m:rPr>
              <m:t>−</m:t>
            </m:r>
            <m:r>
              <m:t>9</m:t>
            </m:r>
          </m:sup>
        </m:sSup>
      </m:oMath>
      <w:r>
        <w:t xml:space="preserve">, so truncation is negligible in this particular case. Broader distributions need an explicit outside-support accounting, developed in Chapter 5.</w:t>
      </w:r>
    </w:p>
    <w:bookmarkEnd w:id="66"/>
    <w:bookmarkEnd w:id="67"/>
    <w:bookmarkStart w:id="87" w:name="consistency-across-maturity"/>
    <w:p>
      <w:bookmarkStart w:id="549" w:name="h15"/>
      <w:pPr>
        <w:pStyle w:val="Heading1"/>
        <w:numPr>
          <w:ilvl w:val="0"/>
          <w:numId w:val="70"/>
        </w:numPr>
      </w:pPr>
      <w:bookmarkEnd w:id="549"/>
      <w:r>
        <w:t>Consistency across maturity</w:t>
      </w:r>
    </w:p>
    <w:bookmarkStart w:id="74" w:name="X9b4645570eef6f548a5e3eb8c06f2becb1c9365"/>
    <w:p>
      <w:bookmarkStart w:id="550" w:name="h16"/>
      <w:pPr>
        <w:pStyle w:val="Heading2"/>
        <w:numPr>
          <w:ilvl w:val="1"/>
          <w:numId w:val="70"/>
        </w:numPr>
      </w:pPr>
      <w:bookmarkEnd w:id="550"/>
      <w:r>
        <w:t>Valid marginal densities can form an inconsistent family</w:t>
      </w:r>
    </w:p>
    <w:p>
      <w:pPr>
        <w:pStyle w:val="FirstParagraph"/>
      </w:pPr>
      <w:r>
        <w:t xml:space="preserve">The next experiment fits eight horizons: 30, 60, 90, 120, 180, 240, 300 and 365 days, each divided by 365 for valuation. Each horizon contains 81 strikes spanning</w:t>
      </w:r>
      <w:r>
        <w:t xml:space="preserve"> </w:t>
      </w:r>
      <m:oMath>
        <m:r>
          <m:t>F</m:t>
        </m:r>
        <m:r>
          <m:rPr>
            <m:sty m:val="p"/>
          </m:rPr>
          <m:t>exp</m:t>
        </m:r>
        <m:d>
          <m:dPr>
            <m:begChr m:val="("/>
            <m:endChr m:val=")"/>
            <m:sepChr m:val=""/>
            <m:grow/>
          </m:dPr>
          <m:e>
            <m:r>
              <m:rPr>
                <m:sty m:val="p"/>
              </m:rPr>
              <m:t>±</m:t>
            </m:r>
            <m:r>
              <m:t>2.5</m:t>
            </m:r>
            <m:r>
              <m:t>σ</m:t>
            </m:r>
            <m:rad>
              <m:radPr>
                <m:degHide m:val="on"/>
              </m:radPr>
              <m:deg/>
              <m:e>
                <m:r>
                  <m:t>T</m:t>
                </m:r>
              </m:e>
            </m:rad>
          </m:e>
        </m:d>
      </m:oMath>
      <w:r>
        <w:t xml:space="preserve">, with linear spacing between the endpoints. The known volatility determines this synthetic design, not empirical strike selection. Bounded independent price errors are uniform on</w:t>
      </w:r>
      <w:r>
        <w:t xml:space="preserve"> </w:t>
      </w:r>
      <m:oMath>
        <m:d>
          <m:dPr>
            <m:begChr m:val="["/>
            <m:endChr m:val="]"/>
            <m:sepChr m:val=""/>
            <m:grow/>
          </m:dPr>
          <m:e>
            <m:r>
              <m:rPr>
                <m:sty m:val="p"/>
              </m:rPr>
              <m:t>−</m:t>
            </m:r>
            <m:r>
              <m:t>0.5</m:t>
            </m:r>
            <m:r>
              <m:rPr>
                <m:sty m:val="p"/>
              </m:rPr>
              <m:t>,</m:t>
            </m:r>
            <m:r>
              <m:t>0.5</m:t>
            </m:r>
          </m:e>
        </m:d>
      </m:oMath>
      <w:r>
        <w:t xml:space="preserve"> </w:t>
      </w:r>
      <w:r>
        <w:t xml:space="preserve">points, with standard deviation approximately 0.288675 points. The seed at each horizon is 20260920 plus its day count.</w:t>
      </w:r>
    </w:p>
    <w:p>
      <w:pPr>
        <w:pStyle w:val="BodyText"/>
      </w:pPr>
      <w:r>
        <w:t xml:space="preserve">As Gatheral and Jacquier explain in their calendar-arbitrage discussion [12, §2.1], normalised call values should be ordered across increasing maturities under the relevant martingale and carry assumptions. Retaining discounting explicitly gives Equation (13), with</w:t>
      </w:r>
      <w:r>
        <w:t xml:space="preserve"> </w:t>
      </w:r>
      <m:oMath>
        <m:r>
          <m:t>κ</m:t>
        </m:r>
        <m:r>
          <m:rPr>
            <m:sty m:val="p"/>
          </m:rPr>
          <m:t>=</m:t>
        </m:r>
        <m:r>
          <m:t>K</m:t>
        </m:r>
        <m:r>
          <m:rPr>
            <m:sty m:val="p"/>
          </m:rPr>
          <m:t>/</m:t>
        </m:r>
        <m:r>
          <m:t>F</m:t>
        </m:r>
        <m:d>
          <m:dPr>
            <m:begChr m:val="("/>
            <m:endChr m:val=")"/>
            <m:sepChr m:val=""/>
            <m:grow/>
          </m:dPr>
          <m:e>
            <m:r>
              <m:t>T</m:t>
            </m:r>
          </m:e>
        </m:d>
      </m:oMath>
      <w:r>
        <w:t xml:space="preserve">.</w:t>
      </w:r>
    </w:p>
    <w:p>
      <w:pPr>
        <w:pStyle w:val="BodyText"/>
        <w:keepNext/>
        <w:spacing w:before="120" w:after="40"/>
        <w:jc w:val="center"/>
      </w:pPr>
      <m:oMathPara>
        <m:oMathParaPr>
          <m:jc m:val="center"/>
        </m:oMathParaPr>
        <m:oMath>
          <m:bar>
            <m:barPr>
              <m:pos m:val="top"/>
            </m:barPr>
            <m:e>
              <m:r>
                <m:t>C</m:t>
              </m:r>
            </m:e>
          </m:bar>
          <m:d>
            <m:dPr>
              <m:begChr m:val="("/>
              <m:endChr m:val=")"/>
              <m:sepChr m:val=""/>
              <m:grow/>
            </m:dPr>
            <m:e>
              <m:r>
                <m:t>κ</m:t>
              </m:r>
              <m:r>
                <m:rPr>
                  <m:sty m:val="p"/>
                </m:rPr>
                <m:t>,</m:t>
              </m:r>
              <m:r>
                <m:t>T</m:t>
              </m:r>
            </m:e>
          </m:d>
          <m:r>
            <m:rPr>
              <m:sty m:val="p"/>
            </m:rPr>
            <m:t>=</m:t>
          </m:r>
          <m:f>
            <m:fPr>
              <m:type m:val="bar"/>
            </m:fPr>
            <m:num>
              <m:r>
                <m:t>C</m:t>
              </m:r>
              <m:d>
                <m:dPr>
                  <m:begChr m:val="("/>
                  <m:endChr m:val=")"/>
                  <m:sepChr m:val=""/>
                  <m:grow/>
                </m:dPr>
                <m:e>
                  <m:r>
                    <m:t>κ</m:t>
                  </m:r>
                  <m:r>
                    <m:t>F</m:t>
                  </m:r>
                  <m:d>
                    <m:dPr>
                      <m:begChr m:val="("/>
                      <m:endChr m:val=")"/>
                      <m:sepChr m:val=""/>
                      <m:grow/>
                    </m:dPr>
                    <m:e>
                      <m:r>
                        <m:t>T</m:t>
                      </m:r>
                    </m:e>
                  </m:d>
                  <m:r>
                    <m:rPr>
                      <m:sty m:val="p"/>
                    </m:rPr>
                    <m:t>,</m:t>
                  </m:r>
                  <m:r>
                    <m:t>T</m:t>
                  </m:r>
                </m:e>
              </m:d>
            </m:num>
            <m:den>
              <m:r>
                <m:t>D</m:t>
              </m:r>
              <m:d>
                <m:dPr>
                  <m:begChr m:val="("/>
                  <m:endChr m:val=")"/>
                  <m:sepChr m:val=""/>
                  <m:grow/>
                </m:dPr>
                <m:e>
                  <m:r>
                    <m:t>T</m:t>
                  </m:r>
                </m:e>
              </m:d>
              <m:r>
                <m:t>F</m:t>
              </m:r>
              <m:d>
                <m:dPr>
                  <m:begChr m:val="("/>
                  <m:endChr m:val=")"/>
                  <m:sepChr m:val=""/>
                  <m:grow/>
                </m:dPr>
                <m:e>
                  <m:r>
                    <m:t>T</m:t>
                  </m:r>
                </m:e>
              </m:d>
            </m:den>
          </m:f>
          <m:r>
            <m:rPr>
              <m:sty m:val="p"/>
            </m:rPr>
            <m:t>=</m:t>
          </m:r>
          <m:sSup>
            <m:e>
              <m:r>
                <m:rPr>
                  <m:sty m:val="p"/>
                  <m:scr m:val="double-struck"/>
                </m:rPr>
                <m:t>E</m:t>
              </m:r>
            </m:e>
            <m:sup>
              <m:r>
                <m:t>Q</m:t>
              </m:r>
            </m:sup>
          </m:sSup>
          <m:r>
            <m:t>​</m:t>
          </m:r>
          <m:d>
            <m:dPr>
              <m:begChr m:val="["/>
              <m:endChr m:val="]"/>
              <m:sepChr m:val=""/>
              <m:grow/>
            </m:dPr>
            <m:e>
              <m:sSub>
                <m:e>
                  <m:d>
                    <m:dPr>
                      <m:begChr m:val="("/>
                      <m:endChr m:val=")"/>
                      <m:sepChr m:val=""/>
                      <m:grow/>
                    </m:dPr>
                    <m:e>
                      <m:f>
                        <m:fPr>
                          <m:type m:val="bar"/>
                        </m:fPr>
                        <m:num>
                          <m:sSub>
                            <m:e>
                              <m:r>
                                <m:t>S</m:t>
                              </m:r>
                            </m:e>
                            <m:sub>
                              <m:r>
                                <m:t>T</m:t>
                              </m:r>
                            </m:sub>
                          </m:sSub>
                        </m:num>
                        <m:den>
                          <m:r>
                            <m:t>F</m:t>
                          </m:r>
                          <m:d>
                            <m:dPr>
                              <m:begChr m:val="("/>
                              <m:endChr m:val=")"/>
                              <m:sepChr m:val=""/>
                              <m:grow/>
                            </m:dPr>
                            <m:e>
                              <m:r>
                                <m:t>T</m:t>
                              </m:r>
                            </m:e>
                          </m:d>
                        </m:den>
                      </m:f>
                      <m:r>
                        <m:rPr>
                          <m:sty m:val="p"/>
                        </m:rPr>
                        <m:t>−</m:t>
                      </m:r>
                      <m:r>
                        <m:t>κ</m:t>
                      </m:r>
                    </m:e>
                  </m:d>
                </m:e>
                <m:sub>
                  <m:r>
                    <m:rPr>
                      <m:sty m:val="p"/>
                    </m:rPr>
                    <m:t>+</m:t>
                  </m:r>
                </m:sub>
              </m:sSub>
            </m:e>
          </m:d>
          <m:r>
            <m:rPr>
              <m:sty m:val="p"/>
            </m:rPr>
            <m:t>.</m:t>
          </m:r>
        </m:oMath>
      </m:oMathPara>
    </w:p>
    <w:p>
      <w:bookmarkStart w:id="551" w:name="equation13"/>
      <w:pPr>
        <w:pStyle w:val="EquationCaption"/>
      </w:pPr>
      <w:r>
        <w:t xml:space="preserve">Equation 13. Forward-normalised call value.</w:t>
      </w:r>
      <w:bookmarkEnd w:id="551"/>
    </w:p>
    <w:p>
      <w:pPr>
        <w:pStyle w:val="BodyText"/>
      </w:pPr>
      <w:r>
        <w:t xml:space="preserve">Under the project’s deterministic-carry and proportional-dividend assumptions, the implemented ordering is Equation (14). It is checked within an observation snapshot, not between separate observation dates.</w:t>
      </w:r>
    </w:p>
    <w:p>
      <w:pPr>
        <w:pStyle w:val="BodyText"/>
        <w:keepNext/>
        <w:spacing w:before="120" w:after="40"/>
        <w:jc w:val="center"/>
      </w:pPr>
      <m:oMathPara>
        <m:oMathParaPr>
          <m:jc m:val="center"/>
        </m:oMathParaPr>
        <m:oMath>
          <m:bar>
            <m:barPr>
              <m:pos m:val="top"/>
            </m:barPr>
            <m:e>
              <m:r>
                <m:t>C</m:t>
              </m:r>
            </m:e>
          </m:bar>
          <m:d>
            <m:dPr>
              <m:begChr m:val="("/>
              <m:endChr m:val=")"/>
              <m:sepChr m:val=""/>
              <m:grow/>
            </m:dPr>
            <m:e>
              <m:r>
                <m:t>κ</m:t>
              </m:r>
              <m:r>
                <m:rPr>
                  <m:sty m:val="p"/>
                </m:rPr>
                <m:t>,</m:t>
              </m:r>
              <m:sSub>
                <m:e>
                  <m:r>
                    <m:t>T</m:t>
                  </m:r>
                </m:e>
                <m:sub>
                  <m:r>
                    <m:t>i</m:t>
                  </m:r>
                  <m:r>
                    <m:rPr>
                      <m:sty m:val="p"/>
                    </m:rPr>
                    <m:t>+</m:t>
                  </m:r>
                  <m:r>
                    <m:t>1</m:t>
                  </m:r>
                </m:sub>
              </m:sSub>
            </m:e>
          </m:d>
          <m:r>
            <m:rPr>
              <m:sty m:val="p"/>
            </m:rPr>
            <m:t>≥</m:t>
          </m:r>
          <m:bar>
            <m:barPr>
              <m:pos m:val="top"/>
            </m:barPr>
            <m:e>
              <m:r>
                <m:t>C</m:t>
              </m:r>
            </m:e>
          </m:bar>
          <m:d>
            <m:dPr>
              <m:begChr m:val="("/>
              <m:endChr m:val=")"/>
              <m:sepChr m:val=""/>
              <m:grow/>
            </m:dPr>
            <m:e>
              <m:r>
                <m:t>κ</m:t>
              </m:r>
              <m:r>
                <m:rPr>
                  <m:sty m:val="p"/>
                </m:rPr>
                <m:t>,</m:t>
              </m:r>
              <m:sSub>
                <m:e>
                  <m:r>
                    <m:t>T</m:t>
                  </m:r>
                </m:e>
                <m:sub>
                  <m:r>
                    <m:t>i</m:t>
                  </m:r>
                </m:sub>
              </m:sSub>
            </m:e>
          </m:d>
          <m:r>
            <m:rPr>
              <m:sty m:val="p"/>
            </m:rPr>
            <m:t>,</m:t>
          </m:r>
          <m:r>
            <m:t>  </m:t>
          </m:r>
          <m:sSub>
            <m:e>
              <m:r>
                <m:t>T</m:t>
              </m:r>
            </m:e>
            <m:sub>
              <m:r>
                <m:t>i</m:t>
              </m:r>
              <m:r>
                <m:rPr>
                  <m:sty m:val="p"/>
                </m:rPr>
                <m:t>+</m:t>
              </m:r>
              <m:r>
                <m:t>1</m:t>
              </m:r>
            </m:sub>
          </m:sSub>
          <m:r>
            <m:rPr>
              <m:sty m:val="p"/>
            </m:rPr>
            <m:t>&gt;</m:t>
          </m:r>
          <m:sSub>
            <m:e>
              <m:r>
                <m:t>T</m:t>
              </m:r>
            </m:e>
            <m:sub>
              <m:r>
                <m:t>i</m:t>
              </m:r>
            </m:sub>
          </m:sSub>
          <m:r>
            <m:rPr>
              <m:sty m:val="p"/>
            </m:rPr>
            <m:t>.</m:t>
          </m:r>
        </m:oMath>
      </m:oMathPara>
    </w:p>
    <w:p>
      <w:bookmarkStart w:id="552" w:name="equation14"/>
      <w:pPr>
        <w:pStyle w:val="EquationCaption"/>
      </w:pPr>
      <w:r>
        <w:t xml:space="preserve">Equation 14. Cross-maturity consistency at fixed forward moneyness.</w:t>
      </w:r>
      <w:bookmarkEnd w:id="552"/>
    </w:p>
    <w:p>
      <w:pPr>
        <w:pStyle w:val="BodyText"/>
      </w:pPr>
      <w:r>
        <w:t xml:space="preserve">The initial independent fits retain 120 normalised bins on</w:t>
      </w:r>
      <w:r>
        <w:t xml:space="preserve"> </w:t>
      </w:r>
      <m:oMath>
        <m:d>
          <m:dPr>
            <m:begChr m:val="["/>
            <m:endChr m:val="]"/>
            <m:sepChr m:val=""/>
            <m:grow/>
          </m:dPr>
          <m:e>
            <m:r>
              <m:t>0.3</m:t>
            </m:r>
            <m:r>
              <m:rPr>
                <m:sty m:val="p"/>
              </m:rPr>
              <m:t>,</m:t>
            </m:r>
            <m:r>
              <m:t>2.2</m:t>
            </m:r>
          </m:e>
        </m:d>
      </m:oMath>
      <w:r>
        <w:t xml:space="preserve"> </w:t>
      </w:r>
      <w:r>
        <w:t xml:space="preserve">and</w:t>
      </w:r>
      <w:r>
        <w:t xml:space="preserve"> </w:t>
      </w:r>
      <m:oMath>
        <m:r>
          <m:t>λ</m:t>
        </m:r>
        <m:r>
          <m:rPr>
            <m:sty m:val="p"/>
          </m:rPr>
          <m:t>=</m:t>
        </m:r>
        <m:sSup>
          <m:e>
            <m:r>
              <m:t>10</m:t>
            </m:r>
          </m:e>
          <m:sup>
            <m:r>
              <m:rPr>
                <m:sty m:val="p"/>
              </m:rPr>
              <m:t>−</m:t>
            </m:r>
            <m:r>
              <m:t>6</m:t>
            </m:r>
          </m:sup>
        </m:sSup>
      </m:oMath>
      <w:r>
        <w:t xml:space="preserve">. Equation (15) defines their integrated absolute error on the fitting support. It is a project evaluation measure, not a claim that the estimator minimises density error.</w:t>
      </w:r>
    </w:p>
    <w:p>
      <w:pPr>
        <w:pStyle w:val="BodyText"/>
        <w:keepNext/>
        <w:spacing w:before="120" w:after="40"/>
        <w:jc w:val="center"/>
      </w:pPr>
      <m:oMathPara>
        <m:oMathParaPr>
          <m:jc m:val="center"/>
        </m:oMathParaPr>
        <m:oMath>
          <m:sSub>
            <m:e>
              <m:r>
                <m:t>L</m:t>
              </m:r>
            </m:e>
            <m:sub>
              <m:r>
                <m:t>1</m:t>
              </m:r>
            </m:sub>
          </m:sSub>
          <m:d>
            <m:dPr>
              <m:begChr m:val="("/>
              <m:endChr m:val=")"/>
              <m:sepChr m:val=""/>
              <m:grow/>
            </m:dPr>
            <m:e>
              <m:r>
                <m:t>T</m:t>
              </m:r>
            </m:e>
          </m:d>
          <m:r>
            <m:rPr>
              <m:sty m:val="p"/>
            </m:rPr>
            <m:t>=</m:t>
          </m:r>
          <m:nary>
            <m:naryPr>
              <m:chr m:val="∫"/>
              <m:limLoc m:val="subSup"/>
              <m:subHide m:val="off"/>
              <m:supHide m:val="off"/>
            </m:naryPr>
            <m:sub>
              <m:sSub>
                <m:e>
                  <m:r>
                    <m:t>a</m:t>
                  </m:r>
                </m:e>
                <m:sub>
                  <m:r>
                    <m:t>1</m:t>
                  </m:r>
                </m:sub>
              </m:sSub>
              <m:d>
                <m:dPr>
                  <m:begChr m:val="("/>
                  <m:endChr m:val=")"/>
                  <m:sepChr m:val=""/>
                  <m:grow/>
                </m:dPr>
                <m:e>
                  <m:r>
                    <m:t>T</m:t>
                  </m:r>
                </m:e>
              </m:d>
            </m:sub>
            <m:sup>
              <m:sSub>
                <m:e>
                  <m:r>
                    <m:t>b</m:t>
                  </m:r>
                </m:e>
                <m:sub>
                  <m:r>
                    <m:t>J</m:t>
                  </m:r>
                </m:sub>
              </m:sSub>
              <m:d>
                <m:dPr>
                  <m:begChr m:val="("/>
                  <m:endChr m:val=")"/>
                  <m:sepChr m:val=""/>
                  <m:grow/>
                </m:dPr>
                <m:e>
                  <m:r>
                    <m:t>T</m:t>
                  </m:r>
                </m:e>
              </m:d>
            </m:sup>
            <m:e>
              <m:d>
                <m:dPr>
                  <m:begChr m:val="|"/>
                  <m:endChr m:val="|"/>
                  <m:sepChr m:val=""/>
                  <m:grow/>
                </m:dPr>
                <m:e>
                  <m:sSub>
                    <m:e>
                      <m:acc>
                        <m:accPr>
                          <m:chr m:val="̂"/>
                        </m:accPr>
                        <m:e>
                          <m:r>
                            <m:t>f</m:t>
                          </m:r>
                        </m:e>
                      </m:acc>
                    </m:e>
                    <m:sub>
                      <m:r>
                        <m:t>Q</m:t>
                      </m:r>
                    </m:sub>
                  </m:sSub>
                  <m:d>
                    <m:dPr>
                      <m:begChr m:val="("/>
                      <m:endChr m:val=")"/>
                      <m:sepChr m:val=""/>
                      <m:grow/>
                    </m:dPr>
                    <m:e>
                      <m:r>
                        <m:t>s</m:t>
                      </m:r>
                      <m:r>
                        <m:rPr>
                          <m:sty m:val="p"/>
                        </m:rPr>
                        <m:t>;</m:t>
                      </m:r>
                      <m:r>
                        <m:t>T</m:t>
                      </m:r>
                    </m:e>
                  </m:d>
                  <m:r>
                    <m:rPr>
                      <m:sty m:val="p"/>
                    </m:rPr>
                    <m:t>−</m:t>
                  </m:r>
                  <m:sSub>
                    <m:e>
                      <m:r>
                        <m:t>f</m:t>
                      </m:r>
                    </m:e>
                    <m:sub>
                      <m:r>
                        <m:t>Q</m:t>
                      </m:r>
                    </m:sub>
                  </m:sSub>
                  <m:d>
                    <m:dPr>
                      <m:begChr m:val="("/>
                      <m:endChr m:val=")"/>
                      <m:sepChr m:val=""/>
                      <m:grow/>
                    </m:dPr>
                    <m:e>
                      <m:r>
                        <m:t>s</m:t>
                      </m:r>
                      <m:r>
                        <m:rPr>
                          <m:sty m:val="p"/>
                        </m:rPr>
                        <m:t>;</m:t>
                      </m:r>
                      <m:r>
                        <m:t>T</m:t>
                      </m:r>
                    </m:e>
                  </m:d>
                </m:e>
              </m:d>
            </m:e>
          </m:nary>
          <m:r>
            <m:t> </m:t>
          </m:r>
          <m:r>
            <m:t>d</m:t>
          </m:r>
          <m:r>
            <m:t>s</m:t>
          </m:r>
          <m:r>
            <m:rPr>
              <m:sty m:val="p"/>
            </m:rPr>
            <m:t>.</m:t>
          </m:r>
        </m:oMath>
      </m:oMathPara>
    </w:p>
    <w:p>
      <w:bookmarkStart w:id="553" w:name="equation15"/>
      <w:pPr>
        <w:pStyle w:val="EquationCaption"/>
      </w:pPr>
      <w:r>
        <w:t xml:space="preserve">Equation 15. Integrated absolute density error on fitting support.</w:t>
      </w:r>
      <w:bookmarkEnd w:id="553"/>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586"/>
        <w:gridCol w:w="2394"/>
        <w:gridCol w:w="2394"/>
        <w:gridCol w:w="2202"/>
      </w:tblGrid>
      <w:tr>
        <w:trPr>
          <w:tblHeader w:val="true"/>
          <w:cantSplit/>
          <w:tblHeader/>
        </w:trPr>
        <w:tc>
          <w:tcPr>
            <w:tcW w:type="dxa" w:w="2586"/>
            <w:vAlign w:val="center"/>
            <w:shd w:fill="E9EEF3"/>
          </w:tcPr>
          <w:p>
            <w:pPr>
              <w:pStyle w:val="Compact"/>
              <w:keepNext/>
              <w:keepLines/>
              <w:spacing w:after="40" w:before="40" w:line="252" w:lineRule="auto"/>
              <w:jc w:val="left"/>
            </w:pPr>
            <w:r>
              <w:rPr>
                <w:b/>
                <w:sz w:val="21"/>
              </w:rPr>
              <w:t xml:space="preserve">Horizon (days)</w:t>
            </w:r>
          </w:p>
        </w:tc>
        <w:tc>
          <w:tcPr>
            <w:tcW w:type="dxa" w:w="2394"/>
            <w:vAlign w:val="center"/>
            <w:shd w:fill="E9EEF3"/>
          </w:tcPr>
          <w:p>
            <w:pPr>
              <w:pStyle w:val="Compact"/>
              <w:keepNext/>
              <w:keepLines/>
              <w:spacing w:after="40" w:before="40" w:line="252" w:lineRule="auto"/>
              <w:jc w:val="right"/>
            </w:pPr>
            <w:r>
              <w:rPr>
                <w:b/>
                <w:sz w:val="21"/>
              </w:rPr>
              <w:t xml:space="preserve">Withheld clean-price RMSE</w:t>
            </w:r>
          </w:p>
        </w:tc>
        <w:tc>
          <w:tcPr>
            <w:tcW w:type="dxa" w:w="2394"/>
            <w:vAlign w:val="center"/>
            <w:shd w:fill="E9EEF3"/>
          </w:tcPr>
          <w:p>
            <w:pPr>
              <w:pStyle w:val="Compact"/>
              <w:keepNext/>
              <w:keepLines/>
              <w:spacing w:after="40" w:before="40" w:line="252" w:lineRule="auto"/>
              <w:jc w:val="right"/>
            </w:pPr>
            <w:r>
              <w:rPr>
                <w:b/>
                <w:sz w:val="21"/>
              </w:rPr>
              <w:t xml:space="preserve">Density</w:t>
            </w:r>
            <w:r>
              <w:rPr>
                <w:b/>
                <w:sz w:val="21"/>
              </w:rPr>
              <w:t xml:space="preserve"> </w:t>
            </w:r>
            <m:oMath>
              <m:sSub>
                <m:e>
                  <m:r>
                    <m:t>L</m:t>
                  </m:r>
                </m:e>
                <m:sub>
                  <m:r>
                    <m:t>1</m:t>
                  </m:r>
                </m:sub>
              </m:sSub>
            </m:oMath>
            <w:r>
              <w:rPr>
                <w:b/>
                <w:sz w:val="21"/>
              </w:rPr>
              <w:t xml:space="preserve"> </w:t>
            </w:r>
            <w:r>
              <w:rPr>
                <w:b/>
                <w:sz w:val="21"/>
              </w:rPr>
              <w:t xml:space="preserve">on support</w:t>
            </w:r>
          </w:p>
        </w:tc>
        <w:tc>
          <w:tcPr>
            <w:tcW w:type="dxa" w:w="2202"/>
            <w:vAlign w:val="center"/>
            <w:shd w:fill="E9EEF3"/>
          </w:tcPr>
          <w:p>
            <w:pPr>
              <w:pStyle w:val="Compact"/>
              <w:keepNext/>
              <w:keepLines/>
              <w:spacing w:after="40" w:before="40" w:line="252" w:lineRule="auto"/>
              <w:jc w:val="right"/>
            </w:pPr>
            <w:r>
              <w:rPr>
                <w:b/>
                <w:sz w:val="21"/>
              </w:rPr>
              <w:t xml:space="preserve">Known probability outside support</w:t>
            </w:r>
          </w:p>
        </w:tc>
      </w:tr>
      <w:tr>
        <w:trPr>
          <w:cantSplit/>
        </w:trPr>
        <w:tc>
          <w:tcPr>
            <w:tcW w:type="dxa" w:w="2586"/>
            <w:vAlign w:val="center"/>
          </w:tcPr>
          <w:p>
            <w:pPr>
              <w:pStyle w:val="Compact"/>
              <w:keepNext/>
              <w:keepLines/>
              <w:spacing w:after="40" w:before="40" w:line="252" w:lineRule="auto"/>
              <w:jc w:val="right"/>
            </w:pPr>
            <w:r>
              <w:rPr>
                <w:b w:val="0"/>
                <w:sz w:val="21"/>
              </w:rPr>
              <w:t xml:space="preserve">30</w:t>
            </w:r>
          </w:p>
        </w:tc>
        <w:tc>
          <w:tcPr>
            <w:tcW w:type="dxa" w:w="2394"/>
            <w:vAlign w:val="center"/>
          </w:tcPr>
          <w:p>
            <w:pPr>
              <w:pStyle w:val="Compact"/>
              <w:keepNext/>
              <w:keepLines/>
              <w:spacing w:after="40" w:before="40" w:line="252" w:lineRule="auto"/>
              <w:jc w:val="right"/>
            </w:pPr>
            <w:r>
              <w:rPr>
                <w:b w:val="0"/>
                <w:sz w:val="21"/>
              </w:rPr>
              <w:t xml:space="preserve">0.127809</w:t>
            </w:r>
          </w:p>
        </w:tc>
        <w:tc>
          <w:tcPr>
            <w:tcW w:type="dxa" w:w="2394"/>
            <w:vAlign w:val="center"/>
          </w:tcPr>
          <w:p>
            <w:pPr>
              <w:pStyle w:val="Compact"/>
              <w:keepNext/>
              <w:keepLines/>
              <w:spacing w:after="40" w:before="40" w:line="252" w:lineRule="auto"/>
              <w:jc w:val="right"/>
            </w:pPr>
            <w:r>
              <w:rPr>
                <w:b w:val="0"/>
                <w:sz w:val="21"/>
              </w:rPr>
              <w:t xml:space="preserve">0.058293</w:t>
            </w:r>
          </w:p>
        </w:tc>
        <w:tc>
          <w:tcPr>
            <w:tcW w:type="dxa" w:w="2202"/>
            <w:vAlign w:val="center"/>
          </w:tcPr>
          <w:p>
            <w:pPr>
              <w:pStyle w:val="Compact"/>
              <w:keepNext/>
              <w:keepLines/>
              <w:spacing w:after="40" w:before="40" w:line="252" w:lineRule="auto"/>
              <w:jc w:val="right"/>
            </w:pPr>
            <m:oMath>
              <m:r>
                <m:t>1.6893</m:t>
              </m:r>
              <m:r>
                <m:rPr>
                  <m:sty m:val="p"/>
                </m:rPr>
                <m:t>×</m:t>
              </m:r>
              <m:sSup>
                <m:e>
                  <m:r>
                    <m:t>10</m:t>
                  </m:r>
                </m:e>
                <m:sup>
                  <m:r>
                    <m:rPr>
                      <m:sty m:val="p"/>
                    </m:rPr>
                    <m:t>−</m:t>
                  </m:r>
                  <m:r>
                    <m:t>43</m:t>
                  </m:r>
                </m:sup>
              </m:sSup>
            </m:oMath>
          </w:p>
        </w:tc>
      </w:tr>
      <w:tr>
        <w:trPr>
          <w:cantSplit/>
        </w:trPr>
        <w:tc>
          <w:tcPr>
            <w:tcW w:type="dxa" w:w="2586"/>
            <w:vAlign w:val="center"/>
          </w:tcPr>
          <w:p>
            <w:pPr>
              <w:pStyle w:val="Compact"/>
              <w:keepNext/>
              <w:keepLines/>
              <w:spacing w:after="40" w:before="40" w:line="252" w:lineRule="auto"/>
              <w:jc w:val="right"/>
            </w:pPr>
            <w:r>
              <w:rPr>
                <w:b w:val="0"/>
                <w:sz w:val="21"/>
              </w:rPr>
              <w:t xml:space="preserve">60</w:t>
            </w:r>
          </w:p>
        </w:tc>
        <w:tc>
          <w:tcPr>
            <w:tcW w:type="dxa" w:w="2394"/>
            <w:vAlign w:val="center"/>
          </w:tcPr>
          <w:p>
            <w:pPr>
              <w:pStyle w:val="Compact"/>
              <w:keepNext/>
              <w:keepLines/>
              <w:spacing w:after="40" w:before="40" w:line="252" w:lineRule="auto"/>
              <w:jc w:val="right"/>
            </w:pPr>
            <w:r>
              <w:rPr>
                <w:b w:val="0"/>
                <w:sz w:val="21"/>
              </w:rPr>
              <w:t xml:space="preserve">0.109230</w:t>
            </w:r>
          </w:p>
        </w:tc>
        <w:tc>
          <w:tcPr>
            <w:tcW w:type="dxa" w:w="2394"/>
            <w:vAlign w:val="center"/>
          </w:tcPr>
          <w:p>
            <w:pPr>
              <w:pStyle w:val="Compact"/>
              <w:keepNext/>
              <w:keepLines/>
              <w:spacing w:after="40" w:before="40" w:line="252" w:lineRule="auto"/>
              <w:jc w:val="right"/>
            </w:pPr>
            <w:r>
              <w:rPr>
                <w:b w:val="0"/>
                <w:sz w:val="21"/>
              </w:rPr>
              <w:t xml:space="preserve">0.042719</w:t>
            </w:r>
          </w:p>
        </w:tc>
        <w:tc>
          <w:tcPr>
            <w:tcW w:type="dxa" w:w="2202"/>
            <w:vAlign w:val="center"/>
          </w:tcPr>
          <w:p>
            <w:pPr>
              <w:pStyle w:val="Compact"/>
              <w:keepNext/>
              <w:keepLines/>
              <w:spacing w:after="40" w:before="40" w:line="252" w:lineRule="auto"/>
              <w:jc w:val="right"/>
            </w:pPr>
            <m:oMath>
              <m:r>
                <m:t>8.0373</m:t>
              </m:r>
              <m:r>
                <m:rPr>
                  <m:sty m:val="p"/>
                </m:rPr>
                <m:t>×</m:t>
              </m:r>
              <m:sSup>
                <m:e>
                  <m:r>
                    <m:t>10</m:t>
                  </m:r>
                </m:e>
                <m:sup>
                  <m:r>
                    <m:rPr>
                      <m:sty m:val="p"/>
                    </m:rPr>
                    <m:t>−</m:t>
                  </m:r>
                  <m:r>
                    <m:t>23</m:t>
                  </m:r>
                </m:sup>
              </m:sSup>
            </m:oMath>
          </w:p>
        </w:tc>
      </w:tr>
      <w:tr>
        <w:trPr>
          <w:cantSplit/>
        </w:trPr>
        <w:tc>
          <w:tcPr>
            <w:tcW w:type="dxa" w:w="2586"/>
            <w:vAlign w:val="center"/>
          </w:tcPr>
          <w:p>
            <w:pPr>
              <w:pStyle w:val="Compact"/>
              <w:keepNext/>
              <w:keepLines/>
              <w:spacing w:after="40" w:before="40" w:line="252" w:lineRule="auto"/>
              <w:jc w:val="right"/>
            </w:pPr>
            <w:r>
              <w:rPr>
                <w:b w:val="0"/>
                <w:sz w:val="21"/>
              </w:rPr>
              <w:t xml:space="preserve">90</w:t>
            </w:r>
          </w:p>
        </w:tc>
        <w:tc>
          <w:tcPr>
            <w:tcW w:type="dxa" w:w="2394"/>
            <w:vAlign w:val="center"/>
          </w:tcPr>
          <w:p>
            <w:pPr>
              <w:pStyle w:val="Compact"/>
              <w:keepNext/>
              <w:keepLines/>
              <w:spacing w:after="40" w:before="40" w:line="252" w:lineRule="auto"/>
              <w:jc w:val="right"/>
            </w:pPr>
            <w:r>
              <w:rPr>
                <w:b w:val="0"/>
                <w:sz w:val="21"/>
              </w:rPr>
              <w:t xml:space="preserve">0.131872</w:t>
            </w:r>
          </w:p>
        </w:tc>
        <w:tc>
          <w:tcPr>
            <w:tcW w:type="dxa" w:w="2394"/>
            <w:vAlign w:val="center"/>
          </w:tcPr>
          <w:p>
            <w:pPr>
              <w:pStyle w:val="Compact"/>
              <w:keepNext/>
              <w:keepLines/>
              <w:spacing w:after="40" w:before="40" w:line="252" w:lineRule="auto"/>
              <w:jc w:val="right"/>
            </w:pPr>
            <w:r>
              <w:rPr>
                <w:b w:val="0"/>
                <w:sz w:val="21"/>
              </w:rPr>
              <w:t xml:space="preserve">0.036594</w:t>
            </w:r>
          </w:p>
        </w:tc>
        <w:tc>
          <w:tcPr>
            <w:tcW w:type="dxa" w:w="2202"/>
            <w:vAlign w:val="center"/>
          </w:tcPr>
          <w:p>
            <w:pPr>
              <w:pStyle w:val="Compact"/>
              <w:keepNext/>
              <w:keepLines/>
              <w:spacing w:after="40" w:before="40" w:line="252" w:lineRule="auto"/>
              <w:jc w:val="right"/>
            </w:pPr>
            <m:oMath>
              <m:r>
                <m:t>6.8132</m:t>
              </m:r>
              <m:r>
                <m:rPr>
                  <m:sty m:val="p"/>
                </m:rPr>
                <m:t>×</m:t>
              </m:r>
              <m:sSup>
                <m:e>
                  <m:r>
                    <m:t>10</m:t>
                  </m:r>
                </m:e>
                <m:sup>
                  <m:r>
                    <m:rPr>
                      <m:sty m:val="p"/>
                    </m:rPr>
                    <m:t>−</m:t>
                  </m:r>
                  <m:r>
                    <m:t>16</m:t>
                  </m:r>
                </m:sup>
              </m:sSup>
            </m:oMath>
          </w:p>
        </w:tc>
      </w:tr>
      <w:tr>
        <w:trPr>
          <w:cantSplit/>
        </w:trPr>
        <w:tc>
          <w:tcPr>
            <w:tcW w:type="dxa" w:w="2586"/>
            <w:vAlign w:val="center"/>
          </w:tcPr>
          <w:p>
            <w:pPr>
              <w:pStyle w:val="Compact"/>
              <w:keepNext/>
              <w:keepLines/>
              <w:spacing w:after="40" w:before="40" w:line="252" w:lineRule="auto"/>
              <w:jc w:val="right"/>
            </w:pPr>
            <w:r>
              <w:rPr>
                <w:b w:val="0"/>
                <w:sz w:val="21"/>
              </w:rPr>
              <w:t xml:space="preserve">120</w:t>
            </w:r>
          </w:p>
        </w:tc>
        <w:tc>
          <w:tcPr>
            <w:tcW w:type="dxa" w:w="2394"/>
            <w:vAlign w:val="center"/>
          </w:tcPr>
          <w:p>
            <w:pPr>
              <w:pStyle w:val="Compact"/>
              <w:keepNext/>
              <w:keepLines/>
              <w:spacing w:after="40" w:before="40" w:line="252" w:lineRule="auto"/>
              <w:jc w:val="right"/>
            </w:pPr>
            <w:r>
              <w:rPr>
                <w:b w:val="0"/>
                <w:sz w:val="21"/>
              </w:rPr>
              <w:t xml:space="preserve">0.096013</w:t>
            </w:r>
          </w:p>
        </w:tc>
        <w:tc>
          <w:tcPr>
            <w:tcW w:type="dxa" w:w="2394"/>
            <w:vAlign w:val="center"/>
          </w:tcPr>
          <w:p>
            <w:pPr>
              <w:pStyle w:val="Compact"/>
              <w:keepNext/>
              <w:keepLines/>
              <w:spacing w:after="40" w:before="40" w:line="252" w:lineRule="auto"/>
              <w:jc w:val="right"/>
            </w:pPr>
            <w:r>
              <w:rPr>
                <w:b w:val="0"/>
                <w:sz w:val="21"/>
              </w:rPr>
              <w:t xml:space="preserve">0.030898</w:t>
            </w:r>
          </w:p>
        </w:tc>
        <w:tc>
          <w:tcPr>
            <w:tcW w:type="dxa" w:w="2202"/>
            <w:vAlign w:val="center"/>
          </w:tcPr>
          <w:p>
            <w:pPr>
              <w:pStyle w:val="Compact"/>
              <w:keepNext/>
              <w:keepLines/>
              <w:spacing w:after="40" w:before="40" w:line="252" w:lineRule="auto"/>
              <w:jc w:val="right"/>
            </w:pPr>
            <m:oMath>
              <m:r>
                <m:t>2.0625</m:t>
              </m:r>
              <m:r>
                <m:rPr>
                  <m:sty m:val="p"/>
                </m:rPr>
                <m:t>×</m:t>
              </m:r>
              <m:sSup>
                <m:e>
                  <m:r>
                    <m:t>10</m:t>
                  </m:r>
                </m:e>
                <m:sup>
                  <m:r>
                    <m:rPr>
                      <m:sty m:val="p"/>
                    </m:rPr>
                    <m:t>−</m:t>
                  </m:r>
                  <m:r>
                    <m:t>12</m:t>
                  </m:r>
                </m:sup>
              </m:sSup>
            </m:oMath>
          </w:p>
        </w:tc>
      </w:tr>
      <w:tr>
        <w:trPr>
          <w:cantSplit/>
        </w:trPr>
        <w:tc>
          <w:tcPr>
            <w:tcW w:type="dxa" w:w="2586"/>
            <w:vAlign w:val="center"/>
          </w:tcPr>
          <w:p>
            <w:pPr>
              <w:pStyle w:val="Compact"/>
              <w:keepNext/>
              <w:keepLines/>
              <w:spacing w:after="40" w:before="40" w:line="252" w:lineRule="auto"/>
              <w:jc w:val="right"/>
            </w:pPr>
            <w:r>
              <w:rPr>
                <w:b w:val="0"/>
                <w:sz w:val="21"/>
              </w:rPr>
              <w:t xml:space="preserve">180</w:t>
            </w:r>
          </w:p>
        </w:tc>
        <w:tc>
          <w:tcPr>
            <w:tcW w:type="dxa" w:w="2394"/>
            <w:vAlign w:val="center"/>
          </w:tcPr>
          <w:p>
            <w:pPr>
              <w:pStyle w:val="Compact"/>
              <w:keepNext/>
              <w:keepLines/>
              <w:spacing w:after="40" w:before="40" w:line="252" w:lineRule="auto"/>
              <w:jc w:val="right"/>
            </w:pPr>
            <w:r>
              <w:rPr>
                <w:b w:val="0"/>
                <w:sz w:val="21"/>
              </w:rPr>
              <w:t xml:space="preserve">0.083350</w:t>
            </w:r>
          </w:p>
        </w:tc>
        <w:tc>
          <w:tcPr>
            <w:tcW w:type="dxa" w:w="2394"/>
            <w:vAlign w:val="center"/>
          </w:tcPr>
          <w:p>
            <w:pPr>
              <w:pStyle w:val="Compact"/>
              <w:keepNext/>
              <w:keepLines/>
              <w:spacing w:after="40" w:before="40" w:line="252" w:lineRule="auto"/>
              <w:jc w:val="right"/>
            </w:pPr>
            <w:r>
              <w:rPr>
                <w:b w:val="0"/>
                <w:sz w:val="21"/>
              </w:rPr>
              <w:t xml:space="preserve">0.027398</w:t>
            </w:r>
          </w:p>
        </w:tc>
        <w:tc>
          <w:tcPr>
            <w:tcW w:type="dxa" w:w="2202"/>
            <w:vAlign w:val="center"/>
          </w:tcPr>
          <w:p>
            <w:pPr>
              <w:pStyle w:val="Compact"/>
              <w:keepNext/>
              <w:keepLines/>
              <w:spacing w:after="40" w:before="40" w:line="252" w:lineRule="auto"/>
              <w:jc w:val="right"/>
            </w:pPr>
            <m:oMath>
              <m:r>
                <m:t>6.5773</m:t>
              </m:r>
              <m:r>
                <m:rPr>
                  <m:sty m:val="p"/>
                </m:rPr>
                <m:t>×</m:t>
              </m:r>
              <m:sSup>
                <m:e>
                  <m:r>
                    <m:t>10</m:t>
                  </m:r>
                </m:e>
                <m:sup>
                  <m:r>
                    <m:rPr>
                      <m:sty m:val="p"/>
                    </m:rPr>
                    <m:t>−</m:t>
                  </m:r>
                  <m:r>
                    <m:t>9</m:t>
                  </m:r>
                </m:sup>
              </m:sSup>
            </m:oMath>
          </w:p>
        </w:tc>
      </w:tr>
      <w:tr>
        <w:trPr>
          <w:cantSplit/>
        </w:trPr>
        <w:tc>
          <w:tcPr>
            <w:tcW w:type="dxa" w:w="2586"/>
            <w:vAlign w:val="center"/>
          </w:tcPr>
          <w:p>
            <w:pPr>
              <w:pStyle w:val="Compact"/>
              <w:keepNext/>
              <w:keepLines/>
              <w:spacing w:after="40" w:before="40" w:line="252" w:lineRule="auto"/>
              <w:jc w:val="right"/>
            </w:pPr>
            <w:r>
              <w:rPr>
                <w:b w:val="0"/>
                <w:sz w:val="21"/>
              </w:rPr>
              <w:t xml:space="preserve">240</w:t>
            </w:r>
          </w:p>
        </w:tc>
        <w:tc>
          <w:tcPr>
            <w:tcW w:type="dxa" w:w="2394"/>
            <w:vAlign w:val="center"/>
          </w:tcPr>
          <w:p>
            <w:pPr>
              <w:pStyle w:val="Compact"/>
              <w:keepNext/>
              <w:keepLines/>
              <w:spacing w:after="40" w:before="40" w:line="252" w:lineRule="auto"/>
              <w:jc w:val="right"/>
            </w:pPr>
            <w:r>
              <w:rPr>
                <w:b w:val="0"/>
                <w:sz w:val="21"/>
              </w:rPr>
              <w:t xml:space="preserve">0.149516</w:t>
            </w:r>
          </w:p>
        </w:tc>
        <w:tc>
          <w:tcPr>
            <w:tcW w:type="dxa" w:w="2394"/>
            <w:vAlign w:val="center"/>
          </w:tcPr>
          <w:p>
            <w:pPr>
              <w:pStyle w:val="Compact"/>
              <w:keepNext/>
              <w:keepLines/>
              <w:spacing w:after="40" w:before="40" w:line="252" w:lineRule="auto"/>
              <w:jc w:val="right"/>
            </w:pPr>
            <w:r>
              <w:rPr>
                <w:b w:val="0"/>
                <w:sz w:val="21"/>
              </w:rPr>
              <w:t xml:space="preserve">0.026950</w:t>
            </w:r>
          </w:p>
        </w:tc>
        <w:tc>
          <w:tcPr>
            <w:tcW w:type="dxa" w:w="2202"/>
            <w:vAlign w:val="center"/>
          </w:tcPr>
          <w:p>
            <w:pPr>
              <w:pStyle w:val="Compact"/>
              <w:keepNext/>
              <w:keepLines/>
              <w:spacing w:after="40" w:before="40" w:line="252" w:lineRule="auto"/>
              <w:jc w:val="right"/>
            </w:pPr>
            <m:oMath>
              <m:r>
                <m:t>3.8505</m:t>
              </m:r>
              <m:r>
                <m:rPr>
                  <m:sty m:val="p"/>
                </m:rPr>
                <m:t>×</m:t>
              </m:r>
              <m:sSup>
                <m:e>
                  <m:r>
                    <m:t>10</m:t>
                  </m:r>
                </m:e>
                <m:sup>
                  <m:r>
                    <m:rPr>
                      <m:sty m:val="p"/>
                    </m:rPr>
                    <m:t>−</m:t>
                  </m:r>
                  <m:r>
                    <m:t>7</m:t>
                  </m:r>
                </m:sup>
              </m:sSup>
            </m:oMath>
          </w:p>
        </w:tc>
      </w:tr>
      <w:tr>
        <w:trPr>
          <w:cantSplit/>
        </w:trPr>
        <w:tc>
          <w:tcPr>
            <w:tcW w:type="dxa" w:w="2586"/>
            <w:vAlign w:val="center"/>
          </w:tcPr>
          <w:p>
            <w:pPr>
              <w:pStyle w:val="Compact"/>
              <w:keepNext/>
              <w:keepLines/>
              <w:spacing w:after="40" w:before="40" w:line="252" w:lineRule="auto"/>
              <w:jc w:val="right"/>
            </w:pPr>
            <w:r>
              <w:rPr>
                <w:b w:val="0"/>
                <w:sz w:val="21"/>
              </w:rPr>
              <w:t xml:space="preserve">300</w:t>
            </w:r>
          </w:p>
        </w:tc>
        <w:tc>
          <w:tcPr>
            <w:tcW w:type="dxa" w:w="2394"/>
            <w:vAlign w:val="center"/>
          </w:tcPr>
          <w:p>
            <w:pPr>
              <w:pStyle w:val="Compact"/>
              <w:keepNext/>
              <w:keepLines/>
              <w:spacing w:after="40" w:before="40" w:line="252" w:lineRule="auto"/>
              <w:jc w:val="right"/>
            </w:pPr>
            <w:r>
              <w:rPr>
                <w:b w:val="0"/>
                <w:sz w:val="21"/>
              </w:rPr>
              <w:t xml:space="preserve">0.105392</w:t>
            </w:r>
          </w:p>
        </w:tc>
        <w:tc>
          <w:tcPr>
            <w:tcW w:type="dxa" w:w="2394"/>
            <w:vAlign w:val="center"/>
          </w:tcPr>
          <w:p>
            <w:pPr>
              <w:pStyle w:val="Compact"/>
              <w:keepNext/>
              <w:keepLines/>
              <w:spacing w:after="40" w:before="40" w:line="252" w:lineRule="auto"/>
              <w:jc w:val="right"/>
            </w:pPr>
            <w:r>
              <w:rPr>
                <w:b w:val="0"/>
                <w:sz w:val="21"/>
              </w:rPr>
              <w:t xml:space="preserve">0.025826</w:t>
            </w:r>
          </w:p>
        </w:tc>
        <w:tc>
          <w:tcPr>
            <w:tcW w:type="dxa" w:w="2202"/>
            <w:vAlign w:val="center"/>
          </w:tcPr>
          <w:p>
            <w:pPr>
              <w:pStyle w:val="Compact"/>
              <w:keepNext/>
              <w:keepLines/>
              <w:spacing w:after="40" w:before="40" w:line="252" w:lineRule="auto"/>
              <w:jc w:val="right"/>
            </w:pPr>
            <m:oMath>
              <m:r>
                <m:t>4.5167</m:t>
              </m:r>
              <m:r>
                <m:rPr>
                  <m:sty m:val="p"/>
                </m:rPr>
                <m:t>×</m:t>
              </m:r>
              <m:sSup>
                <m:e>
                  <m:r>
                    <m:t>10</m:t>
                  </m:r>
                </m:e>
                <m:sup>
                  <m:r>
                    <m:rPr>
                      <m:sty m:val="p"/>
                    </m:rPr>
                    <m:t>−</m:t>
                  </m:r>
                  <m:r>
                    <m:t>6</m:t>
                  </m:r>
                </m:sup>
              </m:sSup>
            </m:oMath>
          </w:p>
        </w:tc>
      </w:tr>
      <w:tr>
        <w:trPr>
          <w:cantSplit/>
        </w:trPr>
        <w:tc>
          <w:tcPr>
            <w:tcW w:type="dxa" w:w="2586"/>
            <w:vAlign w:val="center"/>
          </w:tcPr>
          <w:p>
            <w:pPr>
              <w:pStyle w:val="Compact"/>
              <w:keepNext/>
              <w:keepLines/>
              <w:spacing w:after="40" w:before="40" w:line="252" w:lineRule="auto"/>
              <w:jc w:val="right"/>
            </w:pPr>
            <w:r>
              <w:rPr>
                <w:b w:val="0"/>
                <w:sz w:val="21"/>
              </w:rPr>
              <w:t xml:space="preserve">365</w:t>
            </w:r>
          </w:p>
        </w:tc>
        <w:tc>
          <w:tcPr>
            <w:tcW w:type="dxa" w:w="2394"/>
            <w:vAlign w:val="center"/>
          </w:tcPr>
          <w:p>
            <w:pPr>
              <w:pStyle w:val="Compact"/>
              <w:keepNext/>
              <w:keepLines/>
              <w:spacing w:after="40" w:before="40" w:line="252" w:lineRule="auto"/>
              <w:jc w:val="right"/>
            </w:pPr>
            <w:r>
              <w:rPr>
                <w:b w:val="0"/>
                <w:sz w:val="21"/>
              </w:rPr>
              <w:t xml:space="preserve">0.137777</w:t>
            </w:r>
          </w:p>
        </w:tc>
        <w:tc>
          <w:tcPr>
            <w:tcW w:type="dxa" w:w="2394"/>
            <w:vAlign w:val="center"/>
          </w:tcPr>
          <w:p>
            <w:pPr>
              <w:pStyle w:val="Compact"/>
              <w:keepNext/>
              <w:keepLines/>
              <w:spacing w:after="40" w:before="40" w:line="252" w:lineRule="auto"/>
              <w:jc w:val="right"/>
            </w:pPr>
            <w:r>
              <w:rPr>
                <w:b w:val="0"/>
                <w:sz w:val="21"/>
              </w:rPr>
              <w:t xml:space="preserve">0.032580</w:t>
            </w:r>
          </w:p>
        </w:tc>
        <w:tc>
          <w:tcPr>
            <w:tcW w:type="dxa" w:w="2202"/>
            <w:vAlign w:val="center"/>
          </w:tcPr>
          <w:p>
            <w:pPr>
              <w:pStyle w:val="Compact"/>
              <w:keepNext/>
              <w:keepLines/>
              <w:spacing w:after="40" w:before="40" w:line="252" w:lineRule="auto"/>
              <w:jc w:val="right"/>
            </w:pPr>
            <m:oMath>
              <m:r>
                <m:t>2.6468</m:t>
              </m:r>
              <m:r>
                <m:rPr>
                  <m:sty m:val="p"/>
                </m:rPr>
                <m:t>×</m:t>
              </m:r>
              <m:sSup>
                <m:e>
                  <m:r>
                    <m:t>10</m:t>
                  </m:r>
                </m:e>
                <m:sup>
                  <m:r>
                    <m:rPr>
                      <m:sty m:val="p"/>
                    </m:rPr>
                    <m:t>−</m:t>
                  </m:r>
                  <m:r>
                    <m:t>5</m:t>
                  </m:r>
                </m:sup>
              </m:sSup>
            </m:oMath>
          </w:p>
        </w:tc>
      </w:tr>
    </w:tbl>
    <w:p>
      <w:bookmarkStart w:id="554" w:name="table7"/>
      <w:pPr>
        <w:pStyle w:val="TableCaption"/>
      </w:pPr>
      <w:r>
        <w:t xml:space="preserve">Table 7. Synthetic validation by expiry horizon. RMSE is measured in index points;</w:t>
      </w:r>
      <w:r>
        <w:t xml:space="preserve"> </w:t>
      </w:r>
      <m:oMath>
        <m:sSub>
          <m:e>
            <m:r>
              <m:t>L</m:t>
            </m:r>
          </m:e>
          <m:sub>
            <m:r>
              <m:t>1</m:t>
            </m:r>
          </m:sub>
        </m:sSub>
      </m:oMath>
      <w:r>
        <w:t xml:space="preserve"> </w:t>
      </w:r>
      <w:r>
        <w:t xml:space="preserve">and probability mass are dimensionless.</w:t>
      </w:r>
      <w:bookmarkEnd w:id="554"/>
    </w:p>
    <w:p>
      <w:pPr>
        <w:pStyle w:val="BodyText"/>
        <w:keepNext/>
        <w:spacing w:after="40"/>
        <w:jc w:val="center"/>
      </w:pPr>
      <w:r>
        <w:drawing>
          <wp:inline>
            <wp:extent cx="5334000" cy="3454399"/>
            <wp:effectExtent b="0" l="0" r="0" t="0"/>
            <wp:docPr descr="Synthetic multi-maturity density surface; interactive companion" title="" id="69" name="Picture"/>
            <a:graphic>
              <a:graphicData uri="http://schemas.openxmlformats.org/drawingml/2006/picture">
                <pic:pic>
                  <pic:nvPicPr>
                    <pic:cNvPr descr="/workspace/scratch/62b9274b9d7e/spx-density-research/figures/figure_10_maturity_surface.png" id="70" name="Picture"/>
                    <pic:cNvPicPr>
                      <a:picLocks noChangeArrowheads="1" noChangeAspect="1"/>
                    </pic:cNvPicPr>
                  </pic:nvPicPr>
                  <pic:blipFill>
                    <a:blip r:embed="rId68"/>
                    <a:stretch>
                      <a:fillRect/>
                    </a:stretch>
                  </pic:blipFill>
                  <pic:spPr bwMode="auto">
                    <a:xfrm>
                      <a:off x="0" y="0"/>
                      <a:ext cx="5334000" cy="3454399"/>
                    </a:xfrm>
                    <a:prstGeom prst="rect">
                      <a:avLst/>
                    </a:prstGeom>
                    <a:noFill/>
                    <a:ln w="9525">
                      <a:noFill/>
                      <a:headEnd/>
                      <a:tailEnd/>
                    </a:ln>
                  </pic:spPr>
                </pic:pic>
              </a:graphicData>
            </a:graphic>
          </wp:inline>
        </w:drawing>
      </w:r>
    </w:p>
    <w:p>
      <w:bookmarkStart w:id="555" w:name="figure10"/>
      <w:pPr>
        <w:pStyle w:val="FigureCaption"/>
      </w:pPr>
      <w:r>
        <w:t xml:space="preserve">Figure 10. Constrained synthetic densities at eight horizons from 30 to 365 days, displayed over terminal levels 3,000–11,000. The sheet joins sampled values for visual orientation; it is not a fitted interpolation model between maturities. Density is measured per index point. The interactive companion adds rotation, zoom, hover values and maturity selection.</w:t>
      </w:r>
      <w:bookmarkEnd w:id="555"/>
    </w:p>
    <w:p>
      <w:pPr>
        <w:sectPr>
          <w:type w:val="nextPage"/>
          <w:pgSz w:w="11906" w:h="16838" w:orient="portrait"/>
          <w:pgMar w:top="1008" w:bottom="1008" w:left="1152" w:right="1152" w:header="432" w:footer="432" w:gutter="0"/>
          <w:pgNumType w:fmt="decimal"/>
        </w:sectPr>
        <w:spacing w:before="0" w:after="0" w:line="1" w:lineRule="exact"/>
      </w:pPr>
      <w:r>
        <w:rPr>
          <w:sz w:val="2"/>
        </w:rPr>
      </w:r>
    </w:p>
    <w:p>
      <w:pPr>
        <w:pStyle w:val="BodyText"/>
        <w:keepNext/>
        <w:spacing w:after="40"/>
        <w:jc w:val="center"/>
      </w:pPr>
      <w:r>
        <w:drawing>
          <wp:inline>
            <wp:extent cx="5334000" cy="3733800"/>
            <wp:effectExtent b="0" l="0" r="0" t="0"/>
            <wp:docPr descr="Known and fitted density slices across horizons" title="" id="72" name="Picture"/>
            <a:graphic>
              <a:graphicData uri="http://schemas.openxmlformats.org/drawingml/2006/picture">
                <pic:pic>
                  <pic:nvPicPr>
                    <pic:cNvPr descr="/workspace/scratch/62b9274b9d7e/spx-density-research/figures/figure_11_maturity_slices.png" id="73" name="Picture"/>
                    <pic:cNvPicPr>
                      <a:picLocks noChangeArrowheads="1" noChangeAspect="1"/>
                    </pic:cNvPicPr>
                  </pic:nvPicPr>
                  <pic:blipFill>
                    <a:blip r:embed="rId71"/>
                    <a:stretch>
                      <a:fillRect/>
                    </a:stretch>
                  </pic:blipFill>
                  <pic:spPr bwMode="auto">
                    <a:xfrm>
                      <a:off x="0" y="0"/>
                      <a:ext cx="5334000" cy="3733800"/>
                    </a:xfrm>
                    <a:prstGeom prst="rect">
                      <a:avLst/>
                    </a:prstGeom>
                    <a:noFill/>
                    <a:ln w="9525">
                      <a:noFill/>
                      <a:headEnd/>
                      <a:tailEnd/>
                    </a:ln>
                  </pic:spPr>
                </pic:pic>
              </a:graphicData>
            </a:graphic>
          </wp:inline>
        </w:drawing>
      </w:r>
    </w:p>
    <w:p>
      <w:bookmarkStart w:id="556" w:name="figure11"/>
      <w:pPr>
        <w:pStyle w:val="FigureCaption"/>
      </w:pPr>
      <w:r>
        <w:t xml:space="preserve">Figure 11. Known lognormal densities and fitted histogram slices at 30, 90, 180 and 365 days. All panels use the same axes. The stepwise density is the actual interval representation, without display smoothing. The interactive companion permits selection of all eight fitted horizons.</w:t>
      </w:r>
      <w:bookmarkEnd w:id="556"/>
    </w:p>
    <w:p>
      <w:pPr>
        <w:sectPr>
          <w:type w:val="nextPage"/>
          <w:pgSz w:w="16838" w:h="11906" w:orient="landscape"/>
          <w:pgMar w:top="1008" w:bottom="1008" w:left="1152" w:right="1152" w:header="432" w:footer="432" w:gutter="0"/>
          <w:pgNumType w:fmt="decimal"/>
        </w:sectPr>
        <w:spacing w:before="0" w:after="0" w:line="1" w:lineRule="exact"/>
      </w:pPr>
      <w:r>
        <w:rPr>
          <w:sz w:val="2"/>
        </w:rPr>
      </w:r>
    </w:p>
    <w:p>
      <w:pPr>
        <w:pStyle w:val="BodyText"/>
      </w:pPr>
      <w:r>
        <w:t xml:space="preserve">The visual surface connects the fitted maturity slices for viewing. It is not an estimated continuous-time model. All individual distributions satisfy their probability restrictions, yet 2,762 of 13,307 sampled calendar comparisons fail at the stated tolerance. The worst normalised gap is approximately</w:t>
      </w:r>
      <w:r>
        <w:t xml:space="preserve"> </w:t>
      </w:r>
      <m:oMath>
        <m:r>
          <m:rPr>
            <m:sty m:val="p"/>
          </m:rPr>
          <m:t>−</m:t>
        </m:r>
        <m:r>
          <m:t>1.90808</m:t>
        </m:r>
        <m:r>
          <m:rPr>
            <m:sty m:val="p"/>
          </m:rPr>
          <m:t>×</m:t>
        </m:r>
        <m:sSup>
          <m:e>
            <m:r>
              <m:t>10</m:t>
            </m:r>
          </m:e>
          <m:sup>
            <m:r>
              <m:rPr>
                <m:sty m:val="p"/>
              </m:rPr>
              <m:t>−</m:t>
            </m:r>
            <m:r>
              <m:t>4</m:t>
            </m:r>
          </m:sup>
        </m:sSup>
      </m:oMath>
      <w:r>
        <w:t xml:space="preserve">. None of the 4,267 comparisons inside both adjacent quote ranges fail; the difficulty is concentrated where prices are extrapolated.</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586"/>
        <w:gridCol w:w="2394"/>
        <w:gridCol w:w="2394"/>
        <w:gridCol w:w="2202"/>
      </w:tblGrid>
      <w:tr>
        <w:trPr>
          <w:tblHeader w:val="true"/>
          <w:cantSplit/>
          <w:tblHeader/>
        </w:trPr>
        <w:tc>
          <w:tcPr>
            <w:tcW w:type="dxa" w:w="2586"/>
            <w:vAlign w:val="center"/>
            <w:shd w:fill="E9EEF3"/>
          </w:tcPr>
          <w:p>
            <w:pPr>
              <w:pStyle w:val="Compact"/>
              <w:keepNext/>
              <w:keepLines/>
              <w:spacing w:after="40" w:before="40" w:line="252" w:lineRule="auto"/>
              <w:jc w:val="left"/>
            </w:pPr>
            <w:r>
              <w:rPr>
                <w:b/>
                <w:sz w:val="21"/>
              </w:rPr>
              <w:t xml:space="preserve">Horizons (days)</w:t>
            </w:r>
          </w:p>
        </w:tc>
        <w:tc>
          <w:tcPr>
            <w:tcW w:type="dxa" w:w="2394"/>
            <w:vAlign w:val="center"/>
            <w:shd w:fill="E9EEF3"/>
          </w:tcPr>
          <w:p>
            <w:pPr>
              <w:pStyle w:val="Compact"/>
              <w:keepNext/>
              <w:keepLines/>
              <w:spacing w:after="40" w:before="40" w:line="252" w:lineRule="auto"/>
              <w:jc w:val="right"/>
            </w:pPr>
            <w:r>
              <w:rPr>
                <w:b/>
                <w:sz w:val="21"/>
              </w:rPr>
              <w:t xml:space="preserve">Violations across full grid</w:t>
            </w:r>
          </w:p>
        </w:tc>
        <w:tc>
          <w:tcPr>
            <w:tcW w:type="dxa" w:w="2394"/>
            <w:vAlign w:val="center"/>
            <w:shd w:fill="E9EEF3"/>
          </w:tcPr>
          <w:p>
            <w:pPr>
              <w:pStyle w:val="Compact"/>
              <w:keepNext/>
              <w:keepLines/>
              <w:spacing w:after="40" w:before="40" w:line="252" w:lineRule="auto"/>
              <w:jc w:val="right"/>
            </w:pPr>
            <w:r>
              <w:rPr>
                <w:b/>
                <w:sz w:val="21"/>
              </w:rPr>
              <w:t xml:space="preserve">Minimum normalised change</w:t>
            </w:r>
          </w:p>
        </w:tc>
        <w:tc>
          <w:tcPr>
            <w:tcW w:type="dxa" w:w="2202"/>
            <w:vAlign w:val="center"/>
            <w:shd w:fill="E9EEF3"/>
          </w:tcPr>
          <w:p>
            <w:pPr>
              <w:pStyle w:val="Compact"/>
              <w:keepNext/>
              <w:keepLines/>
              <w:spacing w:after="40" w:before="40" w:line="252" w:lineRule="auto"/>
              <w:jc w:val="right"/>
            </w:pPr>
            <w:r>
              <w:rPr>
                <w:b/>
                <w:sz w:val="21"/>
              </w:rPr>
              <w:t xml:space="preserve">Violations within shared quote range</w:t>
            </w:r>
          </w:p>
        </w:tc>
      </w:tr>
      <w:tr>
        <w:trPr>
          <w:cantSplit/>
        </w:trPr>
        <w:tc>
          <w:tcPr>
            <w:tcW w:type="dxa" w:w="2586"/>
            <w:vAlign w:val="center"/>
          </w:tcPr>
          <w:p>
            <w:pPr>
              <w:pStyle w:val="Compact"/>
              <w:keepNext/>
              <w:keepLines/>
              <w:spacing w:after="40" w:before="40" w:line="252" w:lineRule="auto"/>
              <w:jc w:val="right"/>
            </w:pPr>
            <w:r>
              <w:rPr>
                <w:b w:val="0"/>
                <w:sz w:val="21"/>
              </w:rPr>
              <w:t xml:space="preserve">30 → 60</w:t>
            </w:r>
          </w:p>
        </w:tc>
        <w:tc>
          <w:tcPr>
            <w:tcW w:type="dxa" w:w="2394"/>
            <w:vAlign w:val="center"/>
          </w:tcPr>
          <w:p>
            <w:pPr>
              <w:pStyle w:val="Compact"/>
              <w:keepNext/>
              <w:keepLines/>
              <w:spacing w:after="40" w:before="40" w:line="252" w:lineRule="auto"/>
              <w:jc w:val="right"/>
            </w:pPr>
            <w:r>
              <w:rPr>
                <w:b w:val="0"/>
                <w:sz w:val="21"/>
              </w:rPr>
              <w:t xml:space="preserve">0</w:t>
            </w:r>
          </w:p>
        </w:tc>
        <w:tc>
          <w:tcPr>
            <w:tcW w:type="dxa" w:w="2394"/>
            <w:vAlign w:val="center"/>
          </w:tcPr>
          <w:p>
            <w:pPr>
              <w:pStyle w:val="Compact"/>
              <w:keepNext/>
              <w:keepLines/>
              <w:spacing w:after="40" w:before="40" w:line="252" w:lineRule="auto"/>
              <w:jc w:val="right"/>
            </w:pPr>
            <m:oMath>
              <m:r>
                <m:rPr>
                  <m:sty m:val="p"/>
                </m:rPr>
                <m:t>−</m:t>
              </m:r>
              <m:r>
                <m:t>4.44</m:t>
              </m:r>
              <m:r>
                <m:rPr>
                  <m:sty m:val="p"/>
                </m:rPr>
                <m:t>×</m:t>
              </m:r>
              <m:sSup>
                <m:e>
                  <m:r>
                    <m:t>10</m:t>
                  </m:r>
                </m:e>
                <m:sup>
                  <m:r>
                    <m:rPr>
                      <m:sty m:val="p"/>
                    </m:rPr>
                    <m:t>−</m:t>
                  </m:r>
                  <m:r>
                    <m:t>16</m:t>
                  </m:r>
                </m:sup>
              </m:sSup>
            </m:oMath>
          </w:p>
        </w:tc>
        <w:tc>
          <w:tcPr>
            <w:tcW w:type="dxa" w:w="2202"/>
            <w:vAlign w:val="center"/>
          </w:tcPr>
          <w:p>
            <w:pPr>
              <w:pStyle w:val="Compact"/>
              <w:keepNext/>
              <w:keepLines/>
              <w:spacing w:after="40" w:before="40" w:line="252" w:lineRule="auto"/>
              <w:jc w:val="right"/>
            </w:pPr>
            <w:r>
              <w:rPr>
                <w:b w:val="0"/>
                <w:sz w:val="21"/>
              </w:rPr>
              <w:t xml:space="preserve">0</w:t>
            </w:r>
          </w:p>
        </w:tc>
      </w:tr>
      <w:tr>
        <w:trPr>
          <w:cantSplit/>
        </w:trPr>
        <w:tc>
          <w:tcPr>
            <w:tcW w:type="dxa" w:w="2586"/>
            <w:vAlign w:val="center"/>
          </w:tcPr>
          <w:p>
            <w:pPr>
              <w:pStyle w:val="Compact"/>
              <w:keepNext/>
              <w:keepLines/>
              <w:spacing w:after="40" w:before="40" w:line="252" w:lineRule="auto"/>
              <w:jc w:val="right"/>
            </w:pPr>
            <w:r>
              <w:rPr>
                <w:b w:val="0"/>
                <w:sz w:val="21"/>
              </w:rPr>
              <w:t xml:space="preserve">60 → 90</w:t>
            </w:r>
          </w:p>
        </w:tc>
        <w:tc>
          <w:tcPr>
            <w:tcW w:type="dxa" w:w="2394"/>
            <w:vAlign w:val="center"/>
          </w:tcPr>
          <w:p>
            <w:pPr>
              <w:pStyle w:val="Compact"/>
              <w:keepNext/>
              <w:keepLines/>
              <w:spacing w:after="40" w:before="40" w:line="252" w:lineRule="auto"/>
              <w:jc w:val="right"/>
            </w:pPr>
            <w:r>
              <w:rPr>
                <w:b w:val="0"/>
                <w:sz w:val="21"/>
              </w:rPr>
              <w:t xml:space="preserve">723</w:t>
            </w:r>
          </w:p>
        </w:tc>
        <w:tc>
          <w:tcPr>
            <w:tcW w:type="dxa" w:w="2394"/>
            <w:vAlign w:val="center"/>
          </w:tcPr>
          <w:p>
            <w:pPr>
              <w:pStyle w:val="Compact"/>
              <w:keepNext/>
              <w:keepLines/>
              <w:spacing w:after="40" w:before="40" w:line="252" w:lineRule="auto"/>
              <w:jc w:val="right"/>
            </w:pPr>
            <m:oMath>
              <m:r>
                <m:rPr>
                  <m:sty m:val="p"/>
                </m:rPr>
                <m:t>−</m:t>
              </m:r>
              <m:r>
                <m:t>5.42381</m:t>
              </m:r>
              <m:r>
                <m:rPr>
                  <m:sty m:val="p"/>
                </m:rPr>
                <m:t>×</m:t>
              </m:r>
              <m:sSup>
                <m:e>
                  <m:r>
                    <m:t>10</m:t>
                  </m:r>
                </m:e>
                <m:sup>
                  <m:r>
                    <m:rPr>
                      <m:sty m:val="p"/>
                    </m:rPr>
                    <m:t>−</m:t>
                  </m:r>
                  <m:r>
                    <m:t>5</m:t>
                  </m:r>
                </m:sup>
              </m:sSup>
            </m:oMath>
          </w:p>
        </w:tc>
        <w:tc>
          <w:tcPr>
            <w:tcW w:type="dxa" w:w="2202"/>
            <w:vAlign w:val="center"/>
          </w:tcPr>
          <w:p>
            <w:pPr>
              <w:pStyle w:val="Compact"/>
              <w:keepNext/>
              <w:keepLines/>
              <w:spacing w:after="40" w:before="40" w:line="252" w:lineRule="auto"/>
              <w:jc w:val="right"/>
            </w:pPr>
            <w:r>
              <w:rPr>
                <w:b w:val="0"/>
                <w:sz w:val="21"/>
              </w:rPr>
              <w:t xml:space="preserve">0</w:t>
            </w:r>
          </w:p>
        </w:tc>
      </w:tr>
      <w:tr>
        <w:trPr>
          <w:cantSplit/>
        </w:trPr>
        <w:tc>
          <w:tcPr>
            <w:tcW w:type="dxa" w:w="2586"/>
            <w:vAlign w:val="center"/>
          </w:tcPr>
          <w:p>
            <w:pPr>
              <w:pStyle w:val="Compact"/>
              <w:keepNext/>
              <w:keepLines/>
              <w:spacing w:after="40" w:before="40" w:line="252" w:lineRule="auto"/>
              <w:jc w:val="right"/>
            </w:pPr>
            <w:r>
              <w:rPr>
                <w:b w:val="0"/>
                <w:sz w:val="21"/>
              </w:rPr>
              <w:t xml:space="preserve">90 → 120</w:t>
            </w:r>
          </w:p>
        </w:tc>
        <w:tc>
          <w:tcPr>
            <w:tcW w:type="dxa" w:w="2394"/>
            <w:vAlign w:val="center"/>
          </w:tcPr>
          <w:p>
            <w:pPr>
              <w:pStyle w:val="Compact"/>
              <w:keepNext/>
              <w:keepLines/>
              <w:spacing w:after="40" w:before="40" w:line="252" w:lineRule="auto"/>
              <w:jc w:val="right"/>
            </w:pPr>
            <w:r>
              <w:rPr>
                <w:b w:val="0"/>
                <w:sz w:val="21"/>
              </w:rPr>
              <w:t xml:space="preserve">393</w:t>
            </w:r>
          </w:p>
        </w:tc>
        <w:tc>
          <w:tcPr>
            <w:tcW w:type="dxa" w:w="2394"/>
            <w:vAlign w:val="center"/>
          </w:tcPr>
          <w:p>
            <w:pPr>
              <w:pStyle w:val="Compact"/>
              <w:keepNext/>
              <w:keepLines/>
              <w:spacing w:after="40" w:before="40" w:line="252" w:lineRule="auto"/>
              <w:jc w:val="right"/>
            </w:pPr>
            <m:oMath>
              <m:r>
                <m:rPr>
                  <m:sty m:val="p"/>
                </m:rPr>
                <m:t>−</m:t>
              </m:r>
              <m:r>
                <m:t>3.59782</m:t>
              </m:r>
              <m:r>
                <m:rPr>
                  <m:sty m:val="p"/>
                </m:rPr>
                <m:t>×</m:t>
              </m:r>
              <m:sSup>
                <m:e>
                  <m:r>
                    <m:t>10</m:t>
                  </m:r>
                </m:e>
                <m:sup>
                  <m:r>
                    <m:rPr>
                      <m:sty m:val="p"/>
                    </m:rPr>
                    <m:t>−</m:t>
                  </m:r>
                  <m:r>
                    <m:t>5</m:t>
                  </m:r>
                </m:sup>
              </m:sSup>
            </m:oMath>
          </w:p>
        </w:tc>
        <w:tc>
          <w:tcPr>
            <w:tcW w:type="dxa" w:w="2202"/>
            <w:vAlign w:val="center"/>
          </w:tcPr>
          <w:p>
            <w:pPr>
              <w:pStyle w:val="Compact"/>
              <w:keepNext/>
              <w:keepLines/>
              <w:spacing w:after="40" w:before="40" w:line="252" w:lineRule="auto"/>
              <w:jc w:val="right"/>
            </w:pPr>
            <w:r>
              <w:rPr>
                <w:b w:val="0"/>
                <w:sz w:val="21"/>
              </w:rPr>
              <w:t xml:space="preserve">0</w:t>
            </w:r>
          </w:p>
        </w:tc>
      </w:tr>
      <w:tr>
        <w:trPr>
          <w:cantSplit/>
        </w:trPr>
        <w:tc>
          <w:tcPr>
            <w:tcW w:type="dxa" w:w="2586"/>
            <w:vAlign w:val="center"/>
          </w:tcPr>
          <w:p>
            <w:pPr>
              <w:pStyle w:val="Compact"/>
              <w:keepNext/>
              <w:keepLines/>
              <w:spacing w:after="40" w:before="40" w:line="252" w:lineRule="auto"/>
              <w:jc w:val="right"/>
            </w:pPr>
            <w:r>
              <w:rPr>
                <w:b w:val="0"/>
                <w:sz w:val="21"/>
              </w:rPr>
              <w:t xml:space="preserve">120 → 180</w:t>
            </w:r>
          </w:p>
        </w:tc>
        <w:tc>
          <w:tcPr>
            <w:tcW w:type="dxa" w:w="2394"/>
            <w:vAlign w:val="center"/>
          </w:tcPr>
          <w:p>
            <w:pPr>
              <w:pStyle w:val="Compact"/>
              <w:keepNext/>
              <w:keepLines/>
              <w:spacing w:after="40" w:before="40" w:line="252" w:lineRule="auto"/>
              <w:jc w:val="right"/>
            </w:pPr>
            <w:r>
              <w:rPr>
                <w:b w:val="0"/>
                <w:sz w:val="21"/>
              </w:rPr>
              <w:t xml:space="preserve">823</w:t>
            </w:r>
          </w:p>
        </w:tc>
        <w:tc>
          <w:tcPr>
            <w:tcW w:type="dxa" w:w="2394"/>
            <w:vAlign w:val="center"/>
          </w:tcPr>
          <w:p>
            <w:pPr>
              <w:pStyle w:val="Compact"/>
              <w:keepNext/>
              <w:keepLines/>
              <w:spacing w:after="40" w:before="40" w:line="252" w:lineRule="auto"/>
              <w:jc w:val="right"/>
            </w:pPr>
            <m:oMath>
              <m:r>
                <m:rPr>
                  <m:sty m:val="p"/>
                </m:rPr>
                <m:t>−</m:t>
              </m:r>
              <m:r>
                <m:t>8.97400</m:t>
              </m:r>
              <m:r>
                <m:rPr>
                  <m:sty m:val="p"/>
                </m:rPr>
                <m:t>×</m:t>
              </m:r>
              <m:sSup>
                <m:e>
                  <m:r>
                    <m:t>10</m:t>
                  </m:r>
                </m:e>
                <m:sup>
                  <m:r>
                    <m:rPr>
                      <m:sty m:val="p"/>
                    </m:rPr>
                    <m:t>−</m:t>
                  </m:r>
                  <m:r>
                    <m:t>5</m:t>
                  </m:r>
                </m:sup>
              </m:sSup>
            </m:oMath>
          </w:p>
        </w:tc>
        <w:tc>
          <w:tcPr>
            <w:tcW w:type="dxa" w:w="2202"/>
            <w:vAlign w:val="center"/>
          </w:tcPr>
          <w:p>
            <w:pPr>
              <w:pStyle w:val="Compact"/>
              <w:keepNext/>
              <w:keepLines/>
              <w:spacing w:after="40" w:before="40" w:line="252" w:lineRule="auto"/>
              <w:jc w:val="right"/>
            </w:pPr>
            <w:r>
              <w:rPr>
                <w:b w:val="0"/>
                <w:sz w:val="21"/>
              </w:rPr>
              <w:t xml:space="preserve">0</w:t>
            </w:r>
          </w:p>
        </w:tc>
      </w:tr>
      <w:tr>
        <w:trPr>
          <w:cantSplit/>
        </w:trPr>
        <w:tc>
          <w:tcPr>
            <w:tcW w:type="dxa" w:w="2586"/>
            <w:vAlign w:val="center"/>
          </w:tcPr>
          <w:p>
            <w:pPr>
              <w:pStyle w:val="Compact"/>
              <w:keepNext/>
              <w:keepLines/>
              <w:spacing w:after="40" w:before="40" w:line="252" w:lineRule="auto"/>
              <w:jc w:val="right"/>
            </w:pPr>
            <w:r>
              <w:rPr>
                <w:b w:val="0"/>
                <w:sz w:val="21"/>
              </w:rPr>
              <w:t xml:space="preserve">180 → 240</w:t>
            </w:r>
          </w:p>
        </w:tc>
        <w:tc>
          <w:tcPr>
            <w:tcW w:type="dxa" w:w="2394"/>
            <w:vAlign w:val="center"/>
          </w:tcPr>
          <w:p>
            <w:pPr>
              <w:pStyle w:val="Compact"/>
              <w:keepNext/>
              <w:keepLines/>
              <w:spacing w:after="40" w:before="40" w:line="252" w:lineRule="auto"/>
              <w:jc w:val="right"/>
            </w:pPr>
            <w:r>
              <w:rPr>
                <w:b w:val="0"/>
                <w:sz w:val="21"/>
              </w:rPr>
              <w:t xml:space="preserve">0</w:t>
            </w:r>
          </w:p>
        </w:tc>
        <w:tc>
          <w:tcPr>
            <w:tcW w:type="dxa" w:w="2394"/>
            <w:vAlign w:val="center"/>
          </w:tcPr>
          <w:p>
            <w:pPr>
              <w:pStyle w:val="Compact"/>
              <w:keepNext/>
              <w:keepLines/>
              <w:spacing w:after="40" w:before="40" w:line="252" w:lineRule="auto"/>
              <w:jc w:val="right"/>
            </w:pPr>
            <w:r>
              <w:rPr>
                <w:b w:val="0"/>
                <w:sz w:val="21"/>
              </w:rPr>
              <w:t xml:space="preserve">0</w:t>
            </w:r>
          </w:p>
        </w:tc>
        <w:tc>
          <w:tcPr>
            <w:tcW w:type="dxa" w:w="2202"/>
            <w:vAlign w:val="center"/>
          </w:tcPr>
          <w:p>
            <w:pPr>
              <w:pStyle w:val="Compact"/>
              <w:keepNext/>
              <w:keepLines/>
              <w:spacing w:after="40" w:before="40" w:line="252" w:lineRule="auto"/>
              <w:jc w:val="right"/>
            </w:pPr>
            <w:r>
              <w:rPr>
                <w:b w:val="0"/>
                <w:sz w:val="21"/>
              </w:rPr>
              <w:t xml:space="preserve">0</w:t>
            </w:r>
          </w:p>
        </w:tc>
      </w:tr>
      <w:tr>
        <w:trPr>
          <w:cantSplit/>
        </w:trPr>
        <w:tc>
          <w:tcPr>
            <w:tcW w:type="dxa" w:w="2586"/>
            <w:vAlign w:val="center"/>
          </w:tcPr>
          <w:p>
            <w:pPr>
              <w:pStyle w:val="Compact"/>
              <w:keepNext/>
              <w:keepLines/>
              <w:spacing w:after="40" w:before="40" w:line="252" w:lineRule="auto"/>
              <w:jc w:val="right"/>
            </w:pPr>
            <w:r>
              <w:rPr>
                <w:b w:val="0"/>
                <w:sz w:val="21"/>
              </w:rPr>
              <w:t xml:space="preserve">240 → 300</w:t>
            </w:r>
          </w:p>
        </w:tc>
        <w:tc>
          <w:tcPr>
            <w:tcW w:type="dxa" w:w="2394"/>
            <w:vAlign w:val="center"/>
          </w:tcPr>
          <w:p>
            <w:pPr>
              <w:pStyle w:val="Compact"/>
              <w:keepNext/>
              <w:keepLines/>
              <w:spacing w:after="40" w:before="40" w:line="252" w:lineRule="auto"/>
              <w:jc w:val="right"/>
            </w:pPr>
            <w:r>
              <w:rPr>
                <w:b w:val="0"/>
                <w:sz w:val="21"/>
              </w:rPr>
              <w:t xml:space="preserve">309</w:t>
            </w:r>
          </w:p>
        </w:tc>
        <w:tc>
          <w:tcPr>
            <w:tcW w:type="dxa" w:w="2394"/>
            <w:vAlign w:val="center"/>
          </w:tcPr>
          <w:p>
            <w:pPr>
              <w:pStyle w:val="Compact"/>
              <w:keepNext/>
              <w:keepLines/>
              <w:spacing w:after="40" w:before="40" w:line="252" w:lineRule="auto"/>
              <w:jc w:val="right"/>
            </w:pPr>
            <m:oMath>
              <m:r>
                <m:rPr>
                  <m:sty m:val="p"/>
                </m:rPr>
                <m:t>−</m:t>
              </m:r>
              <m:r>
                <m:t>6.68342</m:t>
              </m:r>
              <m:r>
                <m:rPr>
                  <m:sty m:val="p"/>
                </m:rPr>
                <m:t>×</m:t>
              </m:r>
              <m:sSup>
                <m:e>
                  <m:r>
                    <m:t>10</m:t>
                  </m:r>
                </m:e>
                <m:sup>
                  <m:r>
                    <m:rPr>
                      <m:sty m:val="p"/>
                    </m:rPr>
                    <m:t>−</m:t>
                  </m:r>
                  <m:r>
                    <m:t>5</m:t>
                  </m:r>
                </m:sup>
              </m:sSup>
            </m:oMath>
          </w:p>
        </w:tc>
        <w:tc>
          <w:tcPr>
            <w:tcW w:type="dxa" w:w="2202"/>
            <w:vAlign w:val="center"/>
          </w:tcPr>
          <w:p>
            <w:pPr>
              <w:pStyle w:val="Compact"/>
              <w:keepNext/>
              <w:keepLines/>
              <w:spacing w:after="40" w:before="40" w:line="252" w:lineRule="auto"/>
              <w:jc w:val="right"/>
            </w:pPr>
            <w:r>
              <w:rPr>
                <w:b w:val="0"/>
                <w:sz w:val="21"/>
              </w:rPr>
              <w:t xml:space="preserve">0</w:t>
            </w:r>
          </w:p>
        </w:tc>
      </w:tr>
      <w:tr>
        <w:trPr>
          <w:cantSplit/>
        </w:trPr>
        <w:tc>
          <w:tcPr>
            <w:tcW w:type="dxa" w:w="2586"/>
            <w:vAlign w:val="center"/>
          </w:tcPr>
          <w:p>
            <w:pPr>
              <w:pStyle w:val="Compact"/>
              <w:keepNext/>
              <w:keepLines/>
              <w:spacing w:after="40" w:before="40" w:line="252" w:lineRule="auto"/>
              <w:jc w:val="right"/>
            </w:pPr>
            <w:r>
              <w:rPr>
                <w:b w:val="0"/>
                <w:sz w:val="21"/>
              </w:rPr>
              <w:t xml:space="preserve">300 → 365</w:t>
            </w:r>
          </w:p>
        </w:tc>
        <w:tc>
          <w:tcPr>
            <w:tcW w:type="dxa" w:w="2394"/>
            <w:vAlign w:val="center"/>
          </w:tcPr>
          <w:p>
            <w:pPr>
              <w:pStyle w:val="Compact"/>
              <w:keepNext/>
              <w:keepLines/>
              <w:spacing w:after="40" w:before="40" w:line="252" w:lineRule="auto"/>
              <w:jc w:val="right"/>
            </w:pPr>
            <w:r>
              <w:rPr>
                <w:b w:val="0"/>
                <w:sz w:val="21"/>
              </w:rPr>
              <w:t xml:space="preserve">514</w:t>
            </w:r>
          </w:p>
        </w:tc>
        <w:tc>
          <w:tcPr>
            <w:tcW w:type="dxa" w:w="2394"/>
            <w:vAlign w:val="center"/>
          </w:tcPr>
          <w:p>
            <w:pPr>
              <w:pStyle w:val="Compact"/>
              <w:keepNext/>
              <w:keepLines/>
              <w:spacing w:after="40" w:before="40" w:line="252" w:lineRule="auto"/>
              <w:jc w:val="right"/>
            </w:pPr>
            <m:oMath>
              <m:r>
                <m:rPr>
                  <m:sty m:val="p"/>
                </m:rPr>
                <m:t>−</m:t>
              </m:r>
              <m:r>
                <m:t>1.90808</m:t>
              </m:r>
              <m:r>
                <m:rPr>
                  <m:sty m:val="p"/>
                </m:rPr>
                <m:t>×</m:t>
              </m:r>
              <m:sSup>
                <m:e>
                  <m:r>
                    <m:t>10</m:t>
                  </m:r>
                </m:e>
                <m:sup>
                  <m:r>
                    <m:rPr>
                      <m:sty m:val="p"/>
                    </m:rPr>
                    <m:t>−</m:t>
                  </m:r>
                  <m:r>
                    <m:t>4</m:t>
                  </m:r>
                </m:sup>
              </m:sSup>
            </m:oMath>
          </w:p>
        </w:tc>
        <w:tc>
          <w:tcPr>
            <w:tcW w:type="dxa" w:w="2202"/>
            <w:vAlign w:val="center"/>
          </w:tcPr>
          <w:p>
            <w:pPr>
              <w:pStyle w:val="Compact"/>
              <w:keepNext/>
              <w:keepLines/>
              <w:spacing w:after="40" w:before="40" w:line="252" w:lineRule="auto"/>
              <w:jc w:val="right"/>
            </w:pPr>
            <w:r>
              <w:rPr>
                <w:b w:val="0"/>
                <w:sz w:val="21"/>
              </w:rPr>
              <w:t xml:space="preserve">0</w:t>
            </w:r>
          </w:p>
        </w:tc>
      </w:tr>
    </w:tbl>
    <w:p>
      <w:bookmarkStart w:id="557" w:name="table8"/>
      <w:pPr>
        <w:pStyle w:val="TableCaption"/>
      </w:pPr>
      <w:r>
        <w:t xml:space="preserve">Table 8. Adjacent-maturity calendar diagnostic on the finite grid in Equation (14). The minimum change is in normalised, dimensionless call value.</w:t>
      </w:r>
      <w:bookmarkEnd w:id="557"/>
    </w:p>
    <w:bookmarkEnd w:id="74"/>
    <w:bookmarkStart w:id="75" w:name="a-joint-programme-in-common-coordinates"/>
    <w:p>
      <w:bookmarkStart w:id="558" w:name="h17"/>
      <w:pPr>
        <w:pStyle w:val="Heading2"/>
        <w:numPr>
          <w:ilvl w:val="1"/>
          <w:numId w:val="70"/>
        </w:numPr>
      </w:pPr>
      <w:bookmarkEnd w:id="558"/>
      <w:r>
        <w:t>A joint programme in common coordinates</w:t>
      </w:r>
    </w:p>
    <w:p>
      <w:pPr>
        <w:pStyle w:val="FirstParagraph"/>
      </w:pPr>
      <w:r>
        <w:t xml:space="preserve">To link the maturities, define</w:t>
      </w:r>
      <w:r>
        <w:t xml:space="preserve"> </w:t>
      </w:r>
      <m:oMath>
        <m:r>
          <m:t>x</m:t>
        </m:r>
        <m:r>
          <m:rPr>
            <m:sty m:val="p"/>
          </m:rPr>
          <m:t>=</m:t>
        </m:r>
        <m:r>
          <m:t>s</m:t>
        </m:r>
        <m:r>
          <m:rPr>
            <m:sty m:val="p"/>
          </m:rPr>
          <m:t>/</m:t>
        </m:r>
        <m:sSub>
          <m:e>
            <m:r>
              <m:t>F</m:t>
            </m:r>
          </m:e>
          <m:sub>
            <m:r>
              <m:t>m</m:t>
            </m:r>
          </m:sub>
        </m:sSub>
      </m:oMath>
      <w:r>
        <w:t xml:space="preserve"> </w:t>
      </w:r>
      <w:r>
        <w:t xml:space="preserve">and common bin edges</w:t>
      </w:r>
      <w:r>
        <w:t xml:space="preserve"> </w:t>
      </w:r>
      <m:oMath>
        <m:sSub>
          <m:e>
            <m:r>
              <m:t>u</m:t>
            </m:r>
          </m:e>
          <m:sub>
            <m:r>
              <m:t>j</m:t>
            </m:r>
          </m:sub>
        </m:sSub>
      </m:oMath>
      <w:r>
        <w:t xml:space="preserve">, width</w:t>
      </w:r>
      <w:r>
        <w:t xml:space="preserve"> </w:t>
      </w:r>
      <m:oMath>
        <m:r>
          <m:t>Δ</m:t>
        </m:r>
        <m:r>
          <m:t>u</m:t>
        </m:r>
      </m:oMath>
      <w:r>
        <w:t xml:space="preserve"> </w:t>
      </w:r>
      <w:r>
        <w:t xml:space="preserve">and centres</w:t>
      </w:r>
      <w:r>
        <w:t xml:space="preserve"> </w:t>
      </w:r>
      <m:oMath>
        <m:sSub>
          <m:e>
            <m:acc>
              <m:accPr>
                <m:chr m:val="‾"/>
              </m:accPr>
              <m:e>
                <m:r>
                  <m:t>u</m:t>
                </m:r>
              </m:e>
            </m:acc>
          </m:e>
          <m:sub>
            <m:r>
              <m:t>j</m:t>
            </m:r>
          </m:sub>
        </m:sSub>
      </m:oMath>
      <w:r>
        <w:t xml:space="preserve">. Equation (16) relates the normalised and physical densities. A common coordinate system allows adjacent maturities to be compared at the same forward moneyness.</w:t>
      </w:r>
    </w:p>
    <w:p>
      <w:pPr>
        <w:pStyle w:val="BodyText"/>
        <w:keepNext/>
        <w:spacing w:before="120" w:after="40"/>
        <w:jc w:val="center"/>
      </w:pPr>
      <m:oMathPara>
        <m:oMathParaPr>
          <m:jc m:val="center"/>
        </m:oMathParaPr>
        <m:oMath>
          <m:m>
            <m:mPr>
              <m:baseJc m:val="center"/>
              <m:plcHide m:val="on"/>
              <m:mcs>
                <m:mc>
                  <m:mcPr>
                    <m:mcJc m:val="center"/>
                    <m:count m:val="1"/>
                  </m:mcPr>
                </m:mc>
              </m:mcs>
            </m:mPr>
            <m:mr>
              <m:e>
                <m:sSub>
                  <m:e>
                    <m:acc>
                      <m:accPr>
                        <m:chr m:val="̂"/>
                      </m:accPr>
                      <m:e>
                        <m:r>
                          <m:t>g</m:t>
                        </m:r>
                      </m:e>
                    </m:acc>
                  </m:e>
                  <m:sub>
                    <m:r>
                      <m:t>m</m:t>
                    </m:r>
                  </m:sub>
                </m:sSub>
                <m:d>
                  <m:dPr>
                    <m:begChr m:val="("/>
                    <m:endChr m:val=")"/>
                    <m:sepChr m:val=""/>
                    <m:grow/>
                  </m:dPr>
                  <m:e>
                    <m:r>
                      <m:t>x</m:t>
                    </m:r>
                  </m:e>
                </m:d>
                <m:r>
                  <m:rPr>
                    <m:sty m:val="p"/>
                  </m:rPr>
                  <m:t>=</m:t>
                </m:r>
                <m:nary>
                  <m:naryPr>
                    <m:chr m:val="∑"/>
                    <m:limLoc m:val="undOvr"/>
                    <m:subHide m:val="off"/>
                    <m:supHide m:val="off"/>
                  </m:naryPr>
                  <m:sub>
                    <m:r>
                      <m:t>j</m:t>
                    </m:r>
                    <m:r>
                      <m:rPr>
                        <m:sty m:val="p"/>
                      </m:rPr>
                      <m:t>=</m:t>
                    </m:r>
                    <m:r>
                      <m:t>1</m:t>
                    </m:r>
                  </m:sub>
                  <m:sup>
                    <m:r>
                      <m:t>J</m:t>
                    </m:r>
                  </m:sup>
                  <m:e>
                    <m:f>
                      <m:fPr>
                        <m:type m:val="bar"/>
                      </m:fPr>
                      <m:num>
                        <m:sSub>
                          <m:e>
                            <m:r>
                              <m:t>w</m:t>
                            </m:r>
                          </m:e>
                          <m:sub>
                            <m:r>
                              <m:t>m</m:t>
                            </m:r>
                            <m:r>
                              <m:t>j</m:t>
                            </m:r>
                          </m:sub>
                        </m:sSub>
                      </m:num>
                      <m:den>
                        <m:r>
                          <m:t>Δ</m:t>
                        </m:r>
                        <m:r>
                          <m:t>u</m:t>
                        </m:r>
                      </m:den>
                    </m:f>
                  </m:e>
                </m:nary>
                <m:sSub>
                  <m:e>
                    <m:r>
                      <m:rPr>
                        <m:sty m:val="b"/>
                      </m:rPr>
                      <m:t>1</m:t>
                    </m:r>
                  </m:e>
                  <m:sub>
                    <m:r>
                      <m:rPr>
                        <m:sty m:val="p"/>
                      </m:rPr>
                      <m:t>[</m:t>
                    </m:r>
                    <m:sSub>
                      <m:e>
                        <m:r>
                          <m:t>u</m:t>
                        </m:r>
                      </m:e>
                      <m:sub>
                        <m:r>
                          <m:t>j</m:t>
                        </m:r>
                        <m:r>
                          <m:rPr>
                            <m:sty m:val="p"/>
                          </m:rPr>
                          <m:t>−</m:t>
                        </m:r>
                        <m:r>
                          <m:t>1</m:t>
                        </m:r>
                      </m:sub>
                    </m:sSub>
                    <m:r>
                      <m:rPr>
                        <m:sty m:val="p"/>
                      </m:rPr>
                      <m:t>,</m:t>
                    </m:r>
                    <m:sSub>
                      <m:e>
                        <m:r>
                          <m:t>u</m:t>
                        </m:r>
                      </m:e>
                      <m:sub>
                        <m:r>
                          <m:t>j</m:t>
                        </m:r>
                      </m:sub>
                    </m:sSub>
                    <m:r>
                      <m:rPr>
                        <m:sty m:val="p"/>
                      </m:rPr>
                      <m:t>)</m:t>
                    </m:r>
                  </m:sub>
                </m:sSub>
                <m:d>
                  <m:dPr>
                    <m:begChr m:val="("/>
                    <m:endChr m:val=")"/>
                    <m:sepChr m:val=""/>
                    <m:grow/>
                  </m:dPr>
                  <m:e>
                    <m:r>
                      <m:t>x</m:t>
                    </m:r>
                  </m:e>
                </m:d>
                <m:r>
                  <m:rPr>
                    <m:sty m:val="p"/>
                  </m:rPr>
                  <m:t>,</m:t>
                </m:r>
              </m:e>
            </m:mr>
            <m:mr>
              <m:e>
                <m:sSub>
                  <m:e>
                    <m:acc>
                      <m:accPr>
                        <m:chr m:val="̂"/>
                      </m:accPr>
                      <m:e>
                        <m:r>
                          <m:t>f</m:t>
                        </m:r>
                      </m:e>
                    </m:acc>
                  </m:e>
                  <m:sub>
                    <m:r>
                      <m:t>Q</m:t>
                    </m:r>
                  </m:sub>
                </m:sSub>
                <m:d>
                  <m:dPr>
                    <m:begChr m:val="("/>
                    <m:endChr m:val=")"/>
                    <m:sepChr m:val=""/>
                    <m:grow/>
                  </m:dPr>
                  <m:e>
                    <m:r>
                      <m:t>s</m:t>
                    </m:r>
                    <m:r>
                      <m:rPr>
                        <m:sty m:val="p"/>
                      </m:rPr>
                      <m:t>;</m:t>
                    </m:r>
                    <m:sSub>
                      <m:e>
                        <m:r>
                          <m:t>T</m:t>
                        </m:r>
                      </m:e>
                      <m:sub>
                        <m:r>
                          <m:t>m</m:t>
                        </m:r>
                      </m:sub>
                    </m:sSub>
                  </m:e>
                </m:d>
                <m:r>
                  <m:rPr>
                    <m:sty m:val="p"/>
                  </m:rPr>
                  <m:t>=</m:t>
                </m:r>
                <m:f>
                  <m:fPr>
                    <m:type m:val="bar"/>
                  </m:fPr>
                  <m:num>
                    <m:r>
                      <m:t>1</m:t>
                    </m:r>
                  </m:num>
                  <m:den>
                    <m:sSub>
                      <m:e>
                        <m:r>
                          <m:t>F</m:t>
                        </m:r>
                      </m:e>
                      <m:sub>
                        <m:r>
                          <m:t>m</m:t>
                        </m:r>
                      </m:sub>
                    </m:sSub>
                  </m:den>
                </m:f>
                <m:sSub>
                  <m:e>
                    <m:acc>
                      <m:accPr>
                        <m:chr m:val="̂"/>
                      </m:accPr>
                      <m:e>
                        <m:r>
                          <m:t>g</m:t>
                        </m:r>
                      </m:e>
                    </m:acc>
                  </m:e>
                  <m:sub>
                    <m:r>
                      <m:t>m</m:t>
                    </m:r>
                  </m:sub>
                </m:sSub>
                <m:d>
                  <m:dPr>
                    <m:begChr m:val="("/>
                    <m:endChr m:val=")"/>
                    <m:sepChr m:val=""/>
                    <m:grow/>
                  </m:dPr>
                  <m:e>
                    <m:f>
                      <m:fPr>
                        <m:type m:val="bar"/>
                      </m:fPr>
                      <m:num>
                        <m:r>
                          <m:t>s</m:t>
                        </m:r>
                      </m:num>
                      <m:den>
                        <m:sSub>
                          <m:e>
                            <m:r>
                              <m:t>F</m:t>
                            </m:r>
                          </m:e>
                          <m:sub>
                            <m:r>
                              <m:t>m</m:t>
                            </m:r>
                          </m:sub>
                        </m:sSub>
                      </m:den>
                    </m:f>
                  </m:e>
                </m:d>
                <m:r>
                  <m:rPr>
                    <m:sty m:val="p"/>
                  </m:rPr>
                  <m:t>.</m:t>
                </m:r>
              </m:e>
            </m:mr>
          </m:m>
        </m:oMath>
      </m:oMathPara>
    </w:p>
    <w:p>
      <w:bookmarkStart w:id="559" w:name="equation16"/>
      <w:pPr>
        <w:pStyle w:val="EquationCaption"/>
      </w:pPr>
      <w:r>
        <w:t xml:space="preserve">Equation 16. Common forward-coordinate density and physical density.</w:t>
      </w:r>
      <w:bookmarkEnd w:id="559"/>
    </w:p>
    <w:p>
      <w:pPr>
        <w:pStyle w:val="BodyText"/>
      </w:pPr>
      <w:r>
        <w:t xml:space="preserve">Equation (17) minimises the sum of the per-maturity objectives while imposing the mass, mean and calendar restrictions jointly. The payoff row</w:t>
      </w:r>
      <w:r>
        <w:t xml:space="preserve"> </w:t>
      </w:r>
      <m:oMath>
        <m:r>
          <m:rPr>
            <m:sty m:val="b"/>
          </m:rPr>
          <m:t>B</m:t>
        </m:r>
        <m:d>
          <m:dPr>
            <m:begChr m:val="("/>
            <m:endChr m:val=")"/>
            <m:sepChr m:val=""/>
            <m:grow/>
          </m:dPr>
          <m:e>
            <m:r>
              <m:t>κ</m:t>
            </m:r>
          </m:e>
        </m:d>
      </m:oMath>
      <w:r>
        <w:t xml:space="preserve"> </w:t>
      </w:r>
      <w:r>
        <w:t xml:space="preserve">is the exact uniform-bin normalised call map, and</w:t>
      </w:r>
      <w:r>
        <w:t xml:space="preserve"> </w:t>
      </w:r>
      <m:oMath>
        <m:sSub>
          <m:e>
            <m:r>
              <m:rPr>
                <m:sty m:val="p"/>
                <m:scr m:val="script"/>
              </m:rPr>
              <m:t>K</m:t>
            </m:r>
          </m:e>
          <m:sub>
            <m:r>
              <m:t>m</m:t>
            </m:r>
          </m:sub>
        </m:sSub>
      </m:oMath>
      <w:r>
        <w:t xml:space="preserve"> </w:t>
      </w:r>
      <w:r>
        <w:t xml:space="preserve">initially contains the internal bin boundaries. The quadratic-programme framework follows Boyd and Vandenberghe [11]; the calendar motivation follows Gatheral and Jacquier [12].</w:t>
      </w:r>
    </w:p>
    <w:p>
      <w:pPr>
        <w:pStyle w:val="BodyText"/>
        <w:keepNext/>
        <w:spacing w:before="120" w:after="40"/>
        <w:jc w:val="center"/>
      </w:pPr>
      <m:oMathPara>
        <m:oMathParaPr>
          <m:jc m:val="center"/>
        </m:oMathParaPr>
        <m:oMath>
          <m:m>
            <m:mPr>
              <m:baseJc m:val="center"/>
              <m:plcHide m:val="on"/>
              <m:mcs>
                <m:mc>
                  <m:mcPr>
                    <m:mcJc m:val="center"/>
                    <m:count m:val="1"/>
                  </m:mcPr>
                </m:mc>
              </m:mcs>
            </m:mPr>
            <m:mr>
              <m:e>
                <m:limLow>
                  <m:e>
                    <m:r>
                      <m:rPr>
                        <m:sty m:val="p"/>
                      </m:rPr>
                      <m:t>min</m:t>
                    </m:r>
                  </m:e>
                  <m:lim>
                    <m:sSub>
                      <m:e>
                        <m:r>
                          <m:rPr>
                            <m:sty m:val="b"/>
                          </m:rPr>
                          <m:t>w</m:t>
                        </m:r>
                      </m:e>
                      <m:sub>
                        <m:r>
                          <m:t>1</m:t>
                        </m:r>
                      </m:sub>
                    </m:sSub>
                    <m:r>
                      <m:rPr>
                        <m:sty m:val="p"/>
                      </m:rPr>
                      <m:t>,</m:t>
                    </m:r>
                    <m:r>
                      <m:rPr>
                        <m:sty m:val="p"/>
                      </m:rPr>
                      <m:t>…</m:t>
                    </m:r>
                    <m:r>
                      <m:rPr>
                        <m:sty m:val="p"/>
                      </m:rPr>
                      <m:t>,</m:t>
                    </m:r>
                    <m:sSub>
                      <m:e>
                        <m:r>
                          <m:rPr>
                            <m:sty m:val="b"/>
                          </m:rPr>
                          <m:t>w</m:t>
                        </m:r>
                      </m:e>
                      <m:sub>
                        <m:r>
                          <m:t>M</m:t>
                        </m:r>
                      </m:sub>
                    </m:sSub>
                  </m:lim>
                </m:limLow>
                <m:r>
                  <m:t> </m:t>
                </m:r>
                <m:nary>
                  <m:naryPr>
                    <m:chr m:val="∑"/>
                    <m:limLoc m:val="undOvr"/>
                    <m:subHide m:val="off"/>
                    <m:supHide m:val="off"/>
                  </m:naryPr>
                  <m:sub>
                    <m:r>
                      <m:t>m</m:t>
                    </m:r>
                    <m:r>
                      <m:rPr>
                        <m:sty m:val="p"/>
                      </m:rPr>
                      <m:t>=</m:t>
                    </m:r>
                    <m:r>
                      <m:t>1</m:t>
                    </m:r>
                  </m:sub>
                  <m:sup>
                    <m:r>
                      <m:t>M</m:t>
                    </m:r>
                  </m:sup>
                  <m:e>
                    <m:sSub>
                      <m:e>
                        <m:r>
                          <m:rPr>
                            <m:sty m:val="p"/>
                          </m:rPr>
                          <m:t>ℓ</m:t>
                        </m:r>
                      </m:e>
                      <m:sub>
                        <m:r>
                          <m:t>m</m:t>
                        </m:r>
                      </m:sub>
                    </m:sSub>
                  </m:e>
                </m:nary>
                <m:d>
                  <m:dPr>
                    <m:begChr m:val="("/>
                    <m:endChr m:val=")"/>
                    <m:sepChr m:val=""/>
                    <m:grow/>
                  </m:dPr>
                  <m:e>
                    <m:sSub>
                      <m:e>
                        <m:r>
                          <m:rPr>
                            <m:sty m:val="b"/>
                          </m:rPr>
                          <m:t>w</m:t>
                        </m:r>
                      </m:e>
                      <m:sub>
                        <m:r>
                          <m:t>m</m:t>
                        </m:r>
                      </m:sub>
                    </m:sSub>
                  </m:e>
                </m:d>
              </m:e>
            </m:mr>
            <m:mr>
              <m:e>
                <m:r>
                  <m:rPr>
                    <m:nor/>
                    <m:sty m:val="p"/>
                  </m:rPr>
                  <m:t>subject to</m:t>
                </m:r>
                <m:r>
                  <m:t> </m:t>
                </m:r>
                <m:sSub>
                  <m:e>
                    <m:r>
                      <m:t>w</m:t>
                    </m:r>
                  </m:e>
                  <m:sub>
                    <m:r>
                      <m:t>m</m:t>
                    </m:r>
                    <m:r>
                      <m:t>j</m:t>
                    </m:r>
                  </m:sub>
                </m:sSub>
                <m:r>
                  <m:rPr>
                    <m:sty m:val="p"/>
                  </m:rPr>
                  <m:t>≥</m:t>
                </m:r>
                <m:r>
                  <m:t>0</m:t>
                </m:r>
                <m:r>
                  <m:rPr>
                    <m:sty m:val="p"/>
                  </m:rPr>
                  <m:t>,</m:t>
                </m:r>
                <m:r>
                  <m:t> </m:t>
                </m:r>
                <m:sSup>
                  <m:e>
                    <m:r>
                      <m:rPr>
                        <m:sty m:val="b"/>
                      </m:rPr>
                      <m:t>1</m:t>
                    </m:r>
                  </m:e>
                  <m:sup>
                    <m:r>
                      <m:rPr>
                        <m:sty m:val="p"/>
                      </m:rPr>
                      <m:t>⊤</m:t>
                    </m:r>
                  </m:sup>
                </m:sSup>
                <m:sSub>
                  <m:e>
                    <m:r>
                      <m:rPr>
                        <m:sty m:val="b"/>
                      </m:rPr>
                      <m:t>w</m:t>
                    </m:r>
                  </m:e>
                  <m:sub>
                    <m:r>
                      <m:t>m</m:t>
                    </m:r>
                  </m:sub>
                </m:sSub>
                <m:r>
                  <m:rPr>
                    <m:sty m:val="p"/>
                  </m:rPr>
                  <m:t>=</m:t>
                </m:r>
                <m:r>
                  <m:t>1</m:t>
                </m:r>
                <m:r>
                  <m:rPr>
                    <m:sty m:val="p"/>
                  </m:rPr>
                  <m:t>,</m:t>
                </m:r>
                <m:r>
                  <m:t> </m:t>
                </m:r>
                <m:sSup>
                  <m:e>
                    <m:acc>
                      <m:accPr>
                        <m:chr m:val="‾"/>
                      </m:accPr>
                      <m:e>
                        <m:r>
                          <m:rPr>
                            <m:sty m:val="b"/>
                          </m:rPr>
                          <m:t>u</m:t>
                        </m:r>
                      </m:e>
                    </m:acc>
                  </m:e>
                  <m:sup>
                    <m:r>
                      <m:rPr>
                        <m:sty m:val="p"/>
                      </m:rPr>
                      <m:t>⊤</m:t>
                    </m:r>
                  </m:sup>
                </m:sSup>
                <m:sSub>
                  <m:e>
                    <m:r>
                      <m:rPr>
                        <m:sty m:val="b"/>
                      </m:rPr>
                      <m:t>w</m:t>
                    </m:r>
                  </m:e>
                  <m:sub>
                    <m:r>
                      <m:t>m</m:t>
                    </m:r>
                  </m:sub>
                </m:sSub>
                <m:r>
                  <m:rPr>
                    <m:sty m:val="p"/>
                  </m:rPr>
                  <m:t>=</m:t>
                </m:r>
                <m:r>
                  <m:t>1</m:t>
                </m:r>
                <m:r>
                  <m:rPr>
                    <m:sty m:val="p"/>
                  </m:rPr>
                  <m:t>,</m:t>
                </m:r>
              </m:e>
            </m:mr>
            <m:mr>
              <m:e>
                <m:r>
                  <m:rPr>
                    <m:sty m:val="b"/>
                  </m:rPr>
                  <m:t>B</m:t>
                </m:r>
                <m:d>
                  <m:dPr>
                    <m:begChr m:val="("/>
                    <m:endChr m:val=")"/>
                    <m:sepChr m:val=""/>
                    <m:grow/>
                  </m:dPr>
                  <m:e>
                    <m:r>
                      <m:t>κ</m:t>
                    </m:r>
                  </m:e>
                </m:d>
                <m:d>
                  <m:dPr>
                    <m:begChr m:val="("/>
                    <m:endChr m:val=")"/>
                    <m:sepChr m:val=""/>
                    <m:grow/>
                  </m:dPr>
                  <m:e>
                    <m:sSub>
                      <m:e>
                        <m:r>
                          <m:rPr>
                            <m:sty m:val="b"/>
                          </m:rPr>
                          <m:t>w</m:t>
                        </m:r>
                      </m:e>
                      <m:sub>
                        <m:r>
                          <m:t>m</m:t>
                        </m:r>
                        <m:r>
                          <m:rPr>
                            <m:sty m:val="p"/>
                          </m:rPr>
                          <m:t>+</m:t>
                        </m:r>
                        <m:r>
                          <m:t>1</m:t>
                        </m:r>
                      </m:sub>
                    </m:sSub>
                    <m:r>
                      <m:rPr>
                        <m:sty m:val="p"/>
                      </m:rPr>
                      <m:t>−</m:t>
                    </m:r>
                    <m:sSub>
                      <m:e>
                        <m:r>
                          <m:rPr>
                            <m:sty m:val="b"/>
                          </m:rPr>
                          <m:t>w</m:t>
                        </m:r>
                      </m:e>
                      <m:sub>
                        <m:r>
                          <m:t>m</m:t>
                        </m:r>
                      </m:sub>
                    </m:sSub>
                  </m:e>
                </m:d>
                <m:r>
                  <m:rPr>
                    <m:sty m:val="p"/>
                  </m:rPr>
                  <m:t>≥</m:t>
                </m:r>
                <m:r>
                  <m:t>0</m:t>
                </m:r>
                <m:r>
                  <m:rPr>
                    <m:sty m:val="p"/>
                  </m:rPr>
                  <m:t>,</m:t>
                </m:r>
              </m:e>
            </m:mr>
            <m:mr>
              <m:e>
                <m:r>
                  <m:t>κ</m:t>
                </m:r>
                <m:r>
                  <m:rPr>
                    <m:sty m:val="p"/>
                  </m:rPr>
                  <m:t>∈</m:t>
                </m:r>
                <m:sSub>
                  <m:e>
                    <m:r>
                      <m:rPr>
                        <m:sty m:val="p"/>
                        <m:scr m:val="script"/>
                      </m:rPr>
                      <m:t>K</m:t>
                    </m:r>
                  </m:e>
                  <m:sub>
                    <m:r>
                      <m:t>m</m:t>
                    </m:r>
                  </m:sub>
                </m:sSub>
                <m:r>
                  <m:rPr>
                    <m:sty m:val="p"/>
                  </m:rPr>
                  <m:t>,</m:t>
                </m:r>
                <m:r>
                  <m:t> </m:t>
                </m:r>
                <m:r>
                  <m:t>m</m:t>
                </m:r>
                <m:r>
                  <m:rPr>
                    <m:sty m:val="p"/>
                  </m:rPr>
                  <m:t>=</m:t>
                </m:r>
                <m:r>
                  <m:t>1</m:t>
                </m:r>
                <m:r>
                  <m:rPr>
                    <m:sty m:val="p"/>
                  </m:rPr>
                  <m:t>,</m:t>
                </m:r>
                <m:r>
                  <m:rPr>
                    <m:sty m:val="p"/>
                  </m:rPr>
                  <m:t>…</m:t>
                </m:r>
                <m:r>
                  <m:rPr>
                    <m:sty m:val="p"/>
                  </m:rPr>
                  <m:t>,</m:t>
                </m:r>
                <m:r>
                  <m:t>M</m:t>
                </m:r>
                <m:r>
                  <m:rPr>
                    <m:sty m:val="p"/>
                  </m:rPr>
                  <m:t>−</m:t>
                </m:r>
                <m:r>
                  <m:t>1</m:t>
                </m:r>
                <m:r>
                  <m:rPr>
                    <m:sty m:val="p"/>
                  </m:rPr>
                  <m:t>.</m:t>
                </m:r>
              </m:e>
            </m:mr>
          </m:m>
        </m:oMath>
      </m:oMathPara>
    </w:p>
    <w:p>
      <w:bookmarkStart w:id="560" w:name="equation17"/>
      <w:pPr>
        <w:pStyle w:val="EquationCaption"/>
      </w:pPr>
      <w:r>
        <w:t xml:space="preserve">Equation 17. Joint quadratic programme with calendar constraints.</w:t>
      </w:r>
      <w:bookmarkEnd w:id="560"/>
    </w:p>
    <w:p>
      <w:pPr>
        <w:pStyle w:val="BodyText"/>
      </w:pPr>
      <w:r>
        <w:t xml:space="preserve">An independent fit with the same OSQP solver provides a control for the change of optimisation software. As Stellato and colleagues explain in their OSQP paper [13], the method uses residual-based stopping criteria. The project additionally checks the returned probabilities and full interval calendar gaps. Numerical status alone is insufficient.</w:t>
      </w:r>
    </w:p>
    <w:bookmarkEnd w:id="75"/>
    <w:bookmarkStart w:id="76" w:name="X8cb2fdc16a01a3c0c405f90b4c374ba21329223"/>
    <w:p>
      <w:bookmarkStart w:id="561" w:name="h18"/>
      <w:pPr>
        <w:pStyle w:val="Heading2"/>
        <w:numPr>
          <w:ilvl w:val="1"/>
          <w:numId w:val="70"/>
        </w:numPr>
      </w:pPr>
      <w:bookmarkEnd w:id="561"/>
      <w:r>
        <w:t>Checking between the constraint locations</w:t>
      </w:r>
    </w:p>
    <w:p>
      <w:pPr>
        <w:pStyle w:val="FirstParagraph"/>
      </w:pPr>
      <w:r>
        <w:t xml:space="preserve">A coarse grid can miss a negative gap between checked locations. For adjacent maturities, let</w:t>
      </w:r>
      <w:r>
        <w:t xml:space="preserve"> </w:t>
      </w:r>
      <m:oMath>
        <m:sSub>
          <m:e>
            <m:r>
              <m:t>δ</m:t>
            </m:r>
          </m:e>
          <m:sub>
            <m:r>
              <m:t>m</m:t>
            </m:r>
            <m:r>
              <m:t>j</m:t>
            </m:r>
          </m:sub>
        </m:sSub>
        <m:r>
          <m:rPr>
            <m:sty m:val="p"/>
          </m:rPr>
          <m:t>=</m:t>
        </m:r>
        <m:sSub>
          <m:e>
            <m:r>
              <m:t>w</m:t>
            </m:r>
          </m:e>
          <m:sub>
            <m:r>
              <m:t>m</m:t>
            </m:r>
            <m:r>
              <m:rPr>
                <m:sty m:val="p"/>
              </m:rPr>
              <m:t>+</m:t>
            </m:r>
            <m:r>
              <m:t>1</m:t>
            </m:r>
            <m:r>
              <m:rPr>
                <m:sty m:val="p"/>
              </m:rPr>
              <m:t>,</m:t>
            </m:r>
            <m:r>
              <m:t>j</m:t>
            </m:r>
          </m:sub>
        </m:sSub>
        <m:r>
          <m:rPr>
            <m:sty m:val="p"/>
          </m:rPr>
          <m:t>−</m:t>
        </m:r>
        <m:sSub>
          <m:e>
            <m:r>
              <m:t>w</m:t>
            </m:r>
          </m:e>
          <m:sub>
            <m:r>
              <m:t>m</m:t>
            </m:r>
            <m:r>
              <m:t>j</m:t>
            </m:r>
          </m:sub>
        </m:sSub>
      </m:oMath>
      <w:r>
        <w:t xml:space="preserve">. Exact bin integration makes the later-minus-earlier normalised call gap quadratic within each bin, as Equation (18) shows.</w:t>
      </w:r>
    </w:p>
    <w:p>
      <w:pPr>
        <w:pStyle w:val="BodyText"/>
        <w:keepNext/>
        <w:spacing w:before="120" w:after="40"/>
        <w:jc w:val="center"/>
      </w:pPr>
      <m:oMathPara>
        <m:oMathParaPr>
          <m:jc m:val="center"/>
        </m:oMathParaPr>
        <m:oMath>
          <m:m>
            <m:mPr>
              <m:baseJc m:val="center"/>
              <m:plcHide m:val="on"/>
              <m:mcs>
                <m:mc>
                  <m:mcPr>
                    <m:mcJc m:val="center"/>
                    <m:count m:val="1"/>
                  </m:mcPr>
                </m:mc>
              </m:mcs>
            </m:mPr>
            <m:mr>
              <m:e>
                <m:sSub>
                  <m:e>
                    <m:r>
                      <m:t>Δ</m:t>
                    </m:r>
                  </m:e>
                  <m:sub>
                    <m:r>
                      <m:t>m</m:t>
                    </m:r>
                  </m:sub>
                </m:sSub>
                <m:d>
                  <m:dPr>
                    <m:begChr m:val="("/>
                    <m:endChr m:val=")"/>
                    <m:sepChr m:val=""/>
                    <m:grow/>
                  </m:dPr>
                  <m:e>
                    <m:sSub>
                      <m:e>
                        <m:r>
                          <m:t>u</m:t>
                        </m:r>
                      </m:e>
                      <m:sub>
                        <m:r>
                          <m:t>j</m:t>
                        </m:r>
                        <m:r>
                          <m:rPr>
                            <m:sty m:val="p"/>
                          </m:rPr>
                          <m:t>−</m:t>
                        </m:r>
                        <m:r>
                          <m:t>1</m:t>
                        </m:r>
                      </m:sub>
                    </m:sSub>
                    <m:r>
                      <m:rPr>
                        <m:sty m:val="p"/>
                      </m:rPr>
                      <m:t>+</m:t>
                    </m:r>
                    <m:r>
                      <m:t>z</m:t>
                    </m:r>
                  </m:e>
                </m:d>
                <m:r>
                  <m:rPr>
                    <m:sty m:val="p"/>
                  </m:rPr>
                  <m:t>=</m:t>
                </m:r>
                <m:sSub>
                  <m:e>
                    <m:r>
                      <m:t>Δ</m:t>
                    </m:r>
                  </m:e>
                  <m:sub>
                    <m:r>
                      <m:t>m</m:t>
                    </m:r>
                  </m:sub>
                </m:sSub>
                <m:d>
                  <m:dPr>
                    <m:begChr m:val="("/>
                    <m:endChr m:val=")"/>
                    <m:sepChr m:val=""/>
                    <m:grow/>
                  </m:dPr>
                  <m:e>
                    <m:sSub>
                      <m:e>
                        <m:r>
                          <m:t>u</m:t>
                        </m:r>
                      </m:e>
                      <m:sub>
                        <m:r>
                          <m:t>j</m:t>
                        </m:r>
                        <m:r>
                          <m:rPr>
                            <m:sty m:val="p"/>
                          </m:rPr>
                          <m:t>−</m:t>
                        </m:r>
                        <m:r>
                          <m:t>1</m:t>
                        </m:r>
                      </m:sub>
                    </m:sSub>
                  </m:e>
                </m:d>
                <m:r>
                  <m:rPr>
                    <m:sty m:val="p"/>
                  </m:rPr>
                  <m:t>−</m:t>
                </m:r>
                <m:r>
                  <m:t>z</m:t>
                </m:r>
                <m:nary>
                  <m:naryPr>
                    <m:chr m:val="∑"/>
                    <m:limLoc m:val="undOvr"/>
                    <m:subHide m:val="off"/>
                    <m:supHide m:val="off"/>
                  </m:naryPr>
                  <m:sub>
                    <m:r>
                      <m:rPr>
                        <m:sty m:val="p"/>
                      </m:rPr>
                      <m:t>ℓ</m:t>
                    </m:r>
                    <m:r>
                      <m:rPr>
                        <m:sty m:val="p"/>
                      </m:rPr>
                      <m:t>=</m:t>
                    </m:r>
                    <m:r>
                      <m:t>j</m:t>
                    </m:r>
                  </m:sub>
                  <m:sup>
                    <m:r>
                      <m:t>J</m:t>
                    </m:r>
                  </m:sup>
                  <m:e>
                    <m:sSub>
                      <m:e>
                        <m:r>
                          <m:t>δ</m:t>
                        </m:r>
                      </m:e>
                      <m:sub>
                        <m:r>
                          <m:t>m</m:t>
                        </m:r>
                        <m:r>
                          <m:rPr>
                            <m:sty m:val="p"/>
                          </m:rPr>
                          <m:t>ℓ</m:t>
                        </m:r>
                      </m:sub>
                    </m:sSub>
                  </m:e>
                </m:nary>
                <m:r>
                  <m:rPr>
                    <m:sty m:val="p"/>
                  </m:rPr>
                  <m:t>+</m:t>
                </m:r>
                <m:f>
                  <m:fPr>
                    <m:type m:val="bar"/>
                  </m:fPr>
                  <m:num>
                    <m:sSub>
                      <m:e>
                        <m:r>
                          <m:t>δ</m:t>
                        </m:r>
                      </m:e>
                      <m:sub>
                        <m:r>
                          <m:t>m</m:t>
                        </m:r>
                        <m:r>
                          <m:t>j</m:t>
                        </m:r>
                      </m:sub>
                    </m:sSub>
                  </m:num>
                  <m:den>
                    <m:r>
                      <m:t>2</m:t>
                    </m:r>
                    <m:r>
                      <m:t>Δ</m:t>
                    </m:r>
                    <m:r>
                      <m:t>u</m:t>
                    </m:r>
                  </m:den>
                </m:f>
                <m:sSup>
                  <m:e>
                    <m:r>
                      <m:t>z</m:t>
                    </m:r>
                  </m:e>
                  <m:sup>
                    <m:r>
                      <m:t>2</m:t>
                    </m:r>
                  </m:sup>
                </m:sSup>
                <m:r>
                  <m:rPr>
                    <m:sty m:val="p"/>
                  </m:rPr>
                  <m:t>,</m:t>
                </m:r>
              </m:e>
            </m:mr>
            <m:mr>
              <m:e>
                <m:r>
                  <m:t>0</m:t>
                </m:r>
                <m:r>
                  <m:rPr>
                    <m:sty m:val="p"/>
                  </m:rPr>
                  <m:t>≤</m:t>
                </m:r>
                <m:r>
                  <m:t>z</m:t>
                </m:r>
                <m:r>
                  <m:rPr>
                    <m:sty m:val="p"/>
                  </m:rPr>
                  <m:t>≤</m:t>
                </m:r>
                <m:r>
                  <m:t>Δ</m:t>
                </m:r>
                <m:r>
                  <m:t>u</m:t>
                </m:r>
                <m:r>
                  <m:rPr>
                    <m:sty m:val="p"/>
                  </m:rPr>
                  <m:t>.</m:t>
                </m:r>
              </m:e>
            </m:mr>
          </m:m>
        </m:oMath>
      </m:oMathPara>
    </w:p>
    <w:p>
      <w:bookmarkStart w:id="562" w:name="equation18"/>
      <w:pPr>
        <w:pStyle w:val="EquationCaption"/>
      </w:pPr>
      <w:r>
        <w:t xml:space="preserve">Equation 18. Within-bin quadratic calendar gap.</w:t>
      </w:r>
      <w:bookmarkEnd w:id="562"/>
    </w:p>
    <w:p>
      <w:pPr>
        <w:pStyle w:val="BodyText"/>
      </w:pPr>
      <w:r>
        <w:t xml:space="preserve">Endpoints are always checked. Where the quadratic is convex and its stationary point lies inside the bin, Equation (19) supplies the additional eligible minimum.</w:t>
      </w:r>
    </w:p>
    <w:p>
      <w:pPr>
        <w:pStyle w:val="BodyText"/>
        <w:keepNext/>
        <w:spacing w:before="120" w:after="40"/>
        <w:jc w:val="center"/>
      </w:pPr>
      <m:oMathPara>
        <m:oMathParaPr>
          <m:jc m:val="center"/>
        </m:oMathParaPr>
        <m:oMath>
          <m:sSubSup>
            <m:e>
              <m:r>
                <m:t>z</m:t>
              </m:r>
            </m:e>
            <m:sub>
              <m:r>
                <m:t>m</m:t>
              </m:r>
              <m:r>
                <m:t>j</m:t>
              </m:r>
            </m:sub>
            <m:sup>
              <m:r>
                <m:rPr>
                  <m:sty m:val="p"/>
                </m:rPr>
                <m:t>*</m:t>
              </m:r>
            </m:sup>
          </m:sSubSup>
          <m:r>
            <m:rPr>
              <m:sty m:val="p"/>
            </m:rPr>
            <m:t>=</m:t>
          </m:r>
          <m:r>
            <m:t>Δ</m:t>
          </m:r>
          <m:r>
            <m:t>u</m:t>
          </m:r>
          <m:r>
            <m:t> </m:t>
          </m:r>
          <m:f>
            <m:fPr>
              <m:type m:val="bar"/>
            </m:fPr>
            <m:num>
              <m:nary>
                <m:naryPr>
                  <m:chr m:val="∑"/>
                  <m:limLoc m:val="undOvr"/>
                  <m:subHide m:val="off"/>
                  <m:supHide m:val="off"/>
                </m:naryPr>
                <m:sub>
                  <m:r>
                    <m:rPr>
                      <m:sty m:val="p"/>
                    </m:rPr>
                    <m:t>ℓ</m:t>
                  </m:r>
                  <m:r>
                    <m:rPr>
                      <m:sty m:val="p"/>
                    </m:rPr>
                    <m:t>=</m:t>
                  </m:r>
                  <m:r>
                    <m:t>j</m:t>
                  </m:r>
                </m:sub>
                <m:sup>
                  <m:r>
                    <m:t>J</m:t>
                  </m:r>
                </m:sup>
                <m:e>
                  <m:sSub>
                    <m:e>
                      <m:r>
                        <m:t>δ</m:t>
                      </m:r>
                    </m:e>
                    <m:sub>
                      <m:r>
                        <m:t>m</m:t>
                      </m:r>
                      <m:r>
                        <m:rPr>
                          <m:sty m:val="p"/>
                        </m:rPr>
                        <m:t>ℓ</m:t>
                      </m:r>
                    </m:sub>
                  </m:sSub>
                </m:e>
              </m:nary>
            </m:num>
            <m:den>
              <m:sSub>
                <m:e>
                  <m:r>
                    <m:t>δ</m:t>
                  </m:r>
                </m:e>
                <m:sub>
                  <m:r>
                    <m:t>m</m:t>
                  </m:r>
                  <m:r>
                    <m:t>j</m:t>
                  </m:r>
                </m:sub>
              </m:sSub>
            </m:den>
          </m:f>
          <m:r>
            <m:rPr>
              <m:sty m:val="p"/>
            </m:rPr>
            <m:t>,</m:t>
          </m:r>
          <m:r>
            <m:t>  </m:t>
          </m:r>
          <m:sSub>
            <m:e>
              <m:r>
                <m:t>δ</m:t>
              </m:r>
            </m:e>
            <m:sub>
              <m:r>
                <m:t>m</m:t>
              </m:r>
              <m:r>
                <m:t>j</m:t>
              </m:r>
            </m:sub>
          </m:sSub>
          <m:r>
            <m:rPr>
              <m:sty m:val="p"/>
            </m:rPr>
            <m:t>&gt;</m:t>
          </m:r>
          <m:r>
            <m:t>0</m:t>
          </m:r>
          <m:r>
            <m:rPr>
              <m:sty m:val="p"/>
            </m:rPr>
            <m:t>,</m:t>
          </m:r>
          <m:r>
            <m:t> </m:t>
          </m:r>
          <m:r>
            <m:t>0</m:t>
          </m:r>
          <m:r>
            <m:rPr>
              <m:sty m:val="p"/>
            </m:rPr>
            <m:t>&lt;</m:t>
          </m:r>
          <m:sSubSup>
            <m:e>
              <m:r>
                <m:t>z</m:t>
              </m:r>
            </m:e>
            <m:sub>
              <m:r>
                <m:t>m</m:t>
              </m:r>
              <m:r>
                <m:t>j</m:t>
              </m:r>
            </m:sub>
            <m:sup>
              <m:r>
                <m:rPr>
                  <m:sty m:val="p"/>
                </m:rPr>
                <m:t>*</m:t>
              </m:r>
            </m:sup>
          </m:sSubSup>
          <m:r>
            <m:rPr>
              <m:sty m:val="p"/>
            </m:rPr>
            <m:t>&lt;</m:t>
          </m:r>
          <m:r>
            <m:t>Δ</m:t>
          </m:r>
          <m:r>
            <m:t>u</m:t>
          </m:r>
          <m:r>
            <m:rPr>
              <m:sty m:val="p"/>
            </m:rPr>
            <m:t>.</m:t>
          </m:r>
        </m:oMath>
      </m:oMathPara>
    </w:p>
    <w:p>
      <w:bookmarkStart w:id="563" w:name="equation19"/>
      <w:pPr>
        <w:pStyle w:val="EquationCaption"/>
      </w:pPr>
      <w:r>
        <w:t xml:space="preserve">Equation 19. Interior calendar-gap minimum.</w:t>
      </w:r>
      <w:bookmarkEnd w:id="563"/>
    </w:p>
    <w:p>
      <w:pPr>
        <w:pStyle w:val="BodyText"/>
      </w:pPr>
      <w:r>
        <w:t xml:space="preserve">These are project derivations from the uniform-bin payoff, rather than formulae taken from the SVI parameterisation in [12]. Violating interior minima are added as constraint locations and the programme is solved again. A deliberately constructed mean-one counterexample passed boundary checks but reached a gap of</w:t>
      </w:r>
      <w:r>
        <w:t xml:space="preserve"> </w:t>
      </w:r>
      <m:oMath>
        <m:r>
          <m:rPr>
            <m:sty m:val="p"/>
          </m:rPr>
          <m:t>−</m:t>
        </m:r>
        <m:r>
          <m:t>0.009375</m:t>
        </m:r>
      </m:oMath>
      <w:r>
        <w:t xml:space="preserve"> </w:t>
      </w:r>
      <w:r>
        <w:t xml:space="preserve">at</w:t>
      </w:r>
      <w:r>
        <w:t xml:space="preserve"> </w:t>
      </w:r>
      <m:oMath>
        <m:r>
          <m:t>κ</m:t>
        </m:r>
        <m:r>
          <m:rPr>
            <m:sty m:val="p"/>
          </m:rPr>
          <m:t>=</m:t>
        </m:r>
        <m:r>
          <m:t>0.875</m:t>
        </m:r>
      </m:oMath>
      <w:r>
        <w:t xml:space="preserve">, independently demonstrating why the interval check is needed.</w:t>
      </w:r>
    </w:p>
    <w:bookmarkEnd w:id="76"/>
    <w:bookmarkStart w:id="86" w:name="results-of-joint-fitting"/>
    <w:p>
      <w:bookmarkStart w:id="564" w:name="h19"/>
      <w:pPr>
        <w:pStyle w:val="Heading2"/>
        <w:numPr>
          <w:ilvl w:val="1"/>
          <w:numId w:val="70"/>
        </w:numPr>
      </w:pPr>
      <w:bookmarkEnd w:id="564"/>
      <w:r>
        <w:t>Results of joint fitting</w:t>
      </w:r>
    </w:p>
    <w:p>
      <w:pPr>
        <w:pStyle w:val="FirstParagraph"/>
      </w:pPr>
      <w:r>
        <w:t xml:space="preserve">The baseline joint problem has 960 masses. Its initial 833 calendar rows grow to 858 after five refinement rounds. The boundary-only solution reaches an interval minimum of approximately</w:t>
      </w:r>
      <w:r>
        <w:t xml:space="preserve"> </w:t>
      </w:r>
      <m:oMath>
        <m:r>
          <m:rPr>
            <m:sty m:val="p"/>
          </m:rPr>
          <m:t>−</m:t>
        </m:r>
        <m:r>
          <m:t>3.14</m:t>
        </m:r>
        <m:r>
          <m:rPr>
            <m:sty m:val="p"/>
          </m:rPr>
          <m:t>×</m:t>
        </m:r>
        <m:sSup>
          <m:e>
            <m:r>
              <m:t>10</m:t>
            </m:r>
          </m:e>
          <m:sup>
            <m:r>
              <m:rPr>
                <m:sty m:val="p"/>
              </m:rPr>
              <m:t>−</m:t>
            </m:r>
            <m:r>
              <m:t>7</m:t>
            </m:r>
          </m:sup>
        </m:sSup>
      </m:oMath>
      <w:r>
        <w:t xml:space="preserve">; refinement improves it to</w:t>
      </w:r>
      <w:r>
        <w:t xml:space="preserve"> </w:t>
      </w:r>
      <m:oMath>
        <m:r>
          <m:rPr>
            <m:sty m:val="p"/>
          </m:rPr>
          <m:t>−</m:t>
        </m:r>
        <m:r>
          <m:t>8.56</m:t>
        </m:r>
        <m:r>
          <m:rPr>
            <m:sty m:val="p"/>
          </m:rPr>
          <m:t>×</m:t>
        </m:r>
        <m:sSup>
          <m:e>
            <m:r>
              <m:t>10</m:t>
            </m:r>
          </m:e>
          <m:sup>
            <m:r>
              <m:rPr>
                <m:sty m:val="p"/>
              </m:rPr>
              <m:t>−</m:t>
            </m:r>
            <m:r>
              <m:t>10</m:t>
            </m:r>
          </m:sup>
        </m:sSup>
      </m:oMath>
      <w:r>
        <w:t xml:space="preserve">, inside the</w:t>
      </w:r>
      <w:r>
        <w:t xml:space="preserve"> </w:t>
      </w:r>
      <m:oMath>
        <m:sSup>
          <m:e>
            <m:r>
              <m:t>10</m:t>
            </m:r>
          </m:e>
          <m:sup>
            <m:r>
              <m:rPr>
                <m:sty m:val="p"/>
              </m:rPr>
              <m:t>−</m:t>
            </m:r>
            <m:r>
              <m:t>8</m:t>
            </m:r>
          </m:sup>
        </m:sSup>
      </m:oMath>
      <w:r>
        <w:t xml:space="preserve"> </w:t>
      </w:r>
      <w:r>
        <w:t xml:space="preserve">reporting tolerance and the</w:t>
      </w:r>
      <w:r>
        <w:t xml:space="preserve"> </w:t>
      </w:r>
      <m:oMath>
        <m:sSup>
          <m:e>
            <m:r>
              <m:t>10</m:t>
            </m:r>
          </m:e>
          <m:sup>
            <m:r>
              <m:rPr>
                <m:sty m:val="p"/>
              </m:rPr>
              <m:t>−</m:t>
            </m:r>
            <m:r>
              <m:t>9</m:t>
            </m:r>
          </m:sup>
        </m:sSup>
      </m:oMath>
      <w:r>
        <w:t xml:space="preserve"> </w:t>
      </w:r>
      <w:r>
        <w:t xml:space="preserve">refinement target.</w:t>
      </w:r>
    </w:p>
    <w:p>
      <w:pPr>
        <w:sectPr>
          <w:type w:val="nextPage"/>
          <w:pgSz w:w="11906" w:h="16838" w:orient="portrait"/>
          <w:pgMar w:top="1008" w:bottom="1008" w:left="1152" w:right="1152" w:header="432" w:footer="432" w:gutter="0"/>
          <w:pgNumType w:fmt="decimal"/>
        </w:sectPr>
        <w:spacing w:before="0" w:after="0" w:line="1" w:lineRule="exact"/>
      </w:pPr>
      <w:r>
        <w:rPr>
          <w:sz w:val="2"/>
        </w:rPr>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152"/>
        <w:gridCol w:w="3152"/>
        <w:gridCol w:w="2866"/>
        <w:gridCol w:w="2579"/>
        <w:gridCol w:w="2579"/>
      </w:tblGrid>
      <w:tr>
        <w:trPr>
          <w:tblHeader w:val="true"/>
          <w:cantSplit/>
          <w:tblHeader/>
        </w:trPr>
        <w:tc>
          <w:tcPr>
            <w:tcW w:type="dxa" w:w="3152"/>
            <w:vAlign w:val="center"/>
            <w:shd w:fill="E9EEF3"/>
          </w:tcPr>
          <w:p>
            <w:pPr>
              <w:pStyle w:val="Compact"/>
              <w:keepNext/>
              <w:keepLines/>
              <w:spacing w:after="40" w:before="40" w:line="252" w:lineRule="auto"/>
              <w:jc w:val="left"/>
            </w:pPr>
            <w:r>
              <w:rPr>
                <w:b/>
                <w:sz w:val="20"/>
              </w:rPr>
              <w:t xml:space="preserve">Fit</w:t>
            </w:r>
          </w:p>
        </w:tc>
        <w:tc>
          <w:tcPr>
            <w:tcW w:type="dxa" w:w="3152"/>
            <w:vAlign w:val="center"/>
            <w:shd w:fill="E9EEF3"/>
          </w:tcPr>
          <w:p>
            <w:pPr>
              <w:pStyle w:val="Compact"/>
              <w:keepNext/>
              <w:keepLines/>
              <w:spacing w:after="40" w:before="40" w:line="252" w:lineRule="auto"/>
              <w:jc w:val="right"/>
            </w:pPr>
            <w:r>
              <w:rPr>
                <w:b/>
                <w:sz w:val="20"/>
              </w:rPr>
              <w:t xml:space="preserve">Grid violations</w:t>
            </w:r>
          </w:p>
        </w:tc>
        <w:tc>
          <w:tcPr>
            <w:tcW w:type="dxa" w:w="2866"/>
            <w:vAlign w:val="center"/>
            <w:shd w:fill="E9EEF3"/>
          </w:tcPr>
          <w:p>
            <w:pPr>
              <w:pStyle w:val="Compact"/>
              <w:keepNext/>
              <w:keepLines/>
              <w:spacing w:after="40" w:before="40" w:line="252" w:lineRule="auto"/>
              <w:jc w:val="right"/>
            </w:pPr>
            <w:r>
              <w:rPr>
                <w:b/>
                <w:sz w:val="20"/>
              </w:rPr>
              <w:t xml:space="preserve">Minimum calendar gap</w:t>
            </w:r>
          </w:p>
        </w:tc>
        <w:tc>
          <w:tcPr>
            <w:tcW w:type="dxa" w:w="2579"/>
            <w:vAlign w:val="center"/>
            <w:shd w:fill="E9EEF3"/>
          </w:tcPr>
          <w:p>
            <w:pPr>
              <w:pStyle w:val="Compact"/>
              <w:keepNext/>
              <w:keepLines/>
              <w:spacing w:after="40" w:before="40" w:line="252" w:lineRule="auto"/>
              <w:jc w:val="right"/>
            </w:pPr>
            <w:r>
              <w:rPr>
                <w:b/>
                <w:sz w:val="20"/>
              </w:rPr>
              <w:t xml:space="preserve">Pooled withheld-price RMSE</w:t>
            </w:r>
          </w:p>
        </w:tc>
        <w:tc>
          <w:tcPr>
            <w:tcW w:type="dxa" w:w="2579"/>
            <w:vAlign w:val="center"/>
            <w:shd w:fill="E9EEF3"/>
          </w:tcPr>
          <w:p>
            <w:pPr>
              <w:pStyle w:val="Compact"/>
              <w:keepNext/>
              <w:keepLines/>
              <w:spacing w:after="40" w:before="40" w:line="252" w:lineRule="auto"/>
              <w:jc w:val="right"/>
            </w:pPr>
            <w:r>
              <w:rPr>
                <w:b/>
                <w:sz w:val="20"/>
              </w:rPr>
              <w:t xml:space="preserve">Mean density</w:t>
            </w:r>
            <w:r>
              <w:rPr>
                <w:b/>
                <w:sz w:val="20"/>
              </w:rPr>
              <w:t xml:space="preserve"> </w:t>
            </w:r>
            <m:oMath>
              <m:sSub>
                <m:e>
                  <m:r>
                    <m:t>L</m:t>
                  </m:r>
                </m:e>
                <m:sub>
                  <m:r>
                    <m:t>1</m:t>
                  </m:r>
                </m:sub>
              </m:sSub>
            </m:oMath>
          </w:p>
        </w:tc>
      </w:tr>
      <w:tr>
        <w:trPr>
          <w:cantSplit/>
        </w:trPr>
        <w:tc>
          <w:tcPr>
            <w:tcW w:type="dxa" w:w="3152"/>
            <w:vAlign w:val="center"/>
          </w:tcPr>
          <w:p>
            <w:pPr>
              <w:pStyle w:val="Compact"/>
              <w:keepNext/>
              <w:keepLines/>
              <w:spacing w:after="40" w:before="40" w:line="252" w:lineRule="auto"/>
              <w:jc w:val="left"/>
            </w:pPr>
            <w:r>
              <w:rPr>
                <w:b w:val="0"/>
                <w:sz w:val="20"/>
              </w:rPr>
              <w:t xml:space="preserve">Saved independent SLSQP</w:t>
            </w:r>
          </w:p>
        </w:tc>
        <w:tc>
          <w:tcPr>
            <w:tcW w:type="dxa" w:w="3152"/>
            <w:vAlign w:val="center"/>
          </w:tcPr>
          <w:p>
            <w:pPr>
              <w:pStyle w:val="Compact"/>
              <w:keepNext/>
              <w:keepLines/>
              <w:spacing w:after="40" w:before="40" w:line="252" w:lineRule="auto"/>
              <w:jc w:val="right"/>
            </w:pPr>
            <w:r>
              <w:rPr>
                <w:b w:val="0"/>
                <w:sz w:val="20"/>
              </w:rPr>
              <w:t xml:space="preserve">2,762</w:t>
            </w:r>
          </w:p>
        </w:tc>
        <w:tc>
          <w:tcPr>
            <w:tcW w:type="dxa" w:w="2866"/>
            <w:vAlign w:val="center"/>
          </w:tcPr>
          <w:p>
            <w:pPr>
              <w:pStyle w:val="Compact"/>
              <w:keepNext/>
              <w:keepLines/>
              <w:spacing w:after="40" w:before="40" w:line="252" w:lineRule="auto"/>
              <w:jc w:val="right"/>
            </w:pPr>
            <m:oMath>
              <m:r>
                <m:rPr>
                  <m:sty m:val="p"/>
                </m:rPr>
                <m:t>−</m:t>
              </m:r>
              <m:r>
                <m:t>1.90808</m:t>
              </m:r>
              <m:r>
                <m:rPr>
                  <m:sty m:val="p"/>
                </m:rPr>
                <m:t>×</m:t>
              </m:r>
              <m:sSup>
                <m:e>
                  <m:r>
                    <m:t>10</m:t>
                  </m:r>
                </m:e>
                <m:sup>
                  <m:r>
                    <m:rPr>
                      <m:sty m:val="p"/>
                    </m:rPr>
                    <m:t>−</m:t>
                  </m:r>
                  <m:r>
                    <m:t>4</m:t>
                  </m:r>
                </m:sup>
              </m:sSup>
            </m:oMath>
          </w:p>
        </w:tc>
        <w:tc>
          <w:tcPr>
            <w:tcW w:type="dxa" w:w="2579"/>
            <w:vAlign w:val="center"/>
          </w:tcPr>
          <w:p>
            <w:pPr>
              <w:pStyle w:val="Compact"/>
              <w:keepNext/>
              <w:keepLines/>
              <w:spacing w:after="40" w:before="40" w:line="252" w:lineRule="auto"/>
              <w:jc w:val="right"/>
            </w:pPr>
            <w:r>
              <w:rPr>
                <w:b w:val="0"/>
                <w:sz w:val="20"/>
              </w:rPr>
              <w:t xml:space="preserve">0.119513</w:t>
            </w:r>
          </w:p>
        </w:tc>
        <w:tc>
          <w:tcPr>
            <w:tcW w:type="dxa" w:w="2579"/>
            <w:vAlign w:val="center"/>
          </w:tcPr>
          <w:p>
            <w:pPr>
              <w:pStyle w:val="Compact"/>
              <w:keepNext/>
              <w:keepLines/>
              <w:spacing w:after="40" w:before="40" w:line="252" w:lineRule="auto"/>
              <w:jc w:val="right"/>
            </w:pPr>
            <w:r>
              <w:rPr>
                <w:b w:val="0"/>
                <w:sz w:val="20"/>
              </w:rPr>
              <w:t xml:space="preserve">0.035157</w:t>
            </w:r>
          </w:p>
        </w:tc>
      </w:tr>
      <w:tr>
        <w:trPr>
          <w:cantSplit/>
        </w:trPr>
        <w:tc>
          <w:tcPr>
            <w:tcW w:type="dxa" w:w="3152"/>
            <w:vAlign w:val="center"/>
          </w:tcPr>
          <w:p>
            <w:pPr>
              <w:pStyle w:val="Compact"/>
              <w:keepNext/>
              <w:keepLines/>
              <w:spacing w:after="40" w:before="40" w:line="252" w:lineRule="auto"/>
              <w:jc w:val="left"/>
            </w:pPr>
            <w:r>
              <w:rPr>
                <w:b w:val="0"/>
                <w:sz w:val="20"/>
              </w:rPr>
              <w:t xml:space="preserve">Independent OSQP control</w:t>
            </w:r>
          </w:p>
        </w:tc>
        <w:tc>
          <w:tcPr>
            <w:tcW w:type="dxa" w:w="3152"/>
            <w:vAlign w:val="center"/>
          </w:tcPr>
          <w:p>
            <w:pPr>
              <w:pStyle w:val="Compact"/>
              <w:keepNext/>
              <w:keepLines/>
              <w:spacing w:after="40" w:before="40" w:line="252" w:lineRule="auto"/>
              <w:jc w:val="right"/>
            </w:pPr>
            <w:r>
              <w:rPr>
                <w:b w:val="0"/>
                <w:sz w:val="20"/>
              </w:rPr>
              <w:t xml:space="preserve">2,763</w:t>
            </w:r>
          </w:p>
        </w:tc>
        <w:tc>
          <w:tcPr>
            <w:tcW w:type="dxa" w:w="2866"/>
            <w:vAlign w:val="center"/>
          </w:tcPr>
          <w:p>
            <w:pPr>
              <w:pStyle w:val="Compact"/>
              <w:keepNext/>
              <w:keepLines/>
              <w:spacing w:after="40" w:before="40" w:line="252" w:lineRule="auto"/>
              <w:jc w:val="right"/>
            </w:pPr>
            <m:oMath>
              <m:r>
                <m:rPr>
                  <m:sty m:val="p"/>
                </m:rPr>
                <m:t>−</m:t>
              </m:r>
              <m:r>
                <m:t>1.90836</m:t>
              </m:r>
              <m:r>
                <m:rPr>
                  <m:sty m:val="p"/>
                </m:rPr>
                <m:t>×</m:t>
              </m:r>
              <m:sSup>
                <m:e>
                  <m:r>
                    <m:t>10</m:t>
                  </m:r>
                </m:e>
                <m:sup>
                  <m:r>
                    <m:rPr>
                      <m:sty m:val="p"/>
                    </m:rPr>
                    <m:t>−</m:t>
                  </m:r>
                  <m:r>
                    <m:t>4</m:t>
                  </m:r>
                </m:sup>
              </m:sSup>
            </m:oMath>
          </w:p>
        </w:tc>
        <w:tc>
          <w:tcPr>
            <w:tcW w:type="dxa" w:w="2579"/>
            <w:vAlign w:val="center"/>
          </w:tcPr>
          <w:p>
            <w:pPr>
              <w:pStyle w:val="Compact"/>
              <w:keepNext/>
              <w:keepLines/>
              <w:spacing w:after="40" w:before="40" w:line="252" w:lineRule="auto"/>
              <w:jc w:val="right"/>
            </w:pPr>
            <w:r>
              <w:rPr>
                <w:b w:val="0"/>
                <w:sz w:val="20"/>
              </w:rPr>
              <w:t xml:space="preserve">0.119513</w:t>
            </w:r>
          </w:p>
        </w:tc>
        <w:tc>
          <w:tcPr>
            <w:tcW w:type="dxa" w:w="2579"/>
            <w:vAlign w:val="center"/>
          </w:tcPr>
          <w:p>
            <w:pPr>
              <w:pStyle w:val="Compact"/>
              <w:keepNext/>
              <w:keepLines/>
              <w:spacing w:after="40" w:before="40" w:line="252" w:lineRule="auto"/>
              <w:jc w:val="right"/>
            </w:pPr>
            <w:r>
              <w:rPr>
                <w:b w:val="0"/>
                <w:sz w:val="20"/>
              </w:rPr>
              <w:t xml:space="preserve">0.035158</w:t>
            </w:r>
          </w:p>
        </w:tc>
      </w:tr>
      <w:tr>
        <w:trPr>
          <w:cantSplit/>
        </w:trPr>
        <w:tc>
          <w:tcPr>
            <w:tcW w:type="dxa" w:w="3152"/>
            <w:vAlign w:val="center"/>
          </w:tcPr>
          <w:p>
            <w:pPr>
              <w:pStyle w:val="Compact"/>
              <w:keepNext/>
              <w:keepLines/>
              <w:spacing w:after="40" w:before="40" w:line="252" w:lineRule="auto"/>
              <w:jc w:val="left"/>
            </w:pPr>
            <w:r>
              <w:rPr>
                <w:b w:val="0"/>
                <w:sz w:val="20"/>
              </w:rPr>
              <w:t xml:space="preserve">Joint OSQP</w:t>
            </w:r>
          </w:p>
        </w:tc>
        <w:tc>
          <w:tcPr>
            <w:tcW w:type="dxa" w:w="3152"/>
            <w:vAlign w:val="center"/>
          </w:tcPr>
          <w:p>
            <w:pPr>
              <w:pStyle w:val="Compact"/>
              <w:keepNext/>
              <w:keepLines/>
              <w:spacing w:after="40" w:before="40" w:line="252" w:lineRule="auto"/>
              <w:jc w:val="right"/>
            </w:pPr>
            <w:r>
              <w:rPr>
                <w:b w:val="0"/>
                <w:sz w:val="20"/>
              </w:rPr>
              <w:t xml:space="preserve">0</w:t>
            </w:r>
          </w:p>
        </w:tc>
        <w:tc>
          <w:tcPr>
            <w:tcW w:type="dxa" w:w="2866"/>
            <w:vAlign w:val="center"/>
          </w:tcPr>
          <w:p>
            <w:pPr>
              <w:pStyle w:val="Compact"/>
              <w:keepNext/>
              <w:keepLines/>
              <w:spacing w:after="40" w:before="40" w:line="252" w:lineRule="auto"/>
              <w:jc w:val="right"/>
            </w:pPr>
            <m:oMath>
              <m:r>
                <m:rPr>
                  <m:sty m:val="p"/>
                </m:rPr>
                <m:t>−</m:t>
              </m:r>
              <m:r>
                <m:t>8.56105</m:t>
              </m:r>
              <m:r>
                <m:rPr>
                  <m:sty m:val="p"/>
                </m:rPr>
                <m:t>×</m:t>
              </m:r>
              <m:sSup>
                <m:e>
                  <m:r>
                    <m:t>10</m:t>
                  </m:r>
                </m:e>
                <m:sup>
                  <m:r>
                    <m:rPr>
                      <m:sty m:val="p"/>
                    </m:rPr>
                    <m:t>−</m:t>
                  </m:r>
                  <m:r>
                    <m:t>10</m:t>
                  </m:r>
                </m:sup>
              </m:sSup>
            </m:oMath>
          </w:p>
        </w:tc>
        <w:tc>
          <w:tcPr>
            <w:tcW w:type="dxa" w:w="2579"/>
            <w:vAlign w:val="center"/>
          </w:tcPr>
          <w:p>
            <w:pPr>
              <w:pStyle w:val="Compact"/>
              <w:keepNext/>
              <w:keepLines/>
              <w:spacing w:after="40" w:before="40" w:line="252" w:lineRule="auto"/>
              <w:jc w:val="right"/>
            </w:pPr>
            <w:r>
              <w:rPr>
                <w:b w:val="0"/>
                <w:sz w:val="20"/>
              </w:rPr>
              <w:t xml:space="preserve">0.119153</w:t>
            </w:r>
          </w:p>
        </w:tc>
        <w:tc>
          <w:tcPr>
            <w:tcW w:type="dxa" w:w="2579"/>
            <w:vAlign w:val="center"/>
          </w:tcPr>
          <w:p>
            <w:pPr>
              <w:pStyle w:val="Compact"/>
              <w:keepNext/>
              <w:keepLines/>
              <w:spacing w:after="40" w:before="40" w:line="252" w:lineRule="auto"/>
              <w:jc w:val="right"/>
            </w:pPr>
            <w:r>
              <w:rPr>
                <w:b w:val="0"/>
                <w:sz w:val="20"/>
              </w:rPr>
              <w:t xml:space="preserve">0.035162</w:t>
            </w:r>
          </w:p>
        </w:tc>
      </w:tr>
    </w:tbl>
    <w:p>
      <w:bookmarkStart w:id="565" w:name="table9"/>
      <w:pPr>
        <w:pStyle w:val="TableCaption"/>
      </w:pPr>
      <w:r>
        <w:t xml:space="preserve">Table 9. Calendar consistency and recovery accuracy across the three fitting cases. Grid counts use 13,307 adjacent-pair comparisons and tolerance</w:t>
      </w:r>
      <w:r>
        <w:t xml:space="preserve"> </w:t>
      </w:r>
      <m:oMath>
        <m:sSup>
          <m:e>
            <m:r>
              <m:t>10</m:t>
            </m:r>
          </m:e>
          <m:sup>
            <m:r>
              <m:rPr>
                <m:sty m:val="p"/>
              </m:rPr>
              <m:t>−</m:t>
            </m:r>
            <m:r>
              <m:t>8</m:t>
            </m:r>
          </m:sup>
        </m:sSup>
      </m:oMath>
      <w:r>
        <w:t xml:space="preserve">. The minimum gap comes from the interval-level check. Price RMSE is in index points; gap and density</w:t>
      </w:r>
      <w:r>
        <w:t xml:space="preserve"> </w:t>
      </w:r>
      <m:oMath>
        <m:sSub>
          <m:e>
            <m:r>
              <m:t>L</m:t>
            </m:r>
          </m:e>
          <m:sub>
            <m:r>
              <m:t>1</m:t>
            </m:r>
          </m:sub>
        </m:sSub>
      </m:oMath>
      <w:r>
        <w:t xml:space="preserve"> </w:t>
      </w:r>
      <w:r>
        <w:t xml:space="preserve">are dimensionless.</w:t>
      </w:r>
      <w:bookmarkEnd w:id="565"/>
    </w:p>
    <w:p>
      <w:pPr>
        <w:sectPr>
          <w:type w:val="nextPage"/>
          <w:pgSz w:w="16838" w:h="11906" w:orient="landscape"/>
          <w:pgMar w:top="1008" w:bottom="1008" w:left="1152" w:right="1152" w:header="432" w:footer="432" w:gutter="0"/>
          <w:pgNumType w:fmt="decimal"/>
        </w:sectPr>
        <w:spacing w:before="0" w:after="0" w:line="1" w:lineRule="exact"/>
      </w:pPr>
      <w:r>
        <w:rPr>
          <w:sz w:val="2"/>
        </w:rPr>
      </w:r>
    </w:p>
    <w:p>
      <w:pPr>
        <w:pStyle w:val="BodyText"/>
        <w:keepNext/>
        <w:spacing w:after="40"/>
        <w:jc w:val="center"/>
      </w:pPr>
      <w:r>
        <w:drawing>
          <wp:inline>
            <wp:extent cx="5334000" cy="2286000"/>
            <wp:effectExtent b="0" l="0" r="0" t="0"/>
            <wp:docPr descr="Calendar gap before and after joint fitting" title="" id="78" name="Picture"/>
            <a:graphic>
              <a:graphicData uri="http://schemas.openxmlformats.org/drawingml/2006/picture">
                <pic:pic>
                  <pic:nvPicPr>
                    <pic:cNvPr descr="/workspace/scratch/62b9274b9d7e/spx-density-research/figures/figure_12_calendar_gap.png" id="79" name="Picture"/>
                    <pic:cNvPicPr>
                      <a:picLocks noChangeArrowheads="1" noChangeAspect="1"/>
                    </pic:cNvPicPr>
                  </pic:nvPicPr>
                  <pic:blipFill>
                    <a:blip r:embed="rId77"/>
                    <a:stretch>
                      <a:fillRect/>
                    </a:stretch>
                  </pic:blipFill>
                  <pic:spPr bwMode="auto">
                    <a:xfrm>
                      <a:off x="0" y="0"/>
                      <a:ext cx="5334000" cy="2286000"/>
                    </a:xfrm>
                    <a:prstGeom prst="rect">
                      <a:avLst/>
                    </a:prstGeom>
                    <a:noFill/>
                    <a:ln w="9525">
                      <a:noFill/>
                      <a:headEnd/>
                      <a:tailEnd/>
                    </a:ln>
                  </pic:spPr>
                </pic:pic>
              </a:graphicData>
            </a:graphic>
          </wp:inline>
        </w:drawing>
      </w:r>
    </w:p>
    <w:p>
      <w:bookmarkStart w:id="566" w:name="figure12"/>
      <w:pPr>
        <w:pStyle w:val="FigureCaption"/>
      </w:pPr>
      <w:r>
        <w:t xml:space="preserve">Figure 12. Difference between 365-day and 300-day forward-normalised call values under the independent control and joint fit. The left panel shows the upper-strike wing; the right panel enlarges the interval containing the control’s deepest decrease. A negative value violates the required maturity ordering when its magnitude exceeds the stated tolerance. Values are dimensionless.</w:t>
      </w:r>
      <w:bookmarkEnd w:id="566"/>
    </w:p>
    <w:p>
      <w:pPr>
        <w:sectPr>
          <w:type w:val="nextPage"/>
          <w:pgSz w:w="16838" w:h="11906" w:orient="landscape"/>
          <w:pgMar w:top="1008" w:bottom="1008" w:left="1152" w:right="1152" w:header="432" w:footer="432" w:gutter="0"/>
          <w:pgNumType w:fmt="decimal"/>
        </w:sectPr>
        <w:spacing w:before="0" w:after="0" w:line="1" w:lineRule="exact"/>
      </w:pPr>
      <w:r>
        <w:rPr>
          <w:sz w:val="2"/>
        </w:rPr>
      </w:r>
    </w:p>
    <w:p>
      <w:pPr>
        <w:pStyle w:val="BodyText"/>
      </w:pPr>
      <w:r>
        <w:t xml:space="preserve">The same-solver independent control has 2,763 sampled violations and the joint fit has zero. Withheld clean-price RMSE changes only from 0.119513 to 0.119153 points. Mean density error changes from 0.035158 to 0.035162, a slight deterioration. The regularised objective increases by approximately 0.03994%, as expected when adding restrictions. The extra independent-control violation relative to the earlier count reflects a numerical threshold difference, not new observations.</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107"/>
        <w:gridCol w:w="2107"/>
        <w:gridCol w:w="1915"/>
        <w:gridCol w:w="1724"/>
        <w:gridCol w:w="1724"/>
      </w:tblGrid>
      <w:tr>
        <w:trPr>
          <w:tblHeader w:val="true"/>
          <w:cantSplit/>
          <w:tblHeader/>
        </w:trPr>
        <w:tc>
          <w:tcPr>
            <w:tcW w:type="dxa" w:w="2107"/>
            <w:vAlign w:val="center"/>
            <w:shd w:fill="E9EEF3"/>
          </w:tcPr>
          <w:p>
            <w:pPr>
              <w:pStyle w:val="Compact"/>
              <w:keepNext/>
              <w:keepLines/>
              <w:spacing w:after="40" w:before="40" w:line="252" w:lineRule="auto"/>
              <w:jc w:val="left"/>
            </w:pPr>
            <w:r>
              <w:rPr>
                <w:b/>
                <w:sz w:val="21"/>
              </w:rPr>
              <w:t xml:space="preserve">Horizon (days)</w:t>
            </w:r>
          </w:p>
        </w:tc>
        <w:tc>
          <w:tcPr>
            <w:tcW w:type="dxa" w:w="2107"/>
            <w:vAlign w:val="center"/>
            <w:shd w:fill="E9EEF3"/>
          </w:tcPr>
          <w:p>
            <w:pPr>
              <w:pStyle w:val="Compact"/>
              <w:keepNext/>
              <w:keepLines/>
              <w:spacing w:after="40" w:before="40" w:line="252" w:lineRule="auto"/>
              <w:jc w:val="right"/>
            </w:pPr>
            <w:r>
              <w:rPr>
                <w:b/>
                <w:sz w:val="21"/>
              </w:rPr>
              <w:t xml:space="preserve">Control RMSE</w:t>
            </w:r>
          </w:p>
        </w:tc>
        <w:tc>
          <w:tcPr>
            <w:tcW w:type="dxa" w:w="1915"/>
            <w:vAlign w:val="center"/>
            <w:shd w:fill="E9EEF3"/>
          </w:tcPr>
          <w:p>
            <w:pPr>
              <w:pStyle w:val="Compact"/>
              <w:keepNext/>
              <w:keepLines/>
              <w:spacing w:after="40" w:before="40" w:line="252" w:lineRule="auto"/>
              <w:jc w:val="right"/>
            </w:pPr>
            <w:r>
              <w:rPr>
                <w:b/>
                <w:sz w:val="21"/>
              </w:rPr>
              <w:t xml:space="preserve">Joint RMSE</w:t>
            </w:r>
          </w:p>
        </w:tc>
        <w:tc>
          <w:tcPr>
            <w:tcW w:type="dxa" w:w="1724"/>
            <w:vAlign w:val="center"/>
            <w:shd w:fill="E9EEF3"/>
          </w:tcPr>
          <w:p>
            <w:pPr>
              <w:pStyle w:val="Compact"/>
              <w:keepNext/>
              <w:keepLines/>
              <w:spacing w:after="40" w:before="40" w:line="252" w:lineRule="auto"/>
              <w:jc w:val="right"/>
            </w:pPr>
            <w:r>
              <w:rPr>
                <w:b/>
                <w:sz w:val="21"/>
              </w:rPr>
              <w:t xml:space="preserve">Control density</w:t>
            </w:r>
            <w:r>
              <w:rPr>
                <w:b/>
                <w:sz w:val="21"/>
              </w:rPr>
              <w:t xml:space="preserve"> </w:t>
            </w:r>
            <m:oMath>
              <m:sSub>
                <m:e>
                  <m:r>
                    <m:t>L</m:t>
                  </m:r>
                </m:e>
                <m:sub>
                  <m:r>
                    <m:t>1</m:t>
                  </m:r>
                </m:sub>
              </m:sSub>
            </m:oMath>
          </w:p>
        </w:tc>
        <w:tc>
          <w:tcPr>
            <w:tcW w:type="dxa" w:w="1724"/>
            <w:vAlign w:val="center"/>
            <w:shd w:fill="E9EEF3"/>
          </w:tcPr>
          <w:p>
            <w:pPr>
              <w:pStyle w:val="Compact"/>
              <w:keepNext/>
              <w:keepLines/>
              <w:spacing w:after="40" w:before="40" w:line="252" w:lineRule="auto"/>
              <w:jc w:val="right"/>
            </w:pPr>
            <w:r>
              <w:rPr>
                <w:b/>
                <w:sz w:val="21"/>
              </w:rPr>
              <w:t xml:space="preserve">Joint density</w:t>
            </w:r>
            <w:r>
              <w:rPr>
                <w:b/>
                <w:sz w:val="21"/>
              </w:rPr>
              <w:t xml:space="preserve"> </w:t>
            </w:r>
            <m:oMath>
              <m:sSub>
                <m:e>
                  <m:r>
                    <m:t>L</m:t>
                  </m:r>
                </m:e>
                <m:sub>
                  <m:r>
                    <m:t>1</m:t>
                  </m:r>
                </m:sub>
              </m:sSub>
            </m:oMath>
          </w:p>
        </w:tc>
      </w:tr>
      <w:tr>
        <w:trPr>
          <w:cantSplit/>
        </w:trPr>
        <w:tc>
          <w:tcPr>
            <w:tcW w:type="dxa" w:w="2107"/>
            <w:vAlign w:val="center"/>
          </w:tcPr>
          <w:p>
            <w:pPr>
              <w:pStyle w:val="Compact"/>
              <w:keepNext/>
              <w:keepLines/>
              <w:spacing w:after="40" w:before="40" w:line="252" w:lineRule="auto"/>
              <w:jc w:val="right"/>
            </w:pPr>
            <w:r>
              <w:rPr>
                <w:b w:val="0"/>
                <w:sz w:val="21"/>
              </w:rPr>
              <w:t xml:space="preserve">30</w:t>
            </w:r>
          </w:p>
        </w:tc>
        <w:tc>
          <w:tcPr>
            <w:tcW w:type="dxa" w:w="2107"/>
            <w:vAlign w:val="center"/>
          </w:tcPr>
          <w:p>
            <w:pPr>
              <w:pStyle w:val="Compact"/>
              <w:keepNext/>
              <w:keepLines/>
              <w:spacing w:after="40" w:before="40" w:line="252" w:lineRule="auto"/>
              <w:jc w:val="right"/>
            </w:pPr>
            <w:r>
              <w:rPr>
                <w:b w:val="0"/>
                <w:sz w:val="21"/>
              </w:rPr>
              <w:t xml:space="preserve">0.127807</w:t>
            </w:r>
          </w:p>
        </w:tc>
        <w:tc>
          <w:tcPr>
            <w:tcW w:type="dxa" w:w="1915"/>
            <w:vAlign w:val="center"/>
          </w:tcPr>
          <w:p>
            <w:pPr>
              <w:pStyle w:val="Compact"/>
              <w:keepNext/>
              <w:keepLines/>
              <w:spacing w:after="40" w:before="40" w:line="252" w:lineRule="auto"/>
              <w:jc w:val="right"/>
            </w:pPr>
            <w:r>
              <w:rPr>
                <w:b w:val="0"/>
                <w:sz w:val="21"/>
              </w:rPr>
              <w:t xml:space="preserve">0.127248</w:t>
            </w:r>
          </w:p>
        </w:tc>
        <w:tc>
          <w:tcPr>
            <w:tcW w:type="dxa" w:w="1724"/>
            <w:vAlign w:val="center"/>
          </w:tcPr>
          <w:p>
            <w:pPr>
              <w:pStyle w:val="Compact"/>
              <w:keepNext/>
              <w:keepLines/>
              <w:spacing w:after="40" w:before="40" w:line="252" w:lineRule="auto"/>
              <w:jc w:val="right"/>
            </w:pPr>
            <w:r>
              <w:rPr>
                <w:b w:val="0"/>
                <w:sz w:val="21"/>
              </w:rPr>
              <w:t xml:space="preserve">0.058292</w:t>
            </w:r>
          </w:p>
        </w:tc>
        <w:tc>
          <w:tcPr>
            <w:tcW w:type="dxa" w:w="1724"/>
            <w:vAlign w:val="center"/>
          </w:tcPr>
          <w:p>
            <w:pPr>
              <w:pStyle w:val="Compact"/>
              <w:keepNext/>
              <w:keepLines/>
              <w:spacing w:after="40" w:before="40" w:line="252" w:lineRule="auto"/>
              <w:jc w:val="right"/>
            </w:pPr>
            <w:r>
              <w:rPr>
                <w:b w:val="0"/>
                <w:sz w:val="21"/>
              </w:rPr>
              <w:t xml:space="preserve">0.058580</w:t>
            </w:r>
          </w:p>
        </w:tc>
      </w:tr>
      <w:tr>
        <w:trPr>
          <w:cantSplit/>
        </w:trPr>
        <w:tc>
          <w:tcPr>
            <w:tcW w:type="dxa" w:w="2107"/>
            <w:vAlign w:val="center"/>
          </w:tcPr>
          <w:p>
            <w:pPr>
              <w:pStyle w:val="Compact"/>
              <w:keepNext/>
              <w:keepLines/>
              <w:spacing w:after="40" w:before="40" w:line="252" w:lineRule="auto"/>
              <w:jc w:val="right"/>
            </w:pPr>
            <w:r>
              <w:rPr>
                <w:b w:val="0"/>
                <w:sz w:val="21"/>
              </w:rPr>
              <w:t xml:space="preserve">60</w:t>
            </w:r>
          </w:p>
        </w:tc>
        <w:tc>
          <w:tcPr>
            <w:tcW w:type="dxa" w:w="2107"/>
            <w:vAlign w:val="center"/>
          </w:tcPr>
          <w:p>
            <w:pPr>
              <w:pStyle w:val="Compact"/>
              <w:keepNext/>
              <w:keepLines/>
              <w:spacing w:after="40" w:before="40" w:line="252" w:lineRule="auto"/>
              <w:jc w:val="right"/>
            </w:pPr>
            <w:r>
              <w:rPr>
                <w:b w:val="0"/>
                <w:sz w:val="21"/>
              </w:rPr>
              <w:t xml:space="preserve">0.109230</w:t>
            </w:r>
          </w:p>
        </w:tc>
        <w:tc>
          <w:tcPr>
            <w:tcW w:type="dxa" w:w="1915"/>
            <w:vAlign w:val="center"/>
          </w:tcPr>
          <w:p>
            <w:pPr>
              <w:pStyle w:val="Compact"/>
              <w:keepNext/>
              <w:keepLines/>
              <w:spacing w:after="40" w:before="40" w:line="252" w:lineRule="auto"/>
              <w:jc w:val="right"/>
            </w:pPr>
            <w:r>
              <w:rPr>
                <w:b w:val="0"/>
                <w:sz w:val="21"/>
              </w:rPr>
              <w:t xml:space="preserve">0.108049</w:t>
            </w:r>
          </w:p>
        </w:tc>
        <w:tc>
          <w:tcPr>
            <w:tcW w:type="dxa" w:w="1724"/>
            <w:vAlign w:val="center"/>
          </w:tcPr>
          <w:p>
            <w:pPr>
              <w:pStyle w:val="Compact"/>
              <w:keepNext/>
              <w:keepLines/>
              <w:spacing w:after="40" w:before="40" w:line="252" w:lineRule="auto"/>
              <w:jc w:val="right"/>
            </w:pPr>
            <w:r>
              <w:rPr>
                <w:b w:val="0"/>
                <w:sz w:val="21"/>
              </w:rPr>
              <w:t xml:space="preserve">0.042718</w:t>
            </w:r>
          </w:p>
        </w:tc>
        <w:tc>
          <w:tcPr>
            <w:tcW w:type="dxa" w:w="1724"/>
            <w:vAlign w:val="center"/>
          </w:tcPr>
          <w:p>
            <w:pPr>
              <w:pStyle w:val="Compact"/>
              <w:keepNext/>
              <w:keepLines/>
              <w:spacing w:after="40" w:before="40" w:line="252" w:lineRule="auto"/>
              <w:jc w:val="right"/>
            </w:pPr>
            <w:r>
              <w:rPr>
                <w:b w:val="0"/>
                <w:sz w:val="21"/>
              </w:rPr>
              <w:t xml:space="preserve">0.043281</w:t>
            </w:r>
          </w:p>
        </w:tc>
      </w:tr>
      <w:tr>
        <w:trPr>
          <w:cantSplit/>
        </w:trPr>
        <w:tc>
          <w:tcPr>
            <w:tcW w:type="dxa" w:w="2107"/>
            <w:vAlign w:val="center"/>
          </w:tcPr>
          <w:p>
            <w:pPr>
              <w:pStyle w:val="Compact"/>
              <w:keepNext/>
              <w:keepLines/>
              <w:spacing w:after="40" w:before="40" w:line="252" w:lineRule="auto"/>
              <w:jc w:val="right"/>
            </w:pPr>
            <w:r>
              <w:rPr>
                <w:b w:val="0"/>
                <w:sz w:val="21"/>
              </w:rPr>
              <w:t xml:space="preserve">90</w:t>
            </w:r>
          </w:p>
        </w:tc>
        <w:tc>
          <w:tcPr>
            <w:tcW w:type="dxa" w:w="2107"/>
            <w:vAlign w:val="center"/>
          </w:tcPr>
          <w:p>
            <w:pPr>
              <w:pStyle w:val="Compact"/>
              <w:keepNext/>
              <w:keepLines/>
              <w:spacing w:after="40" w:before="40" w:line="252" w:lineRule="auto"/>
              <w:jc w:val="right"/>
            </w:pPr>
            <w:r>
              <w:rPr>
                <w:b w:val="0"/>
                <w:sz w:val="21"/>
              </w:rPr>
              <w:t xml:space="preserve">0.131872</w:t>
            </w:r>
          </w:p>
        </w:tc>
        <w:tc>
          <w:tcPr>
            <w:tcW w:type="dxa" w:w="1915"/>
            <w:vAlign w:val="center"/>
          </w:tcPr>
          <w:p>
            <w:pPr>
              <w:pStyle w:val="Compact"/>
              <w:keepNext/>
              <w:keepLines/>
              <w:spacing w:after="40" w:before="40" w:line="252" w:lineRule="auto"/>
              <w:jc w:val="right"/>
            </w:pPr>
            <w:r>
              <w:rPr>
                <w:b w:val="0"/>
                <w:sz w:val="21"/>
              </w:rPr>
              <w:t xml:space="preserve">0.131690</w:t>
            </w:r>
          </w:p>
        </w:tc>
        <w:tc>
          <w:tcPr>
            <w:tcW w:type="dxa" w:w="1724"/>
            <w:vAlign w:val="center"/>
          </w:tcPr>
          <w:p>
            <w:pPr>
              <w:pStyle w:val="Compact"/>
              <w:keepNext/>
              <w:keepLines/>
              <w:spacing w:after="40" w:before="40" w:line="252" w:lineRule="auto"/>
              <w:jc w:val="right"/>
            </w:pPr>
            <w:r>
              <w:rPr>
                <w:b w:val="0"/>
                <w:sz w:val="21"/>
              </w:rPr>
              <w:t xml:space="preserve">0.036594</w:t>
            </w:r>
          </w:p>
        </w:tc>
        <w:tc>
          <w:tcPr>
            <w:tcW w:type="dxa" w:w="1724"/>
            <w:vAlign w:val="center"/>
          </w:tcPr>
          <w:p>
            <w:pPr>
              <w:pStyle w:val="Compact"/>
              <w:keepNext/>
              <w:keepLines/>
              <w:spacing w:after="40" w:before="40" w:line="252" w:lineRule="auto"/>
              <w:jc w:val="right"/>
            </w:pPr>
            <w:r>
              <w:rPr>
                <w:b w:val="0"/>
                <w:sz w:val="21"/>
              </w:rPr>
              <w:t xml:space="preserve">0.037064</w:t>
            </w:r>
          </w:p>
        </w:tc>
      </w:tr>
      <w:tr>
        <w:trPr>
          <w:cantSplit/>
        </w:trPr>
        <w:tc>
          <w:tcPr>
            <w:tcW w:type="dxa" w:w="2107"/>
            <w:vAlign w:val="center"/>
          </w:tcPr>
          <w:p>
            <w:pPr>
              <w:pStyle w:val="Compact"/>
              <w:keepNext/>
              <w:keepLines/>
              <w:spacing w:after="40" w:before="40" w:line="252" w:lineRule="auto"/>
              <w:jc w:val="right"/>
            </w:pPr>
            <w:r>
              <w:rPr>
                <w:b w:val="0"/>
                <w:sz w:val="21"/>
              </w:rPr>
              <w:t xml:space="preserve">120</w:t>
            </w:r>
          </w:p>
        </w:tc>
        <w:tc>
          <w:tcPr>
            <w:tcW w:type="dxa" w:w="2107"/>
            <w:vAlign w:val="center"/>
          </w:tcPr>
          <w:p>
            <w:pPr>
              <w:pStyle w:val="Compact"/>
              <w:keepNext/>
              <w:keepLines/>
              <w:spacing w:after="40" w:before="40" w:line="252" w:lineRule="auto"/>
              <w:jc w:val="right"/>
            </w:pPr>
            <w:r>
              <w:rPr>
                <w:b w:val="0"/>
                <w:sz w:val="21"/>
              </w:rPr>
              <w:t xml:space="preserve">0.096014</w:t>
            </w:r>
          </w:p>
        </w:tc>
        <w:tc>
          <w:tcPr>
            <w:tcW w:type="dxa" w:w="1915"/>
            <w:vAlign w:val="center"/>
          </w:tcPr>
          <w:p>
            <w:pPr>
              <w:pStyle w:val="Compact"/>
              <w:keepNext/>
              <w:keepLines/>
              <w:spacing w:after="40" w:before="40" w:line="252" w:lineRule="auto"/>
              <w:jc w:val="right"/>
            </w:pPr>
            <w:r>
              <w:rPr>
                <w:b w:val="0"/>
                <w:sz w:val="21"/>
              </w:rPr>
              <w:t xml:space="preserve">0.095934</w:t>
            </w:r>
          </w:p>
        </w:tc>
        <w:tc>
          <w:tcPr>
            <w:tcW w:type="dxa" w:w="1724"/>
            <w:vAlign w:val="center"/>
          </w:tcPr>
          <w:p>
            <w:pPr>
              <w:pStyle w:val="Compact"/>
              <w:keepNext/>
              <w:keepLines/>
              <w:spacing w:after="40" w:before="40" w:line="252" w:lineRule="auto"/>
              <w:jc w:val="right"/>
            </w:pPr>
            <w:r>
              <w:rPr>
                <w:b w:val="0"/>
                <w:sz w:val="21"/>
              </w:rPr>
              <w:t xml:space="preserve">0.030899</w:t>
            </w:r>
          </w:p>
        </w:tc>
        <w:tc>
          <w:tcPr>
            <w:tcW w:type="dxa" w:w="1724"/>
            <w:vAlign w:val="center"/>
          </w:tcPr>
          <w:p>
            <w:pPr>
              <w:pStyle w:val="Compact"/>
              <w:keepNext/>
              <w:keepLines/>
              <w:spacing w:after="40" w:before="40" w:line="252" w:lineRule="auto"/>
              <w:jc w:val="right"/>
            </w:pPr>
            <w:r>
              <w:rPr>
                <w:b w:val="0"/>
                <w:sz w:val="21"/>
              </w:rPr>
              <w:t xml:space="preserve">0.031052</w:t>
            </w:r>
          </w:p>
        </w:tc>
      </w:tr>
      <w:tr>
        <w:trPr>
          <w:cantSplit/>
        </w:trPr>
        <w:tc>
          <w:tcPr>
            <w:tcW w:type="dxa" w:w="2107"/>
            <w:vAlign w:val="center"/>
          </w:tcPr>
          <w:p>
            <w:pPr>
              <w:pStyle w:val="Compact"/>
              <w:keepNext/>
              <w:keepLines/>
              <w:spacing w:after="40" w:before="40" w:line="252" w:lineRule="auto"/>
              <w:jc w:val="right"/>
            </w:pPr>
            <w:r>
              <w:rPr>
                <w:b w:val="0"/>
                <w:sz w:val="21"/>
              </w:rPr>
              <w:t xml:space="preserve">180</w:t>
            </w:r>
          </w:p>
        </w:tc>
        <w:tc>
          <w:tcPr>
            <w:tcW w:type="dxa" w:w="2107"/>
            <w:vAlign w:val="center"/>
          </w:tcPr>
          <w:p>
            <w:pPr>
              <w:pStyle w:val="Compact"/>
              <w:keepNext/>
              <w:keepLines/>
              <w:spacing w:after="40" w:before="40" w:line="252" w:lineRule="auto"/>
              <w:jc w:val="right"/>
            </w:pPr>
            <w:r>
              <w:rPr>
                <w:b w:val="0"/>
                <w:sz w:val="21"/>
              </w:rPr>
              <w:t xml:space="preserve">0.083350</w:t>
            </w:r>
          </w:p>
        </w:tc>
        <w:tc>
          <w:tcPr>
            <w:tcW w:type="dxa" w:w="1915"/>
            <w:vAlign w:val="center"/>
          </w:tcPr>
          <w:p>
            <w:pPr>
              <w:pStyle w:val="Compact"/>
              <w:keepNext/>
              <w:keepLines/>
              <w:spacing w:after="40" w:before="40" w:line="252" w:lineRule="auto"/>
              <w:jc w:val="right"/>
            </w:pPr>
            <w:r>
              <w:rPr>
                <w:b w:val="0"/>
                <w:sz w:val="21"/>
              </w:rPr>
              <w:t xml:space="preserve">0.083266</w:t>
            </w:r>
          </w:p>
        </w:tc>
        <w:tc>
          <w:tcPr>
            <w:tcW w:type="dxa" w:w="1724"/>
            <w:vAlign w:val="center"/>
          </w:tcPr>
          <w:p>
            <w:pPr>
              <w:pStyle w:val="Compact"/>
              <w:keepNext/>
              <w:keepLines/>
              <w:spacing w:after="40" w:before="40" w:line="252" w:lineRule="auto"/>
              <w:jc w:val="right"/>
            </w:pPr>
            <w:r>
              <w:rPr>
                <w:b w:val="0"/>
                <w:sz w:val="21"/>
              </w:rPr>
              <w:t xml:space="preserve">0.027399</w:t>
            </w:r>
          </w:p>
        </w:tc>
        <w:tc>
          <w:tcPr>
            <w:tcW w:type="dxa" w:w="1724"/>
            <w:vAlign w:val="center"/>
          </w:tcPr>
          <w:p>
            <w:pPr>
              <w:pStyle w:val="Compact"/>
              <w:keepNext/>
              <w:keepLines/>
              <w:spacing w:after="40" w:before="40" w:line="252" w:lineRule="auto"/>
              <w:jc w:val="right"/>
            </w:pPr>
            <w:r>
              <w:rPr>
                <w:b w:val="0"/>
                <w:sz w:val="21"/>
              </w:rPr>
              <w:t xml:space="preserve">0.027311</w:t>
            </w:r>
          </w:p>
        </w:tc>
      </w:tr>
      <w:tr>
        <w:trPr>
          <w:cantSplit/>
        </w:trPr>
        <w:tc>
          <w:tcPr>
            <w:tcW w:type="dxa" w:w="2107"/>
            <w:vAlign w:val="center"/>
          </w:tcPr>
          <w:p>
            <w:pPr>
              <w:pStyle w:val="Compact"/>
              <w:keepNext/>
              <w:keepLines/>
              <w:spacing w:after="40" w:before="40" w:line="252" w:lineRule="auto"/>
              <w:jc w:val="right"/>
            </w:pPr>
            <w:r>
              <w:rPr>
                <w:b w:val="0"/>
                <w:sz w:val="21"/>
              </w:rPr>
              <w:t xml:space="preserve">240</w:t>
            </w:r>
          </w:p>
        </w:tc>
        <w:tc>
          <w:tcPr>
            <w:tcW w:type="dxa" w:w="2107"/>
            <w:vAlign w:val="center"/>
          </w:tcPr>
          <w:p>
            <w:pPr>
              <w:pStyle w:val="Compact"/>
              <w:keepNext/>
              <w:keepLines/>
              <w:spacing w:after="40" w:before="40" w:line="252" w:lineRule="auto"/>
              <w:jc w:val="right"/>
            </w:pPr>
            <w:r>
              <w:rPr>
                <w:b w:val="0"/>
                <w:sz w:val="21"/>
              </w:rPr>
              <w:t xml:space="preserve">0.149516</w:t>
            </w:r>
          </w:p>
        </w:tc>
        <w:tc>
          <w:tcPr>
            <w:tcW w:type="dxa" w:w="1915"/>
            <w:vAlign w:val="center"/>
          </w:tcPr>
          <w:p>
            <w:pPr>
              <w:pStyle w:val="Compact"/>
              <w:keepNext/>
              <w:keepLines/>
              <w:spacing w:after="40" w:before="40" w:line="252" w:lineRule="auto"/>
              <w:jc w:val="right"/>
            </w:pPr>
            <w:r>
              <w:rPr>
                <w:b w:val="0"/>
                <w:sz w:val="21"/>
              </w:rPr>
              <w:t xml:space="preserve">0.148945</w:t>
            </w:r>
          </w:p>
        </w:tc>
        <w:tc>
          <w:tcPr>
            <w:tcW w:type="dxa" w:w="1724"/>
            <w:vAlign w:val="center"/>
          </w:tcPr>
          <w:p>
            <w:pPr>
              <w:pStyle w:val="Compact"/>
              <w:keepNext/>
              <w:keepLines/>
              <w:spacing w:after="40" w:before="40" w:line="252" w:lineRule="auto"/>
              <w:jc w:val="right"/>
            </w:pPr>
            <w:r>
              <w:rPr>
                <w:b w:val="0"/>
                <w:sz w:val="21"/>
              </w:rPr>
              <w:t xml:space="preserve">0.026954</w:t>
            </w:r>
          </w:p>
        </w:tc>
        <w:tc>
          <w:tcPr>
            <w:tcW w:type="dxa" w:w="1724"/>
            <w:vAlign w:val="center"/>
          </w:tcPr>
          <w:p>
            <w:pPr>
              <w:pStyle w:val="Compact"/>
              <w:keepNext/>
              <w:keepLines/>
              <w:spacing w:after="40" w:before="40" w:line="252" w:lineRule="auto"/>
              <w:jc w:val="right"/>
            </w:pPr>
            <w:r>
              <w:rPr>
                <w:b w:val="0"/>
                <w:sz w:val="21"/>
              </w:rPr>
              <w:t xml:space="preserve">0.026008</w:t>
            </w:r>
          </w:p>
        </w:tc>
      </w:tr>
      <w:tr>
        <w:trPr>
          <w:cantSplit/>
        </w:trPr>
        <w:tc>
          <w:tcPr>
            <w:tcW w:type="dxa" w:w="2107"/>
            <w:vAlign w:val="center"/>
          </w:tcPr>
          <w:p>
            <w:pPr>
              <w:pStyle w:val="Compact"/>
              <w:keepNext/>
              <w:keepLines/>
              <w:spacing w:after="40" w:before="40" w:line="252" w:lineRule="auto"/>
              <w:jc w:val="right"/>
            </w:pPr>
            <w:r>
              <w:rPr>
                <w:b w:val="0"/>
                <w:sz w:val="21"/>
              </w:rPr>
              <w:t xml:space="preserve">300</w:t>
            </w:r>
          </w:p>
        </w:tc>
        <w:tc>
          <w:tcPr>
            <w:tcW w:type="dxa" w:w="2107"/>
            <w:vAlign w:val="center"/>
          </w:tcPr>
          <w:p>
            <w:pPr>
              <w:pStyle w:val="Compact"/>
              <w:keepNext/>
              <w:keepLines/>
              <w:spacing w:after="40" w:before="40" w:line="252" w:lineRule="auto"/>
              <w:jc w:val="right"/>
            </w:pPr>
            <w:r>
              <w:rPr>
                <w:b w:val="0"/>
                <w:sz w:val="21"/>
              </w:rPr>
              <w:t xml:space="preserve">0.105392</w:t>
            </w:r>
          </w:p>
        </w:tc>
        <w:tc>
          <w:tcPr>
            <w:tcW w:type="dxa" w:w="1915"/>
            <w:vAlign w:val="center"/>
          </w:tcPr>
          <w:p>
            <w:pPr>
              <w:pStyle w:val="Compact"/>
              <w:keepNext/>
              <w:keepLines/>
              <w:spacing w:after="40" w:before="40" w:line="252" w:lineRule="auto"/>
              <w:jc w:val="right"/>
            </w:pPr>
            <w:r>
              <w:rPr>
                <w:b w:val="0"/>
                <w:sz w:val="21"/>
              </w:rPr>
              <w:t xml:space="preserve">0.105271</w:t>
            </w:r>
          </w:p>
        </w:tc>
        <w:tc>
          <w:tcPr>
            <w:tcW w:type="dxa" w:w="1724"/>
            <w:vAlign w:val="center"/>
          </w:tcPr>
          <w:p>
            <w:pPr>
              <w:pStyle w:val="Compact"/>
              <w:keepNext/>
              <w:keepLines/>
              <w:spacing w:after="40" w:before="40" w:line="252" w:lineRule="auto"/>
              <w:jc w:val="right"/>
            </w:pPr>
            <w:r>
              <w:rPr>
                <w:b w:val="0"/>
                <w:sz w:val="21"/>
              </w:rPr>
              <w:t xml:space="preserve">0.025824</w:t>
            </w:r>
          </w:p>
        </w:tc>
        <w:tc>
          <w:tcPr>
            <w:tcW w:type="dxa" w:w="1724"/>
            <w:vAlign w:val="center"/>
          </w:tcPr>
          <w:p>
            <w:pPr>
              <w:pStyle w:val="Compact"/>
              <w:keepNext/>
              <w:keepLines/>
              <w:spacing w:after="40" w:before="40" w:line="252" w:lineRule="auto"/>
              <w:jc w:val="right"/>
            </w:pPr>
            <w:r>
              <w:rPr>
                <w:b w:val="0"/>
                <w:sz w:val="21"/>
              </w:rPr>
              <w:t xml:space="preserve">0.025642</w:t>
            </w:r>
          </w:p>
        </w:tc>
      </w:tr>
      <w:tr>
        <w:trPr>
          <w:cantSplit/>
        </w:trPr>
        <w:tc>
          <w:tcPr>
            <w:tcW w:type="dxa" w:w="2107"/>
            <w:vAlign w:val="center"/>
          </w:tcPr>
          <w:p>
            <w:pPr>
              <w:pStyle w:val="Compact"/>
              <w:keepNext/>
              <w:keepLines/>
              <w:spacing w:after="40" w:before="40" w:line="252" w:lineRule="auto"/>
              <w:jc w:val="right"/>
            </w:pPr>
            <w:r>
              <w:rPr>
                <w:b w:val="0"/>
                <w:sz w:val="21"/>
              </w:rPr>
              <w:t xml:space="preserve">365</w:t>
            </w:r>
          </w:p>
        </w:tc>
        <w:tc>
          <w:tcPr>
            <w:tcW w:type="dxa" w:w="2107"/>
            <w:vAlign w:val="center"/>
          </w:tcPr>
          <w:p>
            <w:pPr>
              <w:pStyle w:val="Compact"/>
              <w:keepNext/>
              <w:keepLines/>
              <w:spacing w:after="40" w:before="40" w:line="252" w:lineRule="auto"/>
              <w:jc w:val="right"/>
            </w:pPr>
            <w:r>
              <w:rPr>
                <w:b w:val="0"/>
                <w:sz w:val="21"/>
              </w:rPr>
              <w:t xml:space="preserve">0.137777</w:t>
            </w:r>
          </w:p>
        </w:tc>
        <w:tc>
          <w:tcPr>
            <w:tcW w:type="dxa" w:w="1915"/>
            <w:vAlign w:val="center"/>
          </w:tcPr>
          <w:p>
            <w:pPr>
              <w:pStyle w:val="Compact"/>
              <w:keepNext/>
              <w:keepLines/>
              <w:spacing w:after="40" w:before="40" w:line="252" w:lineRule="auto"/>
              <w:jc w:val="right"/>
            </w:pPr>
            <w:r>
              <w:rPr>
                <w:b w:val="0"/>
                <w:sz w:val="21"/>
              </w:rPr>
              <w:t xml:space="preserve">0.137723</w:t>
            </w:r>
          </w:p>
        </w:tc>
        <w:tc>
          <w:tcPr>
            <w:tcW w:type="dxa" w:w="1724"/>
            <w:vAlign w:val="center"/>
          </w:tcPr>
          <w:p>
            <w:pPr>
              <w:pStyle w:val="Compact"/>
              <w:keepNext/>
              <w:keepLines/>
              <w:spacing w:after="40" w:before="40" w:line="252" w:lineRule="auto"/>
              <w:jc w:val="right"/>
            </w:pPr>
            <w:r>
              <w:rPr>
                <w:b w:val="0"/>
                <w:sz w:val="21"/>
              </w:rPr>
              <w:t xml:space="preserve">0.032580</w:t>
            </w:r>
          </w:p>
        </w:tc>
        <w:tc>
          <w:tcPr>
            <w:tcW w:type="dxa" w:w="1724"/>
            <w:vAlign w:val="center"/>
          </w:tcPr>
          <w:p>
            <w:pPr>
              <w:pStyle w:val="Compact"/>
              <w:keepNext/>
              <w:keepLines/>
              <w:spacing w:after="40" w:before="40" w:line="252" w:lineRule="auto"/>
              <w:jc w:val="right"/>
            </w:pPr>
            <w:r>
              <w:rPr>
                <w:b w:val="0"/>
                <w:sz w:val="21"/>
              </w:rPr>
              <w:t xml:space="preserve">0.032363</w:t>
            </w:r>
          </w:p>
        </w:tc>
      </w:tr>
    </w:tbl>
    <w:p>
      <w:bookmarkStart w:id="567" w:name="table10"/>
      <w:pPr>
        <w:pStyle w:val="TableCaption"/>
      </w:pPr>
      <w:r>
        <w:t xml:space="preserve">Table 10. Recovery accuracy by synthetic horizon. RMSE compares against withheld clean prices; the density error is Equation (15) on the finite support.</w:t>
      </w:r>
      <w:bookmarkEnd w:id="567"/>
    </w:p>
    <w:p>
      <w:pPr>
        <w:sectPr>
          <w:type w:val="nextPage"/>
          <w:pgSz w:w="11906" w:h="16838" w:orient="portrait"/>
          <w:pgMar w:top="1008" w:bottom="1008" w:left="1152" w:right="1152" w:header="432" w:footer="432" w:gutter="0"/>
          <w:pgNumType w:fmt="decimal"/>
        </w:sectPr>
        <w:spacing w:before="0" w:after="0" w:line="1" w:lineRule="exact"/>
      </w:pPr>
      <w:r>
        <w:rPr>
          <w:sz w:val="2"/>
        </w:rPr>
      </w:r>
    </w:p>
    <w:p>
      <w:pPr>
        <w:pStyle w:val="BodyText"/>
        <w:keepNext/>
        <w:spacing w:after="40"/>
        <w:jc w:val="center"/>
      </w:pPr>
      <w:r>
        <w:drawing>
          <wp:inline>
            <wp:extent cx="5334000" cy="2286000"/>
            <wp:effectExtent b="0" l="0" r="0" t="0"/>
            <wp:docPr descr="Joint density comparison and remaining tail differences" title="" id="81" name="Picture"/>
            <a:graphic>
              <a:graphicData uri="http://schemas.openxmlformats.org/drawingml/2006/picture">
                <pic:pic>
                  <pic:nvPicPr>
                    <pic:cNvPr descr="/workspace/scratch/62b9274b9d7e/spx-density-research/figures/figure_13_joint_density_comparison.png" id="82" name="Picture"/>
                    <pic:cNvPicPr>
                      <a:picLocks noChangeArrowheads="1" noChangeAspect="1"/>
                    </pic:cNvPicPr>
                  </pic:nvPicPr>
                  <pic:blipFill>
                    <a:blip r:embed="rId80"/>
                    <a:stretch>
                      <a:fillRect/>
                    </a:stretch>
                  </pic:blipFill>
                  <pic:spPr bwMode="auto">
                    <a:xfrm>
                      <a:off x="0" y="0"/>
                      <a:ext cx="5334000" cy="2286000"/>
                    </a:xfrm>
                    <a:prstGeom prst="rect">
                      <a:avLst/>
                    </a:prstGeom>
                    <a:noFill/>
                    <a:ln w="9525">
                      <a:noFill/>
                      <a:headEnd/>
                      <a:tailEnd/>
                    </a:ln>
                  </pic:spPr>
                </pic:pic>
              </a:graphicData>
            </a:graphic>
          </wp:inline>
        </w:drawing>
      </w:r>
    </w:p>
    <w:p>
      <w:bookmarkStart w:id="568" w:name="figure13"/>
      <w:pPr>
        <w:pStyle w:val="FigureCaption"/>
      </w:pPr>
      <w:r>
        <w:t xml:space="preserve">Figure 13. Known density, independent control and joint fit at 365 days. The main panel covers terminal levels 3,000–11,000; the second panel enlarges the right tail over 9,000–12,500. Fitted curves show the actual histogram steps. Density is measured per index point.</w:t>
      </w:r>
      <w:bookmarkEnd w:id="568"/>
    </w:p>
    <w:p>
      <w:pPr>
        <w:sectPr>
          <w:type w:val="nextPage"/>
          <w:pgSz w:w="16838" w:h="11906" w:orient="landscape"/>
          <w:pgMar w:top="1008" w:bottom="1008" w:left="1152" w:right="1152" w:header="432" w:footer="432" w:gutter="0"/>
          <w:pgNumType w:fmt="decimal"/>
        </w:sectPr>
        <w:spacing w:before="0" w:after="0" w:line="1" w:lineRule="exact"/>
      </w:pPr>
      <w:r>
        <w:rPr>
          <w:sz w:val="2"/>
        </w:rPr>
      </w:r>
    </w:p>
    <w:p>
      <w:pPr>
        <w:pStyle w:val="BodyText"/>
        <w:keepNext/>
        <w:spacing w:after="40"/>
        <w:jc w:val="center"/>
      </w:pPr>
      <w:r>
        <w:drawing>
          <wp:inline>
            <wp:extent cx="5334000" cy="3454399"/>
            <wp:effectExtent b="0" l="0" r="0" t="0"/>
            <wp:docPr descr="Joint synthetic maturity surface; interactive comparison" title="" id="84" name="Picture"/>
            <a:graphic>
              <a:graphicData uri="http://schemas.openxmlformats.org/drawingml/2006/picture">
                <pic:pic>
                  <pic:nvPicPr>
                    <pic:cNvPr descr="/workspace/scratch/62b9274b9d7e/spx-density-research/figures/figure_14_joint_maturity_surface.png" id="85" name="Picture"/>
                    <pic:cNvPicPr>
                      <a:picLocks noChangeArrowheads="1" noChangeAspect="1"/>
                    </pic:cNvPicPr>
                  </pic:nvPicPr>
                  <pic:blipFill>
                    <a:blip r:embed="rId83"/>
                    <a:stretch>
                      <a:fillRect/>
                    </a:stretch>
                  </pic:blipFill>
                  <pic:spPr bwMode="auto">
                    <a:xfrm>
                      <a:off x="0" y="0"/>
                      <a:ext cx="5334000" cy="3454399"/>
                    </a:xfrm>
                    <a:prstGeom prst="rect">
                      <a:avLst/>
                    </a:prstGeom>
                    <a:noFill/>
                    <a:ln w="9525">
                      <a:noFill/>
                      <a:headEnd/>
                      <a:tailEnd/>
                    </a:ln>
                  </pic:spPr>
                </pic:pic>
              </a:graphicData>
            </a:graphic>
          </wp:inline>
        </w:drawing>
      </w:r>
    </w:p>
    <w:p>
      <w:bookmarkStart w:id="569" w:name="figure14"/>
      <w:pPr>
        <w:pStyle w:val="FigureCaption"/>
      </w:pPr>
      <w:r>
        <w:t xml:space="preserve">Figure 14. Jointly fitted synthetic risk-neutral densities at eight horizons. The axes are terminal index level, expiry horizon in years and density per index point. Connecting facets are graphical joins only; they do not establish an estimated or calendar-consistent distribution at an intermediate maturity.</w:t>
      </w:r>
      <w:bookmarkEnd w:id="569"/>
    </w:p>
    <w:p>
      <w:pPr>
        <w:pStyle w:val="BodyText"/>
      </w:pPr>
      <w:r>
        <w:t xml:space="preserve">The joint fit resolves the stated calendar inconsistency but retains a tail bump beyond the largest one-year quoted strike, approximately 10,143 points. This is the motivation for the subsequent sensitivity analysis. The maximum mass and normalised-mean residuals are</w:t>
      </w:r>
      <w:r>
        <w:t xml:space="preserve"> </w:t>
      </w:r>
      <m:oMath>
        <m:r>
          <m:t>8.44</m:t>
        </m:r>
        <m:r>
          <m:rPr>
            <m:sty m:val="p"/>
          </m:rPr>
          <m:t>×</m:t>
        </m:r>
        <m:sSup>
          <m:e>
            <m:r>
              <m:t>10</m:t>
            </m:r>
          </m:e>
          <m:sup>
            <m:r>
              <m:rPr>
                <m:sty m:val="p"/>
              </m:rPr>
              <m:t>−</m:t>
            </m:r>
            <m:r>
              <m:t>15</m:t>
            </m:r>
          </m:sup>
        </m:sSup>
      </m:oMath>
      <w:r>
        <w:t xml:space="preserve"> </w:t>
      </w:r>
      <w:r>
        <w:t xml:space="preserve">and</w:t>
      </w:r>
      <w:r>
        <w:t xml:space="preserve"> </w:t>
      </w:r>
      <m:oMath>
        <m:r>
          <m:t>5.11</m:t>
        </m:r>
        <m:r>
          <m:rPr>
            <m:sty m:val="p"/>
          </m:rPr>
          <m:t>×</m:t>
        </m:r>
        <m:sSup>
          <m:e>
            <m:r>
              <m:t>10</m:t>
            </m:r>
          </m:e>
          <m:sup>
            <m:r>
              <m:rPr>
                <m:sty m:val="p"/>
              </m:rPr>
              <m:t>−</m:t>
            </m:r>
            <m:r>
              <m:t>15</m:t>
            </m:r>
          </m:sup>
        </m:sSup>
      </m:oMath>
      <w:r>
        <w:t xml:space="preserve">; a minimum signed mass of approximately</w:t>
      </w:r>
      <w:r>
        <w:t xml:space="preserve"> </w:t>
      </w:r>
      <m:oMath>
        <m:r>
          <m:rPr>
            <m:sty m:val="p"/>
          </m:rPr>
          <m:t>−</m:t>
        </m:r>
        <m:r>
          <m:t>1.57</m:t>
        </m:r>
        <m:r>
          <m:rPr>
            <m:sty m:val="p"/>
          </m:rPr>
          <m:t>×</m:t>
        </m:r>
        <m:sSup>
          <m:e>
            <m:r>
              <m:t>10</m:t>
            </m:r>
          </m:e>
          <m:sup>
            <m:r>
              <m:rPr>
                <m:sty m:val="p"/>
              </m:rPr>
              <m:t>−</m:t>
            </m:r>
            <m:r>
              <m:t>12</m:t>
            </m:r>
          </m:sup>
        </m:sSup>
      </m:oMath>
      <w:r>
        <w:t xml:space="preserve"> </w:t>
      </w:r>
      <w:r>
        <w:t xml:space="preserve">is retained as a numerical residual. The accepted OSQP result is not described as polished, because polishing was not accepted.</w:t>
      </w:r>
    </w:p>
    <w:bookmarkEnd w:id="86"/>
    <w:bookmarkEnd w:id="87"/>
    <w:bookmarkStart w:id="110" w:name="X331405f361ad3727277d9e5933f4ba5bc4f39f0"/>
    <w:p>
      <w:bookmarkStart w:id="570" w:name="h20"/>
      <w:pPr>
        <w:pStyle w:val="Heading1"/>
        <w:numPr>
          <w:ilvl w:val="0"/>
          <w:numId w:val="70"/>
        </w:numPr>
      </w:pPr>
      <w:bookmarkEnd w:id="570"/>
      <w:r>
        <w:t>Robustness and repeated synthetic evaluation</w:t>
      </w:r>
    </w:p>
    <w:bookmarkStart w:id="88" w:name="Xf9c00fdd9e9bbd16f4eafd7a474872cc5380685"/>
    <w:p>
      <w:bookmarkStart w:id="571" w:name="h21"/>
      <w:pPr>
        <w:pStyle w:val="Heading2"/>
        <w:numPr>
          <w:ilvl w:val="1"/>
          <w:numId w:val="70"/>
        </w:numPr>
      </w:pPr>
      <w:bookmarkEnd w:id="571"/>
      <w:r>
        <w:t>Extending the benchmark and making smoothing comparable</w:t>
      </w:r>
    </w:p>
    <w:p>
      <w:pPr>
        <w:pStyle w:val="FirstParagraph"/>
      </w:pPr>
      <w:r>
        <w:t xml:space="preserve">As Bahra discusses in his treatment of mixture distributions [1, §§3.5–3.6], a weighted mixture provides a more flexible terminal distribution than a single lognormal component. The second benchmark uses component weights 0.75 and 0.25, volatilities 14% and 40%, and a common component mean equal to the forward. Equation (20) states the corresponding mixture density and weighted call values. These parameters are declared synthetic choices.</w:t>
      </w:r>
    </w:p>
    <w:p>
      <w:pPr>
        <w:pStyle w:val="BodyText"/>
        <w:keepNext/>
        <w:spacing w:before="120" w:after="40"/>
        <w:jc w:val="center"/>
      </w:pPr>
      <m:oMathPara>
        <m:oMathParaPr>
          <m:jc m:val="center"/>
        </m:oMathParaPr>
        <m:oMath>
          <m:m>
            <m:mPr>
              <m:baseJc m:val="center"/>
              <m:plcHide m:val="on"/>
              <m:mcs>
                <m:mc>
                  <m:mcPr>
                    <m:mcJc m:val="center"/>
                    <m:count m:val="1"/>
                  </m:mcPr>
                </m:mc>
              </m:mcs>
            </m:mPr>
            <m:mr>
              <m:e>
                <m:sSub>
                  <m:e>
                    <m:r>
                      <m:t>g</m:t>
                    </m:r>
                  </m:e>
                  <m:sub>
                    <m:r>
                      <m:rPr>
                        <m:sty m:val="p"/>
                      </m:rPr>
                      <m:t>m</m:t>
                    </m:r>
                    <m:r>
                      <m:rPr>
                        <m:sty m:val="p"/>
                      </m:rPr>
                      <m:t>i</m:t>
                    </m:r>
                    <m:r>
                      <m:rPr>
                        <m:sty m:val="p"/>
                      </m:rPr>
                      <m:t>x</m:t>
                    </m:r>
                  </m:sub>
                </m:sSub>
                <m:d>
                  <m:dPr>
                    <m:begChr m:val="("/>
                    <m:endChr m:val=")"/>
                    <m:sepChr m:val=""/>
                    <m:grow/>
                  </m:dPr>
                  <m:e>
                    <m:r>
                      <m:t>x</m:t>
                    </m:r>
                    <m:r>
                      <m:rPr>
                        <m:sty m:val="p"/>
                      </m:rPr>
                      <m:t>,</m:t>
                    </m:r>
                    <m:r>
                      <m:t>T</m:t>
                    </m:r>
                  </m:e>
                </m:d>
                <m:r>
                  <m:rPr>
                    <m:sty m:val="p"/>
                  </m:rPr>
                  <m:t>=</m:t>
                </m:r>
                <m:nary>
                  <m:naryPr>
                    <m:chr m:val="∑"/>
                    <m:limLoc m:val="undOvr"/>
                    <m:subHide m:val="off"/>
                    <m:supHide m:val="off"/>
                  </m:naryPr>
                  <m:sub>
                    <m:r>
                      <m:rPr>
                        <m:sty m:val="p"/>
                      </m:rPr>
                      <m:t>ℓ</m:t>
                    </m:r>
                    <m:r>
                      <m:rPr>
                        <m:sty m:val="p"/>
                      </m:rPr>
                      <m:t>=</m:t>
                    </m:r>
                    <m:r>
                      <m:t>1</m:t>
                    </m:r>
                  </m:sub>
                  <m:sup>
                    <m:r>
                      <m:t>L</m:t>
                    </m:r>
                  </m:sup>
                  <m:e>
                    <m:sSub>
                      <m:e>
                        <m:r>
                          <m:t>π</m:t>
                        </m:r>
                      </m:e>
                      <m:sub>
                        <m:r>
                          <m:rPr>
                            <m:sty m:val="p"/>
                          </m:rPr>
                          <m:t>ℓ</m:t>
                        </m:r>
                      </m:sub>
                    </m:sSub>
                  </m:e>
                </m:nary>
                <m:sSub>
                  <m:e>
                    <m:r>
                      <m:t>g</m:t>
                    </m:r>
                  </m:e>
                  <m:sub>
                    <m:r>
                      <m:rPr>
                        <m:sty m:val="p"/>
                      </m:rPr>
                      <m:t>L</m:t>
                    </m:r>
                    <m:r>
                      <m:rPr>
                        <m:sty m:val="p"/>
                      </m:rPr>
                      <m:t>N</m:t>
                    </m:r>
                  </m:sub>
                </m:sSub>
                <m:d>
                  <m:dPr>
                    <m:begChr m:val="("/>
                    <m:endChr m:val=")"/>
                    <m:sepChr m:val=""/>
                    <m:grow/>
                  </m:dPr>
                  <m:e>
                    <m:r>
                      <m:t>x</m:t>
                    </m:r>
                    <m:r>
                      <m:rPr>
                        <m:sty m:val="p"/>
                      </m:rPr>
                      <m:t>,</m:t>
                    </m:r>
                    <m:r>
                      <m:t>T</m:t>
                    </m:r>
                    <m:r>
                      <m:rPr>
                        <m:sty m:val="p"/>
                      </m:rPr>
                      <m:t>;</m:t>
                    </m:r>
                    <m:sSub>
                      <m:e>
                        <m:r>
                          <m:t>σ</m:t>
                        </m:r>
                      </m:e>
                      <m:sub>
                        <m:r>
                          <m:rPr>
                            <m:sty m:val="p"/>
                          </m:rPr>
                          <m:t>ℓ</m:t>
                        </m:r>
                      </m:sub>
                    </m:sSub>
                  </m:e>
                </m:d>
                <m:r>
                  <m:rPr>
                    <m:sty m:val="p"/>
                  </m:rPr>
                  <m:t>,</m:t>
                </m:r>
              </m:e>
            </m:mr>
            <m:mr>
              <m:e>
                <m:sSub>
                  <m:e>
                    <m:r>
                      <m:t>C</m:t>
                    </m:r>
                  </m:e>
                  <m:sub>
                    <m:r>
                      <m:rPr>
                        <m:sty m:val="p"/>
                      </m:rPr>
                      <m:t>m</m:t>
                    </m:r>
                    <m:r>
                      <m:rPr>
                        <m:sty m:val="p"/>
                      </m:rPr>
                      <m:t>i</m:t>
                    </m:r>
                    <m:r>
                      <m:rPr>
                        <m:sty m:val="p"/>
                      </m:rPr>
                      <m:t>x</m:t>
                    </m:r>
                  </m:sub>
                </m:sSub>
                <m:d>
                  <m:dPr>
                    <m:begChr m:val="("/>
                    <m:endChr m:val=")"/>
                    <m:sepChr m:val=""/>
                    <m:grow/>
                  </m:dPr>
                  <m:e>
                    <m:r>
                      <m:t>K</m:t>
                    </m:r>
                    <m:r>
                      <m:rPr>
                        <m:sty m:val="p"/>
                      </m:rPr>
                      <m:t>,</m:t>
                    </m:r>
                    <m:r>
                      <m:t>T</m:t>
                    </m:r>
                  </m:e>
                </m:d>
                <m:r>
                  <m:rPr>
                    <m:sty m:val="p"/>
                  </m:rPr>
                  <m:t>=</m:t>
                </m:r>
                <m:nary>
                  <m:naryPr>
                    <m:chr m:val="∑"/>
                    <m:limLoc m:val="undOvr"/>
                    <m:subHide m:val="off"/>
                    <m:supHide m:val="off"/>
                  </m:naryPr>
                  <m:sub>
                    <m:r>
                      <m:rPr>
                        <m:sty m:val="p"/>
                      </m:rPr>
                      <m:t>ℓ</m:t>
                    </m:r>
                    <m:r>
                      <m:rPr>
                        <m:sty m:val="p"/>
                      </m:rPr>
                      <m:t>=</m:t>
                    </m:r>
                    <m:r>
                      <m:t>1</m:t>
                    </m:r>
                  </m:sub>
                  <m:sup>
                    <m:r>
                      <m:t>L</m:t>
                    </m:r>
                  </m:sup>
                  <m:e>
                    <m:sSub>
                      <m:e>
                        <m:r>
                          <m:t>π</m:t>
                        </m:r>
                      </m:e>
                      <m:sub>
                        <m:r>
                          <m:rPr>
                            <m:sty m:val="p"/>
                          </m:rPr>
                          <m:t>ℓ</m:t>
                        </m:r>
                      </m:sub>
                    </m:sSub>
                  </m:e>
                </m:nary>
                <m:sSub>
                  <m:e>
                    <m:r>
                      <m:t>C</m:t>
                    </m:r>
                  </m:e>
                  <m:sub>
                    <m:r>
                      <m:rPr>
                        <m:sty m:val="p"/>
                      </m:rPr>
                      <m:t>B</m:t>
                    </m:r>
                    <m:r>
                      <m:rPr>
                        <m:sty m:val="p"/>
                      </m:rPr>
                      <m:t>S</m:t>
                    </m:r>
                  </m:sub>
                </m:sSub>
                <m:d>
                  <m:dPr>
                    <m:begChr m:val="("/>
                    <m:endChr m:val=")"/>
                    <m:sepChr m:val=""/>
                    <m:grow/>
                  </m:dPr>
                  <m:e>
                    <m:r>
                      <m:t>K</m:t>
                    </m:r>
                    <m:r>
                      <m:rPr>
                        <m:sty m:val="p"/>
                      </m:rPr>
                      <m:t>,</m:t>
                    </m:r>
                    <m:r>
                      <m:t>T</m:t>
                    </m:r>
                    <m:r>
                      <m:rPr>
                        <m:sty m:val="p"/>
                      </m:rPr>
                      <m:t>;</m:t>
                    </m:r>
                    <m:sSub>
                      <m:e>
                        <m:r>
                          <m:t>σ</m:t>
                        </m:r>
                      </m:e>
                      <m:sub>
                        <m:r>
                          <m:rPr>
                            <m:sty m:val="p"/>
                          </m:rPr>
                          <m:t>ℓ</m:t>
                        </m:r>
                      </m:sub>
                    </m:sSub>
                  </m:e>
                </m:d>
                <m:r>
                  <m:rPr>
                    <m:sty m:val="p"/>
                  </m:rPr>
                  <m:t>,</m:t>
                </m:r>
              </m:e>
            </m:mr>
            <m:mr>
              <m:e>
                <m:nary>
                  <m:naryPr>
                    <m:chr m:val="∑"/>
                    <m:limLoc m:val="undOvr"/>
                    <m:subHide m:val="off"/>
                    <m:supHide m:val="off"/>
                  </m:naryPr>
                  <m:sub>
                    <m:r>
                      <m:rPr>
                        <m:sty m:val="p"/>
                      </m:rPr>
                      <m:t>ℓ</m:t>
                    </m:r>
                    <m:r>
                      <m:rPr>
                        <m:sty m:val="p"/>
                      </m:rPr>
                      <m:t>=</m:t>
                    </m:r>
                    <m:r>
                      <m:t>1</m:t>
                    </m:r>
                  </m:sub>
                  <m:sup>
                    <m:r>
                      <m:t>L</m:t>
                    </m:r>
                  </m:sup>
                  <m:e>
                    <m:sSub>
                      <m:e>
                        <m:r>
                          <m:t>π</m:t>
                        </m:r>
                      </m:e>
                      <m:sub>
                        <m:r>
                          <m:rPr>
                            <m:sty m:val="p"/>
                          </m:rPr>
                          <m:t>ℓ</m:t>
                        </m:r>
                      </m:sub>
                    </m:sSub>
                  </m:e>
                </m:nary>
                <m:r>
                  <m:rPr>
                    <m:sty m:val="p"/>
                  </m:rPr>
                  <m:t>=</m:t>
                </m:r>
                <m:r>
                  <m:t>1</m:t>
                </m:r>
                <m:r>
                  <m:rPr>
                    <m:sty m:val="p"/>
                  </m:rPr>
                  <m:t>.</m:t>
                </m:r>
              </m:e>
            </m:mr>
          </m:m>
        </m:oMath>
      </m:oMathPara>
    </w:p>
    <w:p>
      <w:bookmarkStart w:id="572" w:name="equation20"/>
      <w:pPr>
        <w:pStyle w:val="EquationCaption"/>
      </w:pPr>
      <w:r>
        <w:t xml:space="preserve">Equation 20. Lognormal-mixture density and weighted option prices.</w:t>
      </w:r>
      <w:bookmarkEnd w:id="572"/>
    </w:p>
    <w:p>
      <w:pPr>
        <w:pStyle w:val="BodyText"/>
      </w:pPr>
      <w:r>
        <w:t xml:space="preserve">The sensitivity study varies support, bin count and smoothing across seven settings for each benchmark. Changing bin width also changes the action of an unscaled second-difference penalty. Applying the stencil discussed by Driscoll and Braun [7] motivates the grid-scaled roughness in Equation (21).</w:t>
      </w:r>
    </w:p>
    <w:p>
      <w:pPr>
        <w:pStyle w:val="BodyText"/>
        <w:keepNext/>
        <w:spacing w:before="120" w:after="40"/>
        <w:jc w:val="center"/>
      </w:pPr>
      <m:oMathPara>
        <m:oMathParaPr>
          <m:jc m:val="center"/>
        </m:oMathParaPr>
        <m:oMath>
          <m:m>
            <m:mPr>
              <m:baseJc m:val="center"/>
              <m:plcHide m:val="on"/>
              <m:mcs>
                <m:mc>
                  <m:mcPr>
                    <m:mcJc m:val="center"/>
                    <m:count m:val="1"/>
                  </m:mcPr>
                </m:mc>
              </m:mcs>
            </m:mPr>
            <m:mr>
              <m:e>
                <m:sSub>
                  <m:e>
                    <m:r>
                      <m:t>R</m:t>
                    </m:r>
                  </m:e>
                  <m:sub>
                    <m:r>
                      <m:t>Δ</m:t>
                    </m:r>
                    <m:r>
                      <m:t>u</m:t>
                    </m:r>
                  </m:sub>
                </m:sSub>
                <m:d>
                  <m:dPr>
                    <m:begChr m:val="("/>
                    <m:endChr m:val=")"/>
                    <m:sepChr m:val=""/>
                    <m:grow/>
                  </m:dPr>
                  <m:e>
                    <m:r>
                      <m:rPr>
                        <m:sty m:val="b"/>
                      </m:rPr>
                      <m:t>g</m:t>
                    </m:r>
                  </m:e>
                </m:d>
                <m:r>
                  <m:rPr>
                    <m:sty m:val="p"/>
                  </m:rPr>
                  <m:t>=</m:t>
                </m:r>
                <m:r>
                  <m:t>Δ</m:t>
                </m:r>
                <m:r>
                  <m:t>u</m:t>
                </m:r>
                <m:nary>
                  <m:naryPr>
                    <m:chr m:val="∑"/>
                    <m:limLoc m:val="undOvr"/>
                    <m:subHide m:val="off"/>
                    <m:supHide m:val="off"/>
                  </m:naryPr>
                  <m:sub>
                    <m:r>
                      <m:t>j</m:t>
                    </m:r>
                    <m:r>
                      <m:rPr>
                        <m:sty m:val="p"/>
                      </m:rPr>
                      <m:t>=</m:t>
                    </m:r>
                    <m:r>
                      <m:t>1</m:t>
                    </m:r>
                  </m:sub>
                  <m:sup>
                    <m:r>
                      <m:t>J</m:t>
                    </m:r>
                    <m:r>
                      <m:rPr>
                        <m:sty m:val="p"/>
                      </m:rPr>
                      <m:t>−</m:t>
                    </m:r>
                    <m:r>
                      <m:t>2</m:t>
                    </m:r>
                  </m:sup>
                  <m:e>
                    <m:sSup>
                      <m:e>
                        <m:d>
                          <m:dPr>
                            <m:begChr m:val="("/>
                            <m:endChr m:val=")"/>
                            <m:sepChr m:val=""/>
                            <m:grow/>
                          </m:dPr>
                          <m:e>
                            <m:f>
                              <m:fPr>
                                <m:type m:val="bar"/>
                              </m:fPr>
                              <m:num>
                                <m:sSub>
                                  <m:e>
                                    <m:r>
                                      <m:t>g</m:t>
                                    </m:r>
                                  </m:e>
                                  <m:sub>
                                    <m:r>
                                      <m:t>j</m:t>
                                    </m:r>
                                    <m:r>
                                      <m:rPr>
                                        <m:sty m:val="p"/>
                                      </m:rPr>
                                      <m:t>+</m:t>
                                    </m:r>
                                    <m:r>
                                      <m:t>2</m:t>
                                    </m:r>
                                  </m:sub>
                                </m:sSub>
                                <m:r>
                                  <m:rPr>
                                    <m:sty m:val="p"/>
                                  </m:rPr>
                                  <m:t>−</m:t>
                                </m:r>
                                <m:r>
                                  <m:t>2</m:t>
                                </m:r>
                                <m:sSub>
                                  <m:e>
                                    <m:r>
                                      <m:t>g</m:t>
                                    </m:r>
                                  </m:e>
                                  <m:sub>
                                    <m:r>
                                      <m:t>j</m:t>
                                    </m:r>
                                    <m:r>
                                      <m:rPr>
                                        <m:sty m:val="p"/>
                                      </m:rPr>
                                      <m:t>+</m:t>
                                    </m:r>
                                    <m:r>
                                      <m:t>1</m:t>
                                    </m:r>
                                  </m:sub>
                                </m:sSub>
                                <m:r>
                                  <m:rPr>
                                    <m:sty m:val="p"/>
                                  </m:rPr>
                                  <m:t>+</m:t>
                                </m:r>
                                <m:sSub>
                                  <m:e>
                                    <m:r>
                                      <m:t>g</m:t>
                                    </m:r>
                                  </m:e>
                                  <m:sub>
                                    <m:r>
                                      <m:t>j</m:t>
                                    </m:r>
                                  </m:sub>
                                </m:sSub>
                              </m:num>
                              <m:den>
                                <m:sSup>
                                  <m:e>
                                    <m:d>
                                      <m:dPr>
                                        <m:begChr m:val="("/>
                                        <m:endChr m:val=")"/>
                                        <m:sepChr m:val=""/>
                                        <m:grow/>
                                      </m:dPr>
                                      <m:e>
                                        <m:r>
                                          <m:t>Δ</m:t>
                                        </m:r>
                                        <m:r>
                                          <m:t>u</m:t>
                                        </m:r>
                                      </m:e>
                                    </m:d>
                                  </m:e>
                                  <m:sup>
                                    <m:r>
                                      <m:t>2</m:t>
                                    </m:r>
                                  </m:sup>
                                </m:sSup>
                              </m:den>
                            </m:f>
                          </m:e>
                        </m:d>
                      </m:e>
                      <m:sup>
                        <m:r>
                          <m:t>2</m:t>
                        </m:r>
                      </m:sup>
                    </m:sSup>
                  </m:e>
                </m:nary>
              </m:e>
            </m:mr>
            <m:mr>
              <m:e>
                <m:r>
                  <m:rPr>
                    <m:sty m:val="p"/>
                  </m:rPr>
                  <m:t>=</m:t>
                </m:r>
                <m:f>
                  <m:fPr>
                    <m:type m:val="bar"/>
                  </m:fPr>
                  <m:num>
                    <m:r>
                      <m:t>1</m:t>
                    </m:r>
                  </m:num>
                  <m:den>
                    <m:sSup>
                      <m:e>
                        <m:d>
                          <m:dPr>
                            <m:begChr m:val="("/>
                            <m:endChr m:val=")"/>
                            <m:sepChr m:val=""/>
                            <m:grow/>
                          </m:dPr>
                          <m:e>
                            <m:r>
                              <m:t>Δ</m:t>
                            </m:r>
                            <m:r>
                              <m:t>u</m:t>
                            </m:r>
                          </m:e>
                        </m:d>
                      </m:e>
                      <m:sup>
                        <m:r>
                          <m:t>3</m:t>
                        </m:r>
                      </m:sup>
                    </m:sSup>
                  </m:den>
                </m:f>
                <m:nary>
                  <m:naryPr>
                    <m:chr m:val="∑"/>
                    <m:limLoc m:val="undOvr"/>
                    <m:subHide m:val="off"/>
                    <m:supHide m:val="off"/>
                  </m:naryPr>
                  <m:sub>
                    <m:r>
                      <m:t>j</m:t>
                    </m:r>
                    <m:r>
                      <m:rPr>
                        <m:sty m:val="p"/>
                      </m:rPr>
                      <m:t>=</m:t>
                    </m:r>
                    <m:r>
                      <m:t>1</m:t>
                    </m:r>
                  </m:sub>
                  <m:sup>
                    <m:r>
                      <m:t>J</m:t>
                    </m:r>
                    <m:r>
                      <m:rPr>
                        <m:sty m:val="p"/>
                      </m:rPr>
                      <m:t>−</m:t>
                    </m:r>
                    <m:r>
                      <m:t>2</m:t>
                    </m:r>
                  </m:sup>
                  <m:e>
                    <m:sSup>
                      <m:e>
                        <m:d>
                          <m:dPr>
                            <m:begChr m:val="("/>
                            <m:endChr m:val=")"/>
                            <m:sepChr m:val=""/>
                            <m:grow/>
                          </m:dPr>
                          <m:e>
                            <m:sSub>
                              <m:e>
                                <m:r>
                                  <m:t>g</m:t>
                                </m:r>
                              </m:e>
                              <m:sub>
                                <m:r>
                                  <m:t>j</m:t>
                                </m:r>
                                <m:r>
                                  <m:rPr>
                                    <m:sty m:val="p"/>
                                  </m:rPr>
                                  <m:t>+</m:t>
                                </m:r>
                                <m:r>
                                  <m:t>2</m:t>
                                </m:r>
                              </m:sub>
                            </m:sSub>
                            <m:r>
                              <m:rPr>
                                <m:sty m:val="p"/>
                              </m:rPr>
                              <m:t>−</m:t>
                            </m:r>
                            <m:r>
                              <m:t>2</m:t>
                            </m:r>
                            <m:sSub>
                              <m:e>
                                <m:r>
                                  <m:t>g</m:t>
                                </m:r>
                              </m:e>
                              <m:sub>
                                <m:r>
                                  <m:t>j</m:t>
                                </m:r>
                                <m:r>
                                  <m:rPr>
                                    <m:sty m:val="p"/>
                                  </m:rPr>
                                  <m:t>+</m:t>
                                </m:r>
                                <m:r>
                                  <m:t>1</m:t>
                                </m:r>
                              </m:sub>
                            </m:sSub>
                            <m:r>
                              <m:rPr>
                                <m:sty m:val="p"/>
                              </m:rPr>
                              <m:t>+</m:t>
                            </m:r>
                            <m:sSub>
                              <m:e>
                                <m:r>
                                  <m:t>g</m:t>
                                </m:r>
                              </m:e>
                              <m:sub>
                                <m:r>
                                  <m:t>j</m:t>
                                </m:r>
                              </m:sub>
                            </m:sSub>
                          </m:e>
                        </m:d>
                      </m:e>
                      <m:sup>
                        <m:r>
                          <m:t>2</m:t>
                        </m:r>
                      </m:sup>
                    </m:sSup>
                  </m:e>
                </m:nary>
                <m:r>
                  <m:rPr>
                    <m:sty m:val="p"/>
                  </m:rPr>
                  <m:t>.</m:t>
                </m:r>
              </m:e>
            </m:mr>
          </m:m>
        </m:oMath>
      </m:oMathPara>
    </w:p>
    <w:p>
      <w:bookmarkStart w:id="573" w:name="equation21"/>
      <w:pPr>
        <w:pStyle w:val="EquationCaption"/>
      </w:pPr>
      <w:r>
        <w:t xml:space="preserve">Equation 21. Grid-scaled discrete density roughness.</w:t>
      </w:r>
      <w:bookmarkEnd w:id="573"/>
    </w:p>
    <w:p>
      <w:pPr>
        <w:pStyle w:val="BodyText"/>
      </w:pPr>
      <w:r>
        <w:t xml:space="preserve">Equating this penalty with the convention in Equation (12) gives Equation (22). The baseline</w:t>
      </w:r>
      <w:r>
        <w:t xml:space="preserve"> </w:t>
      </w:r>
      <m:oMath>
        <m:sSub>
          <m:e>
            <m:r>
              <m:t>α</m:t>
            </m:r>
          </m:e>
          <m:sub>
            <m:r>
              <m:t>0</m:t>
            </m:r>
          </m:sub>
        </m:sSub>
      </m:oMath>
      <w:r>
        <w:t xml:space="preserve"> </w:t>
      </w:r>
      <w:r>
        <w:t xml:space="preserve">reproduces</w:t>
      </w:r>
      <w:r>
        <w:t xml:space="preserve"> </w:t>
      </w:r>
      <m:oMath>
        <m:r>
          <m:t>λ</m:t>
        </m:r>
        <m:r>
          <m:rPr>
            <m:sty m:val="p"/>
          </m:rPr>
          <m:t>=</m:t>
        </m:r>
        <m:sSup>
          <m:e>
            <m:r>
              <m:t>10</m:t>
            </m:r>
          </m:e>
          <m:sup>
            <m:r>
              <m:rPr>
                <m:sty m:val="p"/>
              </m:rPr>
              <m:t>−</m:t>
            </m:r>
            <m:r>
              <m:t>6</m:t>
            </m:r>
          </m:sup>
        </m:sSup>
      </m:oMath>
      <w:r>
        <w:t xml:space="preserve"> </w:t>
      </w:r>
      <w:r>
        <w:t xml:space="preserve">on the original 120-bin grid. Thus changing resolution is not inadvertently treated as a simultaneous arbitrary change in smoothing strength.</w:t>
      </w:r>
    </w:p>
    <w:p>
      <w:pPr>
        <w:pStyle w:val="BodyText"/>
        <w:keepNext/>
        <w:spacing w:before="120" w:after="40"/>
        <w:jc w:val="center"/>
      </w:pPr>
      <m:oMathPara>
        <m:oMathParaPr>
          <m:jc m:val="center"/>
        </m:oMathParaPr>
        <m:oMath>
          <m:r>
            <m:t>λ</m:t>
          </m:r>
          <m:d>
            <m:dPr>
              <m:begChr m:val="("/>
              <m:endChr m:val=")"/>
              <m:sepChr m:val=""/>
              <m:grow/>
            </m:dPr>
            <m:e>
              <m:r>
                <m:t>J</m:t>
              </m:r>
              <m:r>
                <m:rPr>
                  <m:sty m:val="p"/>
                </m:rPr>
                <m:t>,</m:t>
              </m:r>
              <m:r>
                <m:t>Δ</m:t>
              </m:r>
              <m:r>
                <m:t>u</m:t>
              </m:r>
              <m:r>
                <m:rPr>
                  <m:sty m:val="p"/>
                </m:rPr>
                <m:t>;</m:t>
              </m:r>
              <m:r>
                <m:t>α</m:t>
              </m:r>
            </m:e>
          </m:d>
          <m:r>
            <m:rPr>
              <m:sty m:val="p"/>
            </m:rPr>
            <m:t>=</m:t>
          </m:r>
          <m:r>
            <m:t>α</m:t>
          </m:r>
          <m:f>
            <m:fPr>
              <m:type m:val="bar"/>
            </m:fPr>
            <m:num>
              <m:r>
                <m:t>J</m:t>
              </m:r>
              <m:r>
                <m:rPr>
                  <m:sty m:val="p"/>
                </m:rPr>
                <m:t>−</m:t>
              </m:r>
              <m:r>
                <m:t>2</m:t>
              </m:r>
            </m:num>
            <m:den>
              <m:sSup>
                <m:e>
                  <m:d>
                    <m:dPr>
                      <m:begChr m:val="("/>
                      <m:endChr m:val=")"/>
                      <m:sepChr m:val=""/>
                      <m:grow/>
                    </m:dPr>
                    <m:e>
                      <m:r>
                        <m:t>Δ</m:t>
                      </m:r>
                      <m:r>
                        <m:t>u</m:t>
                      </m:r>
                    </m:e>
                  </m:d>
                </m:e>
                <m:sup>
                  <m:r>
                    <m:t>3</m:t>
                  </m:r>
                </m:sup>
              </m:sSup>
            </m:den>
          </m:f>
          <m:r>
            <m:rPr>
              <m:sty m:val="p"/>
            </m:rPr>
            <m:t>,</m:t>
          </m:r>
          <m:r>
            <m:t>  </m:t>
          </m:r>
          <m:sSub>
            <m:e>
              <m:r>
                <m:t>α</m:t>
              </m:r>
            </m:e>
            <m:sub>
              <m:r>
                <m:t>0</m:t>
              </m:r>
            </m:sub>
          </m:sSub>
          <m:r>
            <m:rPr>
              <m:sty m:val="p"/>
            </m:rPr>
            <m:t>=</m:t>
          </m:r>
          <m:sSup>
            <m:e>
              <m:r>
                <m:t>10</m:t>
              </m:r>
            </m:e>
            <m:sup>
              <m:r>
                <m:rPr>
                  <m:sty m:val="p"/>
                </m:rPr>
                <m:t>−</m:t>
              </m:r>
              <m:r>
                <m:t>6</m:t>
              </m:r>
            </m:sup>
          </m:sSup>
          <m:f>
            <m:fPr>
              <m:type m:val="bar"/>
            </m:fPr>
            <m:num>
              <m:sSup>
                <m:e>
                  <m:d>
                    <m:dPr>
                      <m:begChr m:val="("/>
                      <m:endChr m:val=")"/>
                      <m:sepChr m:val=""/>
                      <m:grow/>
                    </m:dPr>
                    <m:e>
                      <m:r>
                        <m:t>1.9</m:t>
                      </m:r>
                      <m:r>
                        <m:rPr>
                          <m:sty m:val="p"/>
                        </m:rPr>
                        <m:t>/</m:t>
                      </m:r>
                      <m:r>
                        <m:t>120</m:t>
                      </m:r>
                    </m:e>
                  </m:d>
                </m:e>
                <m:sup>
                  <m:r>
                    <m:t>3</m:t>
                  </m:r>
                </m:sup>
              </m:sSup>
            </m:num>
            <m:den>
              <m:r>
                <m:t>118</m:t>
              </m:r>
            </m:den>
          </m:f>
          <m:r>
            <m:rPr>
              <m:sty m:val="p"/>
            </m:rPr>
            <m:t>.</m:t>
          </m:r>
        </m:oMath>
      </m:oMathPara>
    </w:p>
    <w:p>
      <w:bookmarkStart w:id="574" w:name="equation22"/>
      <w:pPr>
        <w:pStyle w:val="EquationCaption"/>
      </w:pPr>
      <w:r>
        <w:t xml:space="preserve">Equation 22. Equivalent smoothing coefficient across grids.</w:t>
      </w:r>
      <w:bookmarkEnd w:id="574"/>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107"/>
        <w:gridCol w:w="2107"/>
        <w:gridCol w:w="1915"/>
        <w:gridCol w:w="1724"/>
        <w:gridCol w:w="1724"/>
      </w:tblGrid>
      <w:tr>
        <w:trPr>
          <w:tblHeader w:val="true"/>
          <w:cantSplit/>
          <w:tblHeader/>
        </w:trPr>
        <w:tc>
          <w:tcPr>
            <w:tcW w:type="dxa" w:w="2107"/>
            <w:vAlign w:val="center"/>
            <w:shd w:fill="E9EEF3"/>
          </w:tcPr>
          <w:p>
            <w:pPr>
              <w:pStyle w:val="Compact"/>
              <w:keepNext/>
              <w:keepLines/>
              <w:spacing w:after="40" w:before="40" w:line="252" w:lineRule="auto"/>
              <w:jc w:val="left"/>
            </w:pPr>
            <w:r>
              <w:rPr>
                <w:b/>
                <w:sz w:val="21"/>
              </w:rPr>
              <w:t xml:space="preserve">Setting</w:t>
            </w:r>
          </w:p>
        </w:tc>
        <w:tc>
          <w:tcPr>
            <w:tcW w:type="dxa" w:w="2107"/>
            <w:vAlign w:val="center"/>
            <w:shd w:fill="E9EEF3"/>
          </w:tcPr>
          <w:p>
            <w:pPr>
              <w:pStyle w:val="Compact"/>
              <w:keepNext/>
              <w:keepLines/>
              <w:spacing w:after="40" w:before="40" w:line="252" w:lineRule="auto"/>
              <w:jc w:val="left"/>
            </w:pPr>
            <w:r>
              <w:rPr>
                <w:b/>
                <w:sz w:val="21"/>
              </w:rPr>
              <w:t xml:space="preserve">Support</w:t>
            </w:r>
          </w:p>
        </w:tc>
        <w:tc>
          <w:tcPr>
            <w:tcW w:type="dxa" w:w="1915"/>
            <w:vAlign w:val="center"/>
            <w:shd w:fill="E9EEF3"/>
          </w:tcPr>
          <w:p>
            <w:pPr>
              <w:pStyle w:val="Compact"/>
              <w:keepNext/>
              <w:keepLines/>
              <w:spacing w:after="40" w:before="40" w:line="252" w:lineRule="auto"/>
              <w:jc w:val="right"/>
            </w:pPr>
            <w:r>
              <w:rPr>
                <w:b/>
                <w:sz w:val="21"/>
              </w:rPr>
              <w:t xml:space="preserve">Bins</w:t>
            </w:r>
          </w:p>
        </w:tc>
        <w:tc>
          <w:tcPr>
            <w:tcW w:type="dxa" w:w="1724"/>
            <w:vAlign w:val="center"/>
            <w:shd w:fill="E9EEF3"/>
          </w:tcPr>
          <w:p>
            <w:pPr>
              <w:pStyle w:val="Compact"/>
              <w:keepNext/>
              <w:keepLines/>
              <w:spacing w:after="40" w:before="40" w:line="252" w:lineRule="auto"/>
              <w:jc w:val="right"/>
            </w:pPr>
            <w:r>
              <w:rPr>
                <w:b/>
                <w:sz w:val="21"/>
              </w:rPr>
              <w:t xml:space="preserve">Roughness multiple</w:t>
            </w:r>
          </w:p>
        </w:tc>
        <w:tc>
          <w:tcPr>
            <w:tcW w:type="dxa" w:w="1724"/>
            <w:vAlign w:val="center"/>
            <w:shd w:fill="E9EEF3"/>
          </w:tcPr>
          <w:p>
            <w:pPr>
              <w:pStyle w:val="Compact"/>
              <w:keepNext/>
              <w:keepLines/>
              <w:spacing w:after="40" w:before="40" w:line="252" w:lineRule="auto"/>
              <w:jc w:val="right"/>
            </w:pPr>
            <w:r>
              <w:rPr>
                <w:b/>
                <w:sz w:val="21"/>
              </w:rPr>
              <w:t xml:space="preserve">Lambda</w:t>
            </w:r>
          </w:p>
        </w:tc>
      </w:tr>
      <w:tr>
        <w:trPr>
          <w:cantSplit/>
        </w:trPr>
        <w:tc>
          <w:tcPr>
            <w:tcW w:type="dxa" w:w="2107"/>
            <w:vAlign w:val="center"/>
          </w:tcPr>
          <w:p>
            <w:pPr>
              <w:pStyle w:val="Compact"/>
              <w:keepNext/>
              <w:keepLines/>
              <w:spacing w:after="40" w:before="40" w:line="252" w:lineRule="auto"/>
              <w:jc w:val="left"/>
            </w:pPr>
            <w:r>
              <w:rPr>
                <w:b w:val="0"/>
                <w:sz w:val="21"/>
              </w:rPr>
              <w:t xml:space="preserve">Baseline</w:t>
            </w:r>
          </w:p>
        </w:tc>
        <w:tc>
          <w:tcPr>
            <w:tcW w:type="dxa" w:w="2107"/>
            <w:vAlign w:val="center"/>
          </w:tcPr>
          <w:p>
            <w:pPr>
              <w:pStyle w:val="Compact"/>
              <w:keepNext/>
              <w:keepLines/>
              <w:spacing w:after="40" w:before="40" w:line="252" w:lineRule="auto"/>
              <w:jc w:val="left"/>
            </w:pPr>
            <w:r>
              <w:rPr>
                <w:b w:val="0"/>
                <w:sz w:val="21"/>
              </w:rPr>
              <w:t xml:space="preserve">[0.300000, 2.200000]</w:t>
            </w:r>
          </w:p>
        </w:tc>
        <w:tc>
          <w:tcPr>
            <w:tcW w:type="dxa" w:w="1915"/>
            <w:vAlign w:val="center"/>
          </w:tcPr>
          <w:p>
            <w:pPr>
              <w:pStyle w:val="Compact"/>
              <w:keepNext/>
              <w:keepLines/>
              <w:spacing w:after="40" w:before="40" w:line="252" w:lineRule="auto"/>
              <w:jc w:val="right"/>
            </w:pPr>
            <w:r>
              <w:rPr>
                <w:b w:val="0"/>
                <w:sz w:val="21"/>
              </w:rPr>
              <w:t xml:space="preserve">120</w:t>
            </w:r>
          </w:p>
        </w:tc>
        <w:tc>
          <w:tcPr>
            <w:tcW w:type="dxa" w:w="1724"/>
            <w:vAlign w:val="center"/>
          </w:tcPr>
          <w:p>
            <w:pPr>
              <w:pStyle w:val="Compact"/>
              <w:keepNext/>
              <w:keepLines/>
              <w:spacing w:after="40" w:before="40" w:line="252" w:lineRule="auto"/>
              <w:jc w:val="right"/>
            </w:pPr>
            <w:r>
              <w:rPr>
                <w:b w:val="0"/>
                <w:sz w:val="21"/>
              </w:rPr>
              <w:t xml:space="preserve">1</w:t>
            </w:r>
          </w:p>
        </w:tc>
        <w:tc>
          <w:tcPr>
            <w:tcW w:type="dxa" w:w="1724"/>
            <w:vAlign w:val="center"/>
          </w:tcPr>
          <w:p>
            <w:pPr>
              <w:pStyle w:val="Compact"/>
              <w:keepNext/>
              <w:keepLines/>
              <w:spacing w:after="40" w:before="40" w:line="252" w:lineRule="auto"/>
              <w:jc w:val="right"/>
            </w:pPr>
            <w:r>
              <w:rPr>
                <w:b w:val="0"/>
                <w:sz w:val="21"/>
              </w:rPr>
              <w:t xml:space="preserve">1e-06</w:t>
            </w:r>
          </w:p>
        </w:tc>
      </w:tr>
      <w:tr>
        <w:trPr>
          <w:cantSplit/>
        </w:trPr>
        <w:tc>
          <w:tcPr>
            <w:tcW w:type="dxa" w:w="2107"/>
            <w:vAlign w:val="center"/>
          </w:tcPr>
          <w:p>
            <w:pPr>
              <w:pStyle w:val="Compact"/>
              <w:keepNext/>
              <w:keepLines/>
              <w:spacing w:after="40" w:before="40" w:line="252" w:lineRule="auto"/>
              <w:jc w:val="right"/>
            </w:pPr>
            <w:r>
              <w:rPr>
                <w:b w:val="0"/>
                <w:sz w:val="21"/>
              </w:rPr>
              <w:t xml:space="preserve">80 bins</w:t>
            </w:r>
          </w:p>
        </w:tc>
        <w:tc>
          <w:tcPr>
            <w:tcW w:type="dxa" w:w="2107"/>
            <w:vAlign w:val="center"/>
          </w:tcPr>
          <w:p>
            <w:pPr>
              <w:pStyle w:val="Compact"/>
              <w:keepNext/>
              <w:keepLines/>
              <w:spacing w:after="40" w:before="40" w:line="252" w:lineRule="auto"/>
              <w:jc w:val="left"/>
            </w:pPr>
            <w:r>
              <w:rPr>
                <w:b w:val="0"/>
                <w:sz w:val="21"/>
              </w:rPr>
              <w:t xml:space="preserve">[0.300000, 2.200000]</w:t>
            </w:r>
          </w:p>
        </w:tc>
        <w:tc>
          <w:tcPr>
            <w:tcW w:type="dxa" w:w="1915"/>
            <w:vAlign w:val="center"/>
          </w:tcPr>
          <w:p>
            <w:pPr>
              <w:pStyle w:val="Compact"/>
              <w:keepNext/>
              <w:keepLines/>
              <w:spacing w:after="40" w:before="40" w:line="252" w:lineRule="auto"/>
              <w:jc w:val="right"/>
            </w:pPr>
            <w:r>
              <w:rPr>
                <w:b w:val="0"/>
                <w:sz w:val="21"/>
              </w:rPr>
              <w:t xml:space="preserve">80</w:t>
            </w:r>
          </w:p>
        </w:tc>
        <w:tc>
          <w:tcPr>
            <w:tcW w:type="dxa" w:w="1724"/>
            <w:vAlign w:val="center"/>
          </w:tcPr>
          <w:p>
            <w:pPr>
              <w:pStyle w:val="Compact"/>
              <w:keepNext/>
              <w:keepLines/>
              <w:spacing w:after="40" w:before="40" w:line="252" w:lineRule="auto"/>
              <w:jc w:val="right"/>
            </w:pPr>
            <w:r>
              <w:rPr>
                <w:b w:val="0"/>
                <w:sz w:val="21"/>
              </w:rPr>
              <w:t xml:space="preserve">1</w:t>
            </w:r>
          </w:p>
        </w:tc>
        <w:tc>
          <w:tcPr>
            <w:tcW w:type="dxa" w:w="1724"/>
            <w:vAlign w:val="center"/>
          </w:tcPr>
          <w:p>
            <w:pPr>
              <w:pStyle w:val="Compact"/>
              <w:keepNext/>
              <w:keepLines/>
              <w:spacing w:after="40" w:before="40" w:line="252" w:lineRule="auto"/>
              <w:jc w:val="right"/>
            </w:pPr>
            <w:r>
              <w:rPr>
                <w:b w:val="0"/>
                <w:sz w:val="21"/>
              </w:rPr>
              <w:t xml:space="preserve">1.958569e-07</w:t>
            </w:r>
          </w:p>
        </w:tc>
      </w:tr>
      <w:tr>
        <w:trPr>
          <w:cantSplit/>
        </w:trPr>
        <w:tc>
          <w:tcPr>
            <w:tcW w:type="dxa" w:w="2107"/>
            <w:vAlign w:val="center"/>
          </w:tcPr>
          <w:p>
            <w:pPr>
              <w:pStyle w:val="Compact"/>
              <w:keepNext/>
              <w:keepLines/>
              <w:spacing w:after="40" w:before="40" w:line="252" w:lineRule="auto"/>
              <w:jc w:val="right"/>
            </w:pPr>
            <w:r>
              <w:rPr>
                <w:b w:val="0"/>
                <w:sz w:val="21"/>
              </w:rPr>
              <w:t xml:space="preserve">160 bins</w:t>
            </w:r>
          </w:p>
        </w:tc>
        <w:tc>
          <w:tcPr>
            <w:tcW w:type="dxa" w:w="2107"/>
            <w:vAlign w:val="center"/>
          </w:tcPr>
          <w:p>
            <w:pPr>
              <w:pStyle w:val="Compact"/>
              <w:keepNext/>
              <w:keepLines/>
              <w:spacing w:after="40" w:before="40" w:line="252" w:lineRule="auto"/>
              <w:jc w:val="left"/>
            </w:pPr>
            <w:r>
              <w:rPr>
                <w:b w:val="0"/>
                <w:sz w:val="21"/>
              </w:rPr>
              <w:t xml:space="preserve">[0.300000, 2.200000]</w:t>
            </w:r>
          </w:p>
        </w:tc>
        <w:tc>
          <w:tcPr>
            <w:tcW w:type="dxa" w:w="1915"/>
            <w:vAlign w:val="center"/>
          </w:tcPr>
          <w:p>
            <w:pPr>
              <w:pStyle w:val="Compact"/>
              <w:keepNext/>
              <w:keepLines/>
              <w:spacing w:after="40" w:before="40" w:line="252" w:lineRule="auto"/>
              <w:jc w:val="right"/>
            </w:pPr>
            <w:r>
              <w:rPr>
                <w:b w:val="0"/>
                <w:sz w:val="21"/>
              </w:rPr>
              <w:t xml:space="preserve">160</w:t>
            </w:r>
          </w:p>
        </w:tc>
        <w:tc>
          <w:tcPr>
            <w:tcW w:type="dxa" w:w="1724"/>
            <w:vAlign w:val="center"/>
          </w:tcPr>
          <w:p>
            <w:pPr>
              <w:pStyle w:val="Compact"/>
              <w:keepNext/>
              <w:keepLines/>
              <w:spacing w:after="40" w:before="40" w:line="252" w:lineRule="auto"/>
              <w:jc w:val="right"/>
            </w:pPr>
            <w:r>
              <w:rPr>
                <w:b w:val="0"/>
                <w:sz w:val="21"/>
              </w:rPr>
              <w:t xml:space="preserve">1</w:t>
            </w:r>
          </w:p>
        </w:tc>
        <w:tc>
          <w:tcPr>
            <w:tcW w:type="dxa" w:w="1724"/>
            <w:vAlign w:val="center"/>
          </w:tcPr>
          <w:p>
            <w:pPr>
              <w:pStyle w:val="Compact"/>
              <w:keepNext/>
              <w:keepLines/>
              <w:spacing w:after="40" w:before="40" w:line="252" w:lineRule="auto"/>
              <w:jc w:val="right"/>
            </w:pPr>
            <w:r>
              <w:rPr>
                <w:b w:val="0"/>
                <w:sz w:val="21"/>
              </w:rPr>
              <w:t xml:space="preserve">3.173886e-06</w:t>
            </w:r>
          </w:p>
        </w:tc>
      </w:tr>
      <w:tr>
        <w:trPr>
          <w:cantSplit/>
        </w:trPr>
        <w:tc>
          <w:tcPr>
            <w:tcW w:type="dxa" w:w="2107"/>
            <w:vAlign w:val="center"/>
          </w:tcPr>
          <w:p>
            <w:pPr>
              <w:pStyle w:val="Compact"/>
              <w:keepNext/>
              <w:keepLines/>
              <w:spacing w:after="40" w:before="40" w:line="252" w:lineRule="auto"/>
              <w:jc w:val="left"/>
            </w:pPr>
            <w:r>
              <w:rPr>
                <w:b w:val="0"/>
                <w:sz w:val="21"/>
              </w:rPr>
              <w:t xml:space="preserve">Smoothing / 10</w:t>
            </w:r>
          </w:p>
        </w:tc>
        <w:tc>
          <w:tcPr>
            <w:tcW w:type="dxa" w:w="2107"/>
            <w:vAlign w:val="center"/>
          </w:tcPr>
          <w:p>
            <w:pPr>
              <w:pStyle w:val="Compact"/>
              <w:keepNext/>
              <w:keepLines/>
              <w:spacing w:after="40" w:before="40" w:line="252" w:lineRule="auto"/>
              <w:jc w:val="left"/>
            </w:pPr>
            <w:r>
              <w:rPr>
                <w:b w:val="0"/>
                <w:sz w:val="21"/>
              </w:rPr>
              <w:t xml:space="preserve">[0.300000, 2.200000]</w:t>
            </w:r>
          </w:p>
        </w:tc>
        <w:tc>
          <w:tcPr>
            <w:tcW w:type="dxa" w:w="1915"/>
            <w:vAlign w:val="center"/>
          </w:tcPr>
          <w:p>
            <w:pPr>
              <w:pStyle w:val="Compact"/>
              <w:keepNext/>
              <w:keepLines/>
              <w:spacing w:after="40" w:before="40" w:line="252" w:lineRule="auto"/>
              <w:jc w:val="right"/>
            </w:pPr>
            <w:r>
              <w:rPr>
                <w:b w:val="0"/>
                <w:sz w:val="21"/>
              </w:rPr>
              <w:t xml:space="preserve">120</w:t>
            </w:r>
          </w:p>
        </w:tc>
        <w:tc>
          <w:tcPr>
            <w:tcW w:type="dxa" w:w="1724"/>
            <w:vAlign w:val="center"/>
          </w:tcPr>
          <w:p>
            <w:pPr>
              <w:pStyle w:val="Compact"/>
              <w:keepNext/>
              <w:keepLines/>
              <w:spacing w:after="40" w:before="40" w:line="252" w:lineRule="auto"/>
              <w:jc w:val="right"/>
            </w:pPr>
            <w:r>
              <w:rPr>
                <w:b w:val="0"/>
                <w:sz w:val="21"/>
              </w:rPr>
              <w:t xml:space="preserve">0.1</w:t>
            </w:r>
          </w:p>
        </w:tc>
        <w:tc>
          <w:tcPr>
            <w:tcW w:type="dxa" w:w="1724"/>
            <w:vAlign w:val="center"/>
          </w:tcPr>
          <w:p>
            <w:pPr>
              <w:pStyle w:val="Compact"/>
              <w:keepNext/>
              <w:keepLines/>
              <w:spacing w:after="40" w:before="40" w:line="252" w:lineRule="auto"/>
              <w:jc w:val="right"/>
            </w:pPr>
            <w:r>
              <w:rPr>
                <w:b w:val="0"/>
                <w:sz w:val="21"/>
              </w:rPr>
              <w:t xml:space="preserve">1e-07</w:t>
            </w:r>
          </w:p>
        </w:tc>
      </w:tr>
      <w:tr>
        <w:trPr>
          <w:cantSplit/>
        </w:trPr>
        <w:tc>
          <w:tcPr>
            <w:tcW w:type="dxa" w:w="2107"/>
            <w:vAlign w:val="center"/>
          </w:tcPr>
          <w:p>
            <w:pPr>
              <w:pStyle w:val="Compact"/>
              <w:keepNext/>
              <w:keepLines/>
              <w:spacing w:after="40" w:before="40" w:line="252" w:lineRule="auto"/>
              <w:jc w:val="left"/>
            </w:pPr>
            <w:r>
              <w:rPr>
                <w:b w:val="0"/>
                <w:sz w:val="21"/>
              </w:rPr>
              <w:t xml:space="preserve">Smoothing x 10</w:t>
            </w:r>
          </w:p>
        </w:tc>
        <w:tc>
          <w:tcPr>
            <w:tcW w:type="dxa" w:w="2107"/>
            <w:vAlign w:val="center"/>
          </w:tcPr>
          <w:p>
            <w:pPr>
              <w:pStyle w:val="Compact"/>
              <w:keepNext/>
              <w:keepLines/>
              <w:spacing w:after="40" w:before="40" w:line="252" w:lineRule="auto"/>
              <w:jc w:val="left"/>
            </w:pPr>
            <w:r>
              <w:rPr>
                <w:b w:val="0"/>
                <w:sz w:val="21"/>
              </w:rPr>
              <w:t xml:space="preserve">[0.300000, 2.200000]</w:t>
            </w:r>
          </w:p>
        </w:tc>
        <w:tc>
          <w:tcPr>
            <w:tcW w:type="dxa" w:w="1915"/>
            <w:vAlign w:val="center"/>
          </w:tcPr>
          <w:p>
            <w:pPr>
              <w:pStyle w:val="Compact"/>
              <w:keepNext/>
              <w:keepLines/>
              <w:spacing w:after="40" w:before="40" w:line="252" w:lineRule="auto"/>
              <w:jc w:val="right"/>
            </w:pPr>
            <w:r>
              <w:rPr>
                <w:b w:val="0"/>
                <w:sz w:val="21"/>
              </w:rPr>
              <w:t xml:space="preserve">120</w:t>
            </w:r>
          </w:p>
        </w:tc>
        <w:tc>
          <w:tcPr>
            <w:tcW w:type="dxa" w:w="1724"/>
            <w:vAlign w:val="center"/>
          </w:tcPr>
          <w:p>
            <w:pPr>
              <w:pStyle w:val="Compact"/>
              <w:keepNext/>
              <w:keepLines/>
              <w:spacing w:after="40" w:before="40" w:line="252" w:lineRule="auto"/>
              <w:jc w:val="right"/>
            </w:pPr>
            <w:r>
              <w:rPr>
                <w:b w:val="0"/>
                <w:sz w:val="21"/>
              </w:rPr>
              <w:t xml:space="preserve">10</w:t>
            </w:r>
          </w:p>
        </w:tc>
        <w:tc>
          <w:tcPr>
            <w:tcW w:type="dxa" w:w="1724"/>
            <w:vAlign w:val="center"/>
          </w:tcPr>
          <w:p>
            <w:pPr>
              <w:pStyle w:val="Compact"/>
              <w:keepNext/>
              <w:keepLines/>
              <w:spacing w:after="40" w:before="40" w:line="252" w:lineRule="auto"/>
              <w:jc w:val="right"/>
            </w:pPr>
            <w:r>
              <w:rPr>
                <w:b w:val="0"/>
                <w:sz w:val="21"/>
              </w:rPr>
              <w:t xml:space="preserve">1e-05</w:t>
            </w:r>
          </w:p>
        </w:tc>
      </w:tr>
      <w:tr>
        <w:trPr>
          <w:cantSplit/>
        </w:trPr>
        <w:tc>
          <w:tcPr>
            <w:tcW w:type="dxa" w:w="2107"/>
            <w:vAlign w:val="center"/>
          </w:tcPr>
          <w:p>
            <w:pPr>
              <w:pStyle w:val="Compact"/>
              <w:keepNext/>
              <w:keepLines/>
              <w:spacing w:after="40" w:before="40" w:line="252" w:lineRule="auto"/>
              <w:jc w:val="left"/>
            </w:pPr>
            <w:r>
              <w:rPr>
                <w:b w:val="0"/>
                <w:sz w:val="21"/>
              </w:rPr>
              <w:t xml:space="preserve">Narrow support</w:t>
            </w:r>
          </w:p>
        </w:tc>
        <w:tc>
          <w:tcPr>
            <w:tcW w:type="dxa" w:w="2107"/>
            <w:vAlign w:val="center"/>
          </w:tcPr>
          <w:p>
            <w:pPr>
              <w:pStyle w:val="Compact"/>
              <w:keepNext/>
              <w:keepLines/>
              <w:spacing w:after="40" w:before="40" w:line="252" w:lineRule="auto"/>
              <w:jc w:val="left"/>
            </w:pPr>
            <w:r>
              <w:rPr>
                <w:b w:val="0"/>
                <w:sz w:val="21"/>
              </w:rPr>
              <w:t xml:space="preserve">[0.458333, 1.883333]</w:t>
            </w:r>
          </w:p>
        </w:tc>
        <w:tc>
          <w:tcPr>
            <w:tcW w:type="dxa" w:w="1915"/>
            <w:vAlign w:val="center"/>
          </w:tcPr>
          <w:p>
            <w:pPr>
              <w:pStyle w:val="Compact"/>
              <w:keepNext/>
              <w:keepLines/>
              <w:spacing w:after="40" w:before="40" w:line="252" w:lineRule="auto"/>
              <w:jc w:val="right"/>
            </w:pPr>
            <w:r>
              <w:rPr>
                <w:b w:val="0"/>
                <w:sz w:val="21"/>
              </w:rPr>
              <w:t xml:space="preserve">90</w:t>
            </w:r>
          </w:p>
        </w:tc>
        <w:tc>
          <w:tcPr>
            <w:tcW w:type="dxa" w:w="1724"/>
            <w:vAlign w:val="center"/>
          </w:tcPr>
          <w:p>
            <w:pPr>
              <w:pStyle w:val="Compact"/>
              <w:keepNext/>
              <w:keepLines/>
              <w:spacing w:after="40" w:before="40" w:line="252" w:lineRule="auto"/>
              <w:jc w:val="right"/>
            </w:pPr>
            <w:r>
              <w:rPr>
                <w:b w:val="0"/>
                <w:sz w:val="21"/>
              </w:rPr>
              <w:t xml:space="preserve">1</w:t>
            </w:r>
          </w:p>
        </w:tc>
        <w:tc>
          <w:tcPr>
            <w:tcW w:type="dxa" w:w="1724"/>
            <w:vAlign w:val="center"/>
          </w:tcPr>
          <w:p>
            <w:pPr>
              <w:pStyle w:val="Compact"/>
              <w:keepNext/>
              <w:keepLines/>
              <w:spacing w:after="40" w:before="40" w:line="252" w:lineRule="auto"/>
              <w:jc w:val="right"/>
            </w:pPr>
            <w:r>
              <w:rPr>
                <w:b w:val="0"/>
                <w:sz w:val="21"/>
              </w:rPr>
              <w:t xml:space="preserve">7.457627e-07</w:t>
            </w:r>
          </w:p>
        </w:tc>
      </w:tr>
      <w:tr>
        <w:trPr>
          <w:cantSplit/>
        </w:trPr>
        <w:tc>
          <w:tcPr>
            <w:tcW w:type="dxa" w:w="2107"/>
            <w:vAlign w:val="center"/>
          </w:tcPr>
          <w:p>
            <w:pPr>
              <w:pStyle w:val="Compact"/>
              <w:keepNext/>
              <w:keepLines/>
              <w:spacing w:after="40" w:before="40" w:line="252" w:lineRule="auto"/>
              <w:jc w:val="left"/>
            </w:pPr>
            <w:r>
              <w:rPr>
                <w:b w:val="0"/>
                <w:sz w:val="21"/>
              </w:rPr>
              <w:t xml:space="preserve">Wide support</w:t>
            </w:r>
          </w:p>
        </w:tc>
        <w:tc>
          <w:tcPr>
            <w:tcW w:type="dxa" w:w="2107"/>
            <w:vAlign w:val="center"/>
          </w:tcPr>
          <w:p>
            <w:pPr>
              <w:pStyle w:val="Compact"/>
              <w:keepNext/>
              <w:keepLines/>
              <w:spacing w:after="40" w:before="40" w:line="252" w:lineRule="auto"/>
              <w:jc w:val="left"/>
            </w:pPr>
            <w:r>
              <w:rPr>
                <w:b w:val="0"/>
                <w:sz w:val="21"/>
              </w:rPr>
              <w:t xml:space="preserve">[0.110000, 2.580000]</w:t>
            </w:r>
          </w:p>
        </w:tc>
        <w:tc>
          <w:tcPr>
            <w:tcW w:type="dxa" w:w="1915"/>
            <w:vAlign w:val="center"/>
          </w:tcPr>
          <w:p>
            <w:pPr>
              <w:pStyle w:val="Compact"/>
              <w:keepNext/>
              <w:keepLines/>
              <w:spacing w:after="40" w:before="40" w:line="252" w:lineRule="auto"/>
              <w:jc w:val="right"/>
            </w:pPr>
            <w:r>
              <w:rPr>
                <w:b w:val="0"/>
                <w:sz w:val="21"/>
              </w:rPr>
              <w:t xml:space="preserve">156</w:t>
            </w:r>
          </w:p>
        </w:tc>
        <w:tc>
          <w:tcPr>
            <w:tcW w:type="dxa" w:w="1724"/>
            <w:vAlign w:val="center"/>
          </w:tcPr>
          <w:p>
            <w:pPr>
              <w:pStyle w:val="Compact"/>
              <w:keepNext/>
              <w:keepLines/>
              <w:spacing w:after="40" w:before="40" w:line="252" w:lineRule="auto"/>
              <w:jc w:val="right"/>
            </w:pPr>
            <w:r>
              <w:rPr>
                <w:b w:val="0"/>
                <w:sz w:val="21"/>
              </w:rPr>
              <w:t xml:space="preserve">1</w:t>
            </w:r>
          </w:p>
        </w:tc>
        <w:tc>
          <w:tcPr>
            <w:tcW w:type="dxa" w:w="1724"/>
            <w:vAlign w:val="center"/>
          </w:tcPr>
          <w:p>
            <w:pPr>
              <w:pStyle w:val="Compact"/>
              <w:keepNext/>
              <w:keepLines/>
              <w:spacing w:after="40" w:before="40" w:line="252" w:lineRule="auto"/>
              <w:jc w:val="right"/>
            </w:pPr>
            <w:r>
              <w:rPr>
                <w:b w:val="0"/>
                <w:sz w:val="21"/>
              </w:rPr>
              <w:t xml:space="preserve">1.305085e-06</w:t>
            </w:r>
          </w:p>
        </w:tc>
      </w:tr>
    </w:tbl>
    <w:p>
      <w:bookmarkStart w:id="575" w:name="table11"/>
      <w:pPr>
        <w:pStyle w:val="TableCaption"/>
      </w:pPr>
      <w:r>
        <w:t xml:space="preserve">Table 11. Declared sensitivity settings. Support is in forward-normalised terminal levels; lambda is the coefficient passed to Equation (12).</w:t>
      </w:r>
      <w:bookmarkEnd w:id="575"/>
    </w:p>
    <w:p>
      <w:pPr>
        <w:pStyle w:val="BodyText"/>
      </w:pPr>
      <w:r>
        <w:t xml:space="preserve">The narrower and wider supports use nested edges with the same bin width as the baseline. The settings are a declared sensitivity study, not parameters optimised against the known density. The finite fitted support remains a substantive restriction even when its edge selection is numerically convenient.</w:t>
      </w:r>
    </w:p>
    <w:bookmarkEnd w:id="88"/>
    <w:bookmarkStart w:id="98" w:name="measuring-density-and-tail-errors"/>
    <w:p>
      <w:bookmarkStart w:id="576" w:name="h22"/>
      <w:pPr>
        <w:pStyle w:val="Heading2"/>
        <w:numPr>
          <w:ilvl w:val="1"/>
          <w:numId w:val="70"/>
        </w:numPr>
      </w:pPr>
      <w:bookmarkEnd w:id="576"/>
      <w:r>
        <w:t>Measuring density and tail errors</w:t>
      </w:r>
    </w:p>
    <w:p>
      <w:pPr>
        <w:pStyle w:val="FirstParagraph"/>
      </w:pPr>
      <w:r>
        <w:t xml:space="preserve">Because the fitted density is zero outside its support, evaluating only the central integral would omit a known source of error. Equation (23) extends the density measure to the full positive domain by adding the benchmark probability outside the fitted range.</w:t>
      </w:r>
    </w:p>
    <w:p>
      <w:pPr>
        <w:pStyle w:val="BodyText"/>
        <w:keepNext/>
        <w:spacing w:before="120" w:after="40"/>
        <w:jc w:val="center"/>
      </w:pPr>
      <m:oMathPara>
        <m:oMathParaPr>
          <m:jc m:val="center"/>
        </m:oMathParaPr>
        <m:oMath>
          <m:m>
            <m:mPr>
              <m:baseJc m:val="center"/>
              <m:plcHide m:val="on"/>
              <m:mcs>
                <m:mc>
                  <m:mcPr>
                    <m:mcJc m:val="center"/>
                    <m:count m:val="1"/>
                  </m:mcPr>
                </m:mc>
              </m:mcs>
            </m:mPr>
            <m:mr>
              <m:e>
                <m:sSubSup>
                  <m:e>
                    <m:r>
                      <m:t>L</m:t>
                    </m:r>
                  </m:e>
                  <m:sub>
                    <m:r>
                      <m:t>1</m:t>
                    </m:r>
                  </m:sub>
                  <m:sup>
                    <m:r>
                      <m:rPr>
                        <m:sty m:val="p"/>
                      </m:rPr>
                      <m:t>f</m:t>
                    </m:r>
                    <m:r>
                      <m:rPr>
                        <m:sty m:val="p"/>
                      </m:rPr>
                      <m:t>u</m:t>
                    </m:r>
                    <m:r>
                      <m:rPr>
                        <m:sty m:val="p"/>
                      </m:rPr>
                      <m:t>l</m:t>
                    </m:r>
                    <m:r>
                      <m:rPr>
                        <m:sty m:val="p"/>
                      </m:rPr>
                      <m:t>l</m:t>
                    </m:r>
                  </m:sup>
                </m:sSubSup>
                <m:d>
                  <m:dPr>
                    <m:begChr m:val="("/>
                    <m:endChr m:val=")"/>
                    <m:sepChr m:val=""/>
                    <m:grow/>
                  </m:dPr>
                  <m:e>
                    <m:r>
                      <m:t>T</m:t>
                    </m:r>
                  </m:e>
                </m:d>
                <m:r>
                  <m:rPr>
                    <m:sty m:val="p"/>
                  </m:rPr>
                  <m:t>=</m:t>
                </m:r>
                <m:nary>
                  <m:naryPr>
                    <m:chr m:val="∫"/>
                    <m:limLoc m:val="subSup"/>
                    <m:subHide m:val="off"/>
                    <m:supHide m:val="off"/>
                  </m:naryPr>
                  <m:sub>
                    <m:sSub>
                      <m:e>
                        <m:r>
                          <m:t>u</m:t>
                        </m:r>
                      </m:e>
                      <m:sub>
                        <m:r>
                          <m:t>0</m:t>
                        </m:r>
                      </m:sub>
                    </m:sSub>
                  </m:sub>
                  <m:sup>
                    <m:sSub>
                      <m:e>
                        <m:r>
                          <m:t>u</m:t>
                        </m:r>
                      </m:e>
                      <m:sub>
                        <m:r>
                          <m:t>J</m:t>
                        </m:r>
                      </m:sub>
                    </m:sSub>
                  </m:sup>
                  <m:e>
                    <m:d>
                      <m:dPr>
                        <m:begChr m:val="|"/>
                        <m:endChr m:val="|"/>
                        <m:sepChr m:val=""/>
                        <m:grow/>
                      </m:dPr>
                      <m:e>
                        <m:acc>
                          <m:accPr>
                            <m:chr m:val="̂"/>
                          </m:accPr>
                          <m:e>
                            <m:r>
                              <m:t>g</m:t>
                            </m:r>
                          </m:e>
                        </m:acc>
                        <m:d>
                          <m:dPr>
                            <m:begChr m:val="("/>
                            <m:endChr m:val=")"/>
                            <m:sepChr m:val=""/>
                            <m:grow/>
                          </m:dPr>
                          <m:e>
                            <m:r>
                              <m:t>x</m:t>
                            </m:r>
                            <m:r>
                              <m:rPr>
                                <m:sty m:val="p"/>
                              </m:rPr>
                              <m:t>,</m:t>
                            </m:r>
                            <m:r>
                              <m:t>T</m:t>
                            </m:r>
                          </m:e>
                        </m:d>
                        <m:r>
                          <m:rPr>
                            <m:sty m:val="p"/>
                          </m:rPr>
                          <m:t>−</m:t>
                        </m:r>
                        <m:r>
                          <m:t>g</m:t>
                        </m:r>
                        <m:d>
                          <m:dPr>
                            <m:begChr m:val="("/>
                            <m:endChr m:val=")"/>
                            <m:sepChr m:val=""/>
                            <m:grow/>
                          </m:dPr>
                          <m:e>
                            <m:r>
                              <m:t>x</m:t>
                            </m:r>
                            <m:r>
                              <m:rPr>
                                <m:sty m:val="p"/>
                              </m:rPr>
                              <m:t>,</m:t>
                            </m:r>
                            <m:r>
                              <m:t>T</m:t>
                            </m:r>
                          </m:e>
                        </m:d>
                      </m:e>
                    </m:d>
                  </m:e>
                </m:nary>
                <m:r>
                  <m:t> </m:t>
                </m:r>
                <m:r>
                  <m:t>d</m:t>
                </m:r>
                <m:r>
                  <m:t>x</m:t>
                </m:r>
              </m:e>
            </m:mr>
            <m:mr>
              <m:e>
                <m:r>
                  <m:t> </m:t>
                </m:r>
                <m:r>
                  <m:rPr>
                    <m:sty m:val="p"/>
                  </m:rPr>
                  <m:t>+</m:t>
                </m:r>
                <m:r>
                  <m:t>Q</m:t>
                </m:r>
                <m:d>
                  <m:dPr>
                    <m:begChr m:val="("/>
                    <m:endChr m:val=")"/>
                    <m:sepChr m:val=""/>
                    <m:grow/>
                  </m:dPr>
                  <m:e>
                    <m:sSub>
                      <m:e>
                        <m:r>
                          <m:t>X</m:t>
                        </m:r>
                      </m:e>
                      <m:sub>
                        <m:r>
                          <m:t>T</m:t>
                        </m:r>
                      </m:sub>
                    </m:sSub>
                    <m:r>
                      <m:rPr>
                        <m:sty m:val="p"/>
                      </m:rPr>
                      <m:t>&lt;</m:t>
                    </m:r>
                    <m:sSub>
                      <m:e>
                        <m:r>
                          <m:t>u</m:t>
                        </m:r>
                      </m:e>
                      <m:sub>
                        <m:r>
                          <m:t>0</m:t>
                        </m:r>
                      </m:sub>
                    </m:sSub>
                  </m:e>
                </m:d>
                <m:r>
                  <m:rPr>
                    <m:sty m:val="p"/>
                  </m:rPr>
                  <m:t>+</m:t>
                </m:r>
                <m:r>
                  <m:t>Q</m:t>
                </m:r>
                <m:d>
                  <m:dPr>
                    <m:begChr m:val="("/>
                    <m:endChr m:val=")"/>
                    <m:sepChr m:val=""/>
                    <m:grow/>
                  </m:dPr>
                  <m:e>
                    <m:sSub>
                      <m:e>
                        <m:r>
                          <m:t>X</m:t>
                        </m:r>
                      </m:e>
                      <m:sub>
                        <m:r>
                          <m:t>T</m:t>
                        </m:r>
                      </m:sub>
                    </m:sSub>
                    <m:r>
                      <m:rPr>
                        <m:sty m:val="p"/>
                      </m:rPr>
                      <m:t>&gt;</m:t>
                    </m:r>
                    <m:sSub>
                      <m:e>
                        <m:r>
                          <m:t>u</m:t>
                        </m:r>
                      </m:e>
                      <m:sub>
                        <m:r>
                          <m:t>J</m:t>
                        </m:r>
                      </m:sub>
                    </m:sSub>
                  </m:e>
                </m:d>
                <m:r>
                  <m:rPr>
                    <m:sty m:val="p"/>
                  </m:rPr>
                  <m:t>,</m:t>
                </m:r>
              </m:e>
            </m:mr>
            <m:mr>
              <m:e>
                <m:sSub>
                  <m:e>
                    <m:r>
                      <m:t>X</m:t>
                    </m:r>
                  </m:e>
                  <m:sub>
                    <m:r>
                      <m:t>T</m:t>
                    </m:r>
                  </m:sub>
                </m:sSub>
                <m:r>
                  <m:rPr>
                    <m:sty m:val="p"/>
                  </m:rPr>
                  <m:t>=</m:t>
                </m:r>
                <m:sSub>
                  <m:e>
                    <m:r>
                      <m:t>S</m:t>
                    </m:r>
                  </m:e>
                  <m:sub>
                    <m:r>
                      <m:t>T</m:t>
                    </m:r>
                  </m:sub>
                </m:sSub>
                <m:r>
                  <m:rPr>
                    <m:sty m:val="p"/>
                  </m:rPr>
                  <m:t>/</m:t>
                </m:r>
                <m:r>
                  <m:t>F</m:t>
                </m:r>
                <m:d>
                  <m:dPr>
                    <m:begChr m:val="("/>
                    <m:endChr m:val=")"/>
                    <m:sepChr m:val=""/>
                    <m:grow/>
                  </m:dPr>
                  <m:e>
                    <m:r>
                      <m:t>T</m:t>
                    </m:r>
                  </m:e>
                </m:d>
                <m:r>
                  <m:rPr>
                    <m:sty m:val="p"/>
                  </m:rPr>
                  <m:t>.</m:t>
                </m:r>
              </m:e>
            </m:mr>
          </m:m>
        </m:oMath>
      </m:oMathPara>
    </w:p>
    <w:p>
      <w:bookmarkStart w:id="577" w:name="equation23"/>
      <w:pPr>
        <w:pStyle w:val="EquationCaption"/>
      </w:pPr>
      <w:r>
        <w:t xml:space="preserve">Equation 23. Full-domain density error including omitted tails.</w:t>
      </w:r>
      <w:bookmarkEnd w:id="577"/>
    </w:p>
    <w:p>
      <w:pPr>
        <w:pStyle w:val="BodyText"/>
      </w:pPr>
      <w:r>
        <w:t xml:space="preserve">Following Malz’s discussion of threshold-based summaries and extrapolation [14], Equation (24) defines three risk-neutral events. The thresholds are project choices in forward coordinates, not calibrated statements about economically exceptional moves.</w:t>
      </w:r>
    </w:p>
    <w:p>
      <w:pPr>
        <w:pStyle w:val="BodyText"/>
        <w:keepNext/>
        <w:spacing w:before="120" w:after="40"/>
        <w:jc w:val="center"/>
      </w:pPr>
      <m:oMathPara>
        <m:oMathParaPr>
          <m:jc m:val="center"/>
        </m:oMathParaPr>
        <m:oMath>
          <m:m>
            <m:mPr>
              <m:baseJc m:val="center"/>
              <m:plcHide m:val="on"/>
              <m:mcs>
                <m:mc>
                  <m:mcPr>
                    <m:mcJc m:val="center"/>
                    <m:count m:val="1"/>
                  </m:mcPr>
                </m:mc>
              </m:mcs>
            </m:mPr>
            <m:mr>
              <m:e>
                <m:sSubSup>
                  <m:e>
                    <m:r>
                      <m:t>p</m:t>
                    </m:r>
                  </m:e>
                  <m:sub>
                    <m:r>
                      <m:t>0.8</m:t>
                    </m:r>
                  </m:sub>
                  <m:sup>
                    <m:r>
                      <m:rPr>
                        <m:sty m:val="p"/>
                      </m:rPr>
                      <m:t>−</m:t>
                    </m:r>
                  </m:sup>
                </m:sSubSup>
                <m:d>
                  <m:dPr>
                    <m:begChr m:val="("/>
                    <m:endChr m:val=")"/>
                    <m:sepChr m:val=""/>
                    <m:grow/>
                  </m:dPr>
                  <m:e>
                    <m:r>
                      <m:t>T</m:t>
                    </m:r>
                  </m:e>
                </m:d>
                <m:r>
                  <m:rPr>
                    <m:sty m:val="p"/>
                  </m:rPr>
                  <m:t>=</m:t>
                </m:r>
                <m:r>
                  <m:t>Q</m:t>
                </m:r>
                <m:d>
                  <m:dPr>
                    <m:begChr m:val="("/>
                    <m:endChr m:val=")"/>
                    <m:sepChr m:val=""/>
                    <m:grow/>
                  </m:dPr>
                  <m:e>
                    <m:sSub>
                      <m:e>
                        <m:r>
                          <m:t>S</m:t>
                        </m:r>
                      </m:e>
                      <m:sub>
                        <m:r>
                          <m:t>T</m:t>
                        </m:r>
                      </m:sub>
                    </m:sSub>
                    <m:r>
                      <m:rPr>
                        <m:sty m:val="p"/>
                      </m:rPr>
                      <m:t>&lt;</m:t>
                    </m:r>
                    <m:r>
                      <m:t>0.8</m:t>
                    </m:r>
                    <m:r>
                      <m:t>F</m:t>
                    </m:r>
                    <m:d>
                      <m:dPr>
                        <m:begChr m:val="("/>
                        <m:endChr m:val=")"/>
                        <m:sepChr m:val=""/>
                        <m:grow/>
                      </m:dPr>
                      <m:e>
                        <m:r>
                          <m:t>T</m:t>
                        </m:r>
                      </m:e>
                    </m:d>
                  </m:e>
                </m:d>
                <m:r>
                  <m:rPr>
                    <m:sty m:val="p"/>
                  </m:rPr>
                  <m:t>,</m:t>
                </m:r>
              </m:e>
            </m:mr>
            <m:mr>
              <m:e>
                <m:sSubSup>
                  <m:e>
                    <m:r>
                      <m:t>p</m:t>
                    </m:r>
                  </m:e>
                  <m:sub>
                    <m:r>
                      <m:t>1.2</m:t>
                    </m:r>
                  </m:sub>
                  <m:sup>
                    <m:r>
                      <m:rPr>
                        <m:sty m:val="p"/>
                      </m:rPr>
                      <m:t>+</m:t>
                    </m:r>
                  </m:sup>
                </m:sSubSup>
                <m:d>
                  <m:dPr>
                    <m:begChr m:val="("/>
                    <m:endChr m:val=")"/>
                    <m:sepChr m:val=""/>
                    <m:grow/>
                  </m:dPr>
                  <m:e>
                    <m:r>
                      <m:t>T</m:t>
                    </m:r>
                  </m:e>
                </m:d>
                <m:r>
                  <m:rPr>
                    <m:sty m:val="p"/>
                  </m:rPr>
                  <m:t>=</m:t>
                </m:r>
                <m:r>
                  <m:t>Q</m:t>
                </m:r>
                <m:d>
                  <m:dPr>
                    <m:begChr m:val="("/>
                    <m:endChr m:val=")"/>
                    <m:sepChr m:val=""/>
                    <m:grow/>
                  </m:dPr>
                  <m:e>
                    <m:sSub>
                      <m:e>
                        <m:r>
                          <m:t>S</m:t>
                        </m:r>
                      </m:e>
                      <m:sub>
                        <m:r>
                          <m:t>T</m:t>
                        </m:r>
                      </m:sub>
                    </m:sSub>
                    <m:r>
                      <m:rPr>
                        <m:sty m:val="p"/>
                      </m:rPr>
                      <m:t>&gt;</m:t>
                    </m:r>
                    <m:r>
                      <m:t>1.2</m:t>
                    </m:r>
                    <m:r>
                      <m:t>F</m:t>
                    </m:r>
                    <m:d>
                      <m:dPr>
                        <m:begChr m:val="("/>
                        <m:endChr m:val=")"/>
                        <m:sepChr m:val=""/>
                        <m:grow/>
                      </m:dPr>
                      <m:e>
                        <m:r>
                          <m:t>T</m:t>
                        </m:r>
                      </m:e>
                    </m:d>
                  </m:e>
                </m:d>
                <m:r>
                  <m:rPr>
                    <m:sty m:val="p"/>
                  </m:rPr>
                  <m:t>,</m:t>
                </m:r>
              </m:e>
            </m:mr>
            <m:mr>
              <m:e>
                <m:sSubSup>
                  <m:e>
                    <m:r>
                      <m:t>p</m:t>
                    </m:r>
                  </m:e>
                  <m:sub>
                    <m:r>
                      <m:t>1.8</m:t>
                    </m:r>
                  </m:sub>
                  <m:sup>
                    <m:r>
                      <m:rPr>
                        <m:sty m:val="p"/>
                      </m:rPr>
                      <m:t>+</m:t>
                    </m:r>
                  </m:sup>
                </m:sSubSup>
                <m:d>
                  <m:dPr>
                    <m:begChr m:val="("/>
                    <m:endChr m:val=")"/>
                    <m:sepChr m:val=""/>
                    <m:grow/>
                  </m:dPr>
                  <m:e>
                    <m:r>
                      <m:t>T</m:t>
                    </m:r>
                  </m:e>
                </m:d>
                <m:r>
                  <m:rPr>
                    <m:sty m:val="p"/>
                  </m:rPr>
                  <m:t>=</m:t>
                </m:r>
                <m:r>
                  <m:t>Q</m:t>
                </m:r>
                <m:d>
                  <m:dPr>
                    <m:begChr m:val="("/>
                    <m:endChr m:val=")"/>
                    <m:sepChr m:val=""/>
                    <m:grow/>
                  </m:dPr>
                  <m:e>
                    <m:sSub>
                      <m:e>
                        <m:r>
                          <m:t>S</m:t>
                        </m:r>
                      </m:e>
                      <m:sub>
                        <m:r>
                          <m:t>T</m:t>
                        </m:r>
                      </m:sub>
                    </m:sSub>
                    <m:r>
                      <m:rPr>
                        <m:sty m:val="p"/>
                      </m:rPr>
                      <m:t>&gt;</m:t>
                    </m:r>
                    <m:r>
                      <m:t>1.8</m:t>
                    </m:r>
                    <m:r>
                      <m:t>F</m:t>
                    </m:r>
                    <m:d>
                      <m:dPr>
                        <m:begChr m:val="("/>
                        <m:endChr m:val=")"/>
                        <m:sepChr m:val=""/>
                        <m:grow/>
                      </m:dPr>
                      <m:e>
                        <m:r>
                          <m:t>T</m:t>
                        </m:r>
                      </m:e>
                    </m:d>
                  </m:e>
                </m:d>
                <m:r>
                  <m:rPr>
                    <m:sty m:val="p"/>
                  </m:rPr>
                  <m:t>.</m:t>
                </m:r>
              </m:e>
            </m:mr>
          </m:m>
        </m:oMath>
      </m:oMathPara>
    </w:p>
    <w:p>
      <w:bookmarkStart w:id="578" w:name="equation24"/>
      <w:pPr>
        <w:pStyle w:val="EquationCaption"/>
      </w:pPr>
      <w:r>
        <w:t xml:space="preserve">Equation 24. Risk-neutral tail probabilities at stated forward thresholds.</w:t>
      </w:r>
      <w:bookmarkEnd w:id="578"/>
    </w:p>
    <w:p>
      <w:pPr>
        <w:pStyle w:val="BodyText"/>
      </w:pPr>
      <w:r>
        <w:t xml:space="preserve">Equation (25) gives exact histogram variance and the corresponding known mixture variance. These are variances of the normalised terminal level, not annualised implied volatilities. In the fitted case</w:t>
      </w:r>
      <w:r>
        <w:t xml:space="preserve"> </w:t>
      </w:r>
      <m:oMath>
        <m:acc>
          <m:accPr>
            <m:chr m:val="̂"/>
          </m:accPr>
          <m:e>
            <m:r>
              <m:t>μ</m:t>
            </m:r>
          </m:e>
        </m:acc>
      </m:oMath>
      <w:r>
        <w:t xml:space="preserve"> </w:t>
      </w:r>
      <w:r>
        <w:t xml:space="preserve">is its normalised mean.</w:t>
      </w:r>
    </w:p>
    <w:p>
      <w:pPr>
        <w:pStyle w:val="BodyText"/>
        <w:keepNext/>
        <w:spacing w:before="120" w:after="40"/>
        <w:jc w:val="center"/>
      </w:pPr>
      <m:oMathPara>
        <m:oMathParaPr>
          <m:jc m:val="center"/>
        </m:oMathParaPr>
        <m:oMath>
          <m:m>
            <m:mPr>
              <m:baseJc m:val="center"/>
              <m:plcHide m:val="on"/>
              <m:mcs>
                <m:mc>
                  <m:mcPr>
                    <m:mcJc m:val="center"/>
                    <m:count m:val="1"/>
                  </m:mcPr>
                </m:mc>
              </m:mcs>
            </m:mPr>
            <m:mr>
              <m:e>
                <m:acc>
                  <m:accPr>
                    <m:chr m:val="̂"/>
                  </m:accPr>
                  <m:e>
                    <m:r>
                      <m:t>V</m:t>
                    </m:r>
                  </m:e>
                </m:acc>
                <m:d>
                  <m:dPr>
                    <m:begChr m:val="("/>
                    <m:endChr m:val=")"/>
                    <m:sepChr m:val=""/>
                    <m:grow/>
                  </m:dPr>
                  <m:e>
                    <m:r>
                      <m:t>T</m:t>
                    </m:r>
                  </m:e>
                </m:d>
                <m:r>
                  <m:rPr>
                    <m:sty m:val="p"/>
                  </m:rPr>
                  <m:t>=</m:t>
                </m:r>
                <m:nary>
                  <m:naryPr>
                    <m:chr m:val="∑"/>
                    <m:limLoc m:val="undOvr"/>
                    <m:subHide m:val="off"/>
                    <m:supHide m:val="off"/>
                  </m:naryPr>
                  <m:sub>
                    <m:r>
                      <m:t>j</m:t>
                    </m:r>
                    <m:r>
                      <m:rPr>
                        <m:sty m:val="p"/>
                      </m:rPr>
                      <m:t>=</m:t>
                    </m:r>
                    <m:r>
                      <m:t>1</m:t>
                    </m:r>
                  </m:sub>
                  <m:sup>
                    <m:r>
                      <m:t>J</m:t>
                    </m:r>
                  </m:sup>
                  <m:e>
                    <m:sSub>
                      <m:e>
                        <m:r>
                          <m:t>w</m:t>
                        </m:r>
                      </m:e>
                      <m:sub>
                        <m:r>
                          <m:t>j</m:t>
                        </m:r>
                      </m:sub>
                    </m:sSub>
                  </m:e>
                </m:nary>
                <m:f>
                  <m:fPr>
                    <m:type m:val="bar"/>
                  </m:fPr>
                  <m:num>
                    <m:sSubSup>
                      <m:e>
                        <m:r>
                          <m:t>u</m:t>
                        </m:r>
                      </m:e>
                      <m:sub>
                        <m:r>
                          <m:t>j</m:t>
                        </m:r>
                        <m:r>
                          <m:rPr>
                            <m:sty m:val="p"/>
                          </m:rPr>
                          <m:t>−</m:t>
                        </m:r>
                        <m:r>
                          <m:t>1</m:t>
                        </m:r>
                      </m:sub>
                      <m:sup>
                        <m:r>
                          <m:t>2</m:t>
                        </m:r>
                      </m:sup>
                    </m:sSubSup>
                    <m:r>
                      <m:rPr>
                        <m:sty m:val="p"/>
                      </m:rPr>
                      <m:t>+</m:t>
                    </m:r>
                    <m:sSub>
                      <m:e>
                        <m:r>
                          <m:t>u</m:t>
                        </m:r>
                      </m:e>
                      <m:sub>
                        <m:r>
                          <m:t>j</m:t>
                        </m:r>
                        <m:r>
                          <m:rPr>
                            <m:sty m:val="p"/>
                          </m:rPr>
                          <m:t>−</m:t>
                        </m:r>
                        <m:r>
                          <m:t>1</m:t>
                        </m:r>
                      </m:sub>
                    </m:sSub>
                    <m:sSub>
                      <m:e>
                        <m:r>
                          <m:t>u</m:t>
                        </m:r>
                      </m:e>
                      <m:sub>
                        <m:r>
                          <m:t>j</m:t>
                        </m:r>
                      </m:sub>
                    </m:sSub>
                    <m:r>
                      <m:rPr>
                        <m:sty m:val="p"/>
                      </m:rPr>
                      <m:t>+</m:t>
                    </m:r>
                    <m:sSubSup>
                      <m:e>
                        <m:r>
                          <m:t>u</m:t>
                        </m:r>
                      </m:e>
                      <m:sub>
                        <m:r>
                          <m:t>j</m:t>
                        </m:r>
                      </m:sub>
                      <m:sup>
                        <m:r>
                          <m:t>2</m:t>
                        </m:r>
                      </m:sup>
                    </m:sSubSup>
                  </m:num>
                  <m:den>
                    <m:r>
                      <m:t>3</m:t>
                    </m:r>
                  </m:den>
                </m:f>
                <m:r>
                  <m:rPr>
                    <m:sty m:val="p"/>
                  </m:rPr>
                  <m:t>−</m:t>
                </m:r>
                <m:sSup>
                  <m:e>
                    <m:acc>
                      <m:accPr>
                        <m:chr m:val="̂"/>
                      </m:accPr>
                      <m:e>
                        <m:r>
                          <m:t>μ</m:t>
                        </m:r>
                      </m:e>
                    </m:acc>
                  </m:e>
                  <m:sup>
                    <m:r>
                      <m:t>2</m:t>
                    </m:r>
                  </m:sup>
                </m:sSup>
                <m:r>
                  <m:rPr>
                    <m:sty m:val="p"/>
                  </m:rPr>
                  <m:t>,</m:t>
                </m:r>
              </m:e>
            </m:mr>
            <m:mr>
              <m:e>
                <m:sSub>
                  <m:e>
                    <m:r>
                      <m:t>V</m:t>
                    </m:r>
                  </m:e>
                  <m:sub>
                    <m:r>
                      <m:rPr>
                        <m:sty m:val="p"/>
                      </m:rPr>
                      <m:t>k</m:t>
                    </m:r>
                    <m:r>
                      <m:rPr>
                        <m:sty m:val="p"/>
                      </m:rPr>
                      <m:t>n</m:t>
                    </m:r>
                    <m:r>
                      <m:rPr>
                        <m:sty m:val="p"/>
                      </m:rPr>
                      <m:t>o</m:t>
                    </m:r>
                    <m:r>
                      <m:rPr>
                        <m:sty m:val="p"/>
                      </m:rPr>
                      <m:t>w</m:t>
                    </m:r>
                    <m:r>
                      <m:rPr>
                        <m:sty m:val="p"/>
                      </m:rPr>
                      <m:t>n</m:t>
                    </m:r>
                  </m:sub>
                </m:sSub>
                <m:d>
                  <m:dPr>
                    <m:begChr m:val="("/>
                    <m:endChr m:val=")"/>
                    <m:sepChr m:val=""/>
                    <m:grow/>
                  </m:dPr>
                  <m:e>
                    <m:r>
                      <m:t>T</m:t>
                    </m:r>
                  </m:e>
                </m:d>
                <m:r>
                  <m:rPr>
                    <m:sty m:val="p"/>
                  </m:rPr>
                  <m:t>=</m:t>
                </m:r>
                <m:nary>
                  <m:naryPr>
                    <m:chr m:val="∑"/>
                    <m:limLoc m:val="undOvr"/>
                    <m:subHide m:val="off"/>
                    <m:supHide m:val="off"/>
                  </m:naryPr>
                  <m:sub>
                    <m:r>
                      <m:rPr>
                        <m:sty m:val="p"/>
                      </m:rPr>
                      <m:t>ℓ</m:t>
                    </m:r>
                    <m:r>
                      <m:rPr>
                        <m:sty m:val="p"/>
                      </m:rPr>
                      <m:t>=</m:t>
                    </m:r>
                    <m:r>
                      <m:t>1</m:t>
                    </m:r>
                  </m:sub>
                  <m:sup>
                    <m:r>
                      <m:t>L</m:t>
                    </m:r>
                  </m:sup>
                  <m:e>
                    <m:sSub>
                      <m:e>
                        <m:r>
                          <m:t>π</m:t>
                        </m:r>
                      </m:e>
                      <m:sub>
                        <m:r>
                          <m:rPr>
                            <m:sty m:val="p"/>
                          </m:rPr>
                          <m:t>ℓ</m:t>
                        </m:r>
                      </m:sub>
                    </m:sSub>
                  </m:e>
                </m:nary>
                <m:d>
                  <m:dPr>
                    <m:begChr m:val="("/>
                    <m:endChr m:val=")"/>
                    <m:sepChr m:val=""/>
                    <m:grow/>
                  </m:dPr>
                  <m:e>
                    <m:sSup>
                      <m:e>
                        <m:r>
                          <m:t>e</m:t>
                        </m:r>
                      </m:e>
                      <m:sup>
                        <m:sSubSup>
                          <m:e>
                            <m:r>
                              <m:t>σ</m:t>
                            </m:r>
                          </m:e>
                          <m:sub>
                            <m:r>
                              <m:rPr>
                                <m:sty m:val="p"/>
                              </m:rPr>
                              <m:t>ℓ</m:t>
                            </m:r>
                          </m:sub>
                          <m:sup>
                            <m:r>
                              <m:t>2</m:t>
                            </m:r>
                          </m:sup>
                        </m:sSubSup>
                        <m:r>
                          <m:t>T</m:t>
                        </m:r>
                      </m:sup>
                    </m:sSup>
                    <m:r>
                      <m:rPr>
                        <m:sty m:val="p"/>
                      </m:rPr>
                      <m:t>−</m:t>
                    </m:r>
                    <m:r>
                      <m:t>1</m:t>
                    </m:r>
                  </m:e>
                </m:d>
                <m:r>
                  <m:rPr>
                    <m:sty m:val="p"/>
                  </m:rPr>
                  <m:t>.</m:t>
                </m:r>
              </m:e>
            </m:mr>
          </m:m>
        </m:oMath>
      </m:oMathPara>
    </w:p>
    <w:p>
      <w:bookmarkStart w:id="579" w:name="equation25"/>
      <w:pPr>
        <w:pStyle w:val="EquationCaption"/>
      </w:pPr>
      <w:r>
        <w:t xml:space="preserve">Equation 25. Normalised terminal-level variance for histograms and mixtures.</w:t>
      </w:r>
      <w:bookmarkEnd w:id="579"/>
    </w:p>
    <w:p>
      <w:pPr>
        <w:sectPr>
          <w:type w:val="nextPage"/>
          <w:pgSz w:w="11906" w:h="16838" w:orient="portrait"/>
          <w:pgMar w:top="1008" w:bottom="1008" w:left="1152" w:right="1152" w:header="432" w:footer="432" w:gutter="0"/>
          <w:pgNumType w:fmt="decimal"/>
        </w:sectPr>
        <w:spacing w:before="0" w:after="0" w:line="1" w:lineRule="exact"/>
      </w:pPr>
      <w:r>
        <w:rPr>
          <w:sz w:val="2"/>
        </w:rPr>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152"/>
        <w:gridCol w:w="3152"/>
        <w:gridCol w:w="2866"/>
        <w:gridCol w:w="2579"/>
        <w:gridCol w:w="2579"/>
      </w:tblGrid>
      <w:tr>
        <w:trPr>
          <w:tblHeader w:val="true"/>
          <w:cantSplit/>
          <w:tblHeader/>
        </w:trPr>
        <w:tc>
          <w:tcPr>
            <w:tcW w:type="dxa" w:w="3152"/>
            <w:vAlign w:val="center"/>
            <w:shd w:fill="E9EEF3"/>
          </w:tcPr>
          <w:p>
            <w:pPr>
              <w:pStyle w:val="Compact"/>
              <w:keepNext/>
              <w:keepLines/>
              <w:spacing w:after="40" w:before="40" w:line="252" w:lineRule="auto"/>
              <w:jc w:val="left"/>
            </w:pPr>
            <w:r>
              <w:rPr>
                <w:b/>
                <w:sz w:val="20"/>
              </w:rPr>
              <w:t xml:space="preserve">Benchmark</w:t>
            </w:r>
          </w:p>
        </w:tc>
        <w:tc>
          <w:tcPr>
            <w:tcW w:type="dxa" w:w="3152"/>
            <w:vAlign w:val="center"/>
            <w:shd w:fill="E9EEF3"/>
          </w:tcPr>
          <w:p>
            <w:pPr>
              <w:pStyle w:val="Compact"/>
              <w:keepNext/>
              <w:keepLines/>
              <w:spacing w:after="40" w:before="40" w:line="252" w:lineRule="auto"/>
              <w:jc w:val="left"/>
            </w:pPr>
            <w:r>
              <w:rPr>
                <w:b/>
                <w:sz w:val="20"/>
              </w:rPr>
              <w:t xml:space="preserve">Setting</w:t>
            </w:r>
          </w:p>
        </w:tc>
        <w:tc>
          <w:tcPr>
            <w:tcW w:type="dxa" w:w="2866"/>
            <w:vAlign w:val="center"/>
            <w:shd w:fill="E9EEF3"/>
          </w:tcPr>
          <w:p>
            <w:pPr>
              <w:pStyle w:val="Compact"/>
              <w:keepNext/>
              <w:keepLines/>
              <w:spacing w:after="40" w:before="40" w:line="252" w:lineRule="auto"/>
              <w:jc w:val="right"/>
            </w:pPr>
            <w:r>
              <w:rPr>
                <w:b/>
                <w:sz w:val="20"/>
              </w:rPr>
              <w:t xml:space="preserve">Withheld-price RMSE (points)</w:t>
            </w:r>
          </w:p>
        </w:tc>
        <w:tc>
          <w:tcPr>
            <w:tcW w:type="dxa" w:w="2579"/>
            <w:vAlign w:val="center"/>
            <w:shd w:fill="E9EEF3"/>
          </w:tcPr>
          <w:p>
            <w:pPr>
              <w:pStyle w:val="Compact"/>
              <w:keepNext/>
              <w:keepLines/>
              <w:spacing w:after="40" w:before="40" w:line="252" w:lineRule="auto"/>
              <w:jc w:val="right"/>
            </w:pPr>
            <w:r>
              <w:rPr>
                <w:b/>
                <w:sz w:val="20"/>
              </w:rPr>
              <w:t xml:space="preserve">Mean full-domain density</w:t>
            </w:r>
            <w:r>
              <w:rPr>
                <w:b/>
                <w:sz w:val="20"/>
              </w:rPr>
              <w:t xml:space="preserve"> </w:t>
            </w:r>
            <m:oMath>
              <m:sSub>
                <m:e>
                  <m:r>
                    <m:t>L</m:t>
                  </m:r>
                </m:e>
                <m:sub>
                  <m:r>
                    <m:t>1</m:t>
                  </m:r>
                </m:sub>
              </m:sSub>
            </m:oMath>
          </w:p>
        </w:tc>
        <w:tc>
          <w:tcPr>
            <w:tcW w:type="dxa" w:w="2579"/>
            <w:vAlign w:val="center"/>
            <w:shd w:fill="E9EEF3"/>
          </w:tcPr>
          <w:p>
            <w:pPr>
              <w:pStyle w:val="Compact"/>
              <w:keepNext/>
              <w:keepLines/>
              <w:spacing w:after="40" w:before="40" w:line="252" w:lineRule="auto"/>
              <w:jc w:val="left"/>
            </w:pPr>
            <w:r>
              <w:rPr>
                <w:b/>
                <w:sz w:val="20"/>
              </w:rPr>
              <w:t xml:space="preserve">Calendar check</w:t>
            </w:r>
          </w:p>
        </w:tc>
      </w:tr>
      <w:tr>
        <w:trPr>
          <w:cantSplit/>
        </w:trPr>
        <w:tc>
          <w:tcPr>
            <w:tcW w:type="dxa" w:w="3152"/>
            <w:vAlign w:val="center"/>
          </w:tcPr>
          <w:p>
            <w:pPr>
              <w:pStyle w:val="Compact"/>
              <w:keepNext w:val="0"/>
              <w:keepLines/>
              <w:spacing w:after="40" w:before="40" w:line="252" w:lineRule="auto"/>
              <w:jc w:val="left"/>
            </w:pPr>
            <w:r>
              <w:rPr>
                <w:b w:val="0"/>
                <w:sz w:val="20"/>
              </w:rPr>
              <w:t xml:space="preserve">Single lognormal</w:t>
            </w:r>
          </w:p>
        </w:tc>
        <w:tc>
          <w:tcPr>
            <w:tcW w:type="dxa" w:w="3152"/>
            <w:vAlign w:val="center"/>
          </w:tcPr>
          <w:p>
            <w:pPr>
              <w:pStyle w:val="Compact"/>
              <w:keepNext w:val="0"/>
              <w:keepLines/>
              <w:spacing w:after="40" w:before="40" w:line="252" w:lineRule="auto"/>
              <w:jc w:val="left"/>
            </w:pPr>
            <w:r>
              <w:rPr>
                <w:b w:val="0"/>
                <w:sz w:val="20"/>
              </w:rPr>
              <w:t xml:space="preserve">Baseline</w:t>
            </w:r>
          </w:p>
        </w:tc>
        <w:tc>
          <w:tcPr>
            <w:tcW w:type="dxa" w:w="2866"/>
            <w:vAlign w:val="center"/>
          </w:tcPr>
          <w:p>
            <w:pPr>
              <w:pStyle w:val="Compact"/>
              <w:keepNext w:val="0"/>
              <w:keepLines/>
              <w:spacing w:after="40" w:before="40" w:line="252" w:lineRule="auto"/>
              <w:jc w:val="right"/>
            </w:pPr>
            <w:r>
              <w:rPr>
                <w:b w:val="0"/>
                <w:sz w:val="20"/>
              </w:rPr>
              <w:t xml:space="preserve">0.119153</w:t>
            </w:r>
          </w:p>
        </w:tc>
        <w:tc>
          <w:tcPr>
            <w:tcW w:type="dxa" w:w="2579"/>
            <w:vAlign w:val="center"/>
          </w:tcPr>
          <w:p>
            <w:pPr>
              <w:pStyle w:val="Compact"/>
              <w:keepNext w:val="0"/>
              <w:keepLines/>
              <w:spacing w:after="40" w:before="40" w:line="252" w:lineRule="auto"/>
              <w:jc w:val="right"/>
            </w:pPr>
            <w:r>
              <w:rPr>
                <w:b w:val="0"/>
                <w:sz w:val="20"/>
              </w:rPr>
              <w:t xml:space="preserve">0.035165</w:t>
            </w:r>
          </w:p>
        </w:tc>
        <w:tc>
          <w:tcPr>
            <w:tcW w:type="dxa" w:w="2579"/>
            <w:vAlign w:val="center"/>
          </w:tcPr>
          <w:p>
            <w:pPr>
              <w:pStyle w:val="Compact"/>
              <w:keepNext w:val="0"/>
              <w:keepLines/>
              <w:spacing w:after="40" w:before="40" w:line="252" w:lineRule="auto"/>
              <w:jc w:val="left"/>
            </w:pPr>
            <w:r>
              <w:rPr>
                <w:b w:val="0"/>
                <w:sz w:val="20"/>
              </w:rPr>
              <w:t xml:space="preserve">Pass</w:t>
            </w:r>
          </w:p>
        </w:tc>
      </w:tr>
      <w:tr>
        <w:trPr>
          <w:cantSplit/>
        </w:trPr>
        <w:tc>
          <w:tcPr>
            <w:tcW w:type="dxa" w:w="3152"/>
            <w:vAlign w:val="center"/>
          </w:tcPr>
          <w:p>
            <w:pPr>
              <w:pStyle w:val="Compact"/>
              <w:keepNext w:val="0"/>
              <w:keepLines/>
              <w:spacing w:after="40" w:before="40" w:line="252" w:lineRule="auto"/>
              <w:jc w:val="left"/>
            </w:pPr>
            <w:r>
              <w:rPr>
                <w:b w:val="0"/>
                <w:sz w:val="20"/>
              </w:rPr>
              <w:t xml:space="preserve">Single lognormal</w:t>
            </w:r>
          </w:p>
        </w:tc>
        <w:tc>
          <w:tcPr>
            <w:tcW w:type="dxa" w:w="3152"/>
            <w:vAlign w:val="center"/>
          </w:tcPr>
          <w:p>
            <w:pPr>
              <w:pStyle w:val="Compact"/>
              <w:keepNext w:val="0"/>
              <w:keepLines/>
              <w:spacing w:after="40" w:before="40" w:line="252" w:lineRule="auto"/>
              <w:jc w:val="right"/>
            </w:pPr>
            <w:r>
              <w:rPr>
                <w:b w:val="0"/>
                <w:sz w:val="20"/>
              </w:rPr>
              <w:t xml:space="preserve">80 bins</w:t>
            </w:r>
          </w:p>
        </w:tc>
        <w:tc>
          <w:tcPr>
            <w:tcW w:type="dxa" w:w="2866"/>
            <w:vAlign w:val="center"/>
          </w:tcPr>
          <w:p>
            <w:pPr>
              <w:pStyle w:val="Compact"/>
              <w:keepNext w:val="0"/>
              <w:keepLines/>
              <w:spacing w:after="40" w:before="40" w:line="252" w:lineRule="auto"/>
              <w:jc w:val="right"/>
            </w:pPr>
            <w:r>
              <w:rPr>
                <w:b w:val="0"/>
                <w:sz w:val="20"/>
              </w:rPr>
              <w:t xml:space="preserve">0.119451</w:t>
            </w:r>
          </w:p>
        </w:tc>
        <w:tc>
          <w:tcPr>
            <w:tcW w:type="dxa" w:w="2579"/>
            <w:vAlign w:val="center"/>
          </w:tcPr>
          <w:p>
            <w:pPr>
              <w:pStyle w:val="Compact"/>
              <w:keepNext w:val="0"/>
              <w:keepLines/>
              <w:spacing w:after="40" w:before="40" w:line="252" w:lineRule="auto"/>
              <w:jc w:val="right"/>
            </w:pPr>
            <w:r>
              <w:rPr>
                <w:b w:val="0"/>
                <w:sz w:val="20"/>
              </w:rPr>
              <w:t xml:space="preserve">0.048880</w:t>
            </w:r>
          </w:p>
        </w:tc>
        <w:tc>
          <w:tcPr>
            <w:tcW w:type="dxa" w:w="2579"/>
            <w:vAlign w:val="center"/>
          </w:tcPr>
          <w:p>
            <w:pPr>
              <w:pStyle w:val="Compact"/>
              <w:keepNext w:val="0"/>
              <w:keepLines/>
              <w:spacing w:after="40" w:before="40" w:line="252" w:lineRule="auto"/>
              <w:jc w:val="left"/>
            </w:pPr>
            <w:r>
              <w:rPr>
                <w:b w:val="0"/>
                <w:sz w:val="20"/>
              </w:rPr>
              <w:t xml:space="preserve">Pass</w:t>
            </w:r>
          </w:p>
        </w:tc>
      </w:tr>
      <w:tr>
        <w:trPr>
          <w:cantSplit/>
        </w:trPr>
        <w:tc>
          <w:tcPr>
            <w:tcW w:type="dxa" w:w="3152"/>
            <w:vAlign w:val="center"/>
          </w:tcPr>
          <w:p>
            <w:pPr>
              <w:pStyle w:val="Compact"/>
              <w:keepNext w:val="0"/>
              <w:keepLines/>
              <w:spacing w:after="40" w:before="40" w:line="252" w:lineRule="auto"/>
              <w:jc w:val="left"/>
            </w:pPr>
            <w:r>
              <w:rPr>
                <w:b w:val="0"/>
                <w:sz w:val="20"/>
              </w:rPr>
              <w:t xml:space="preserve">Single lognormal</w:t>
            </w:r>
          </w:p>
        </w:tc>
        <w:tc>
          <w:tcPr>
            <w:tcW w:type="dxa" w:w="3152"/>
            <w:vAlign w:val="center"/>
          </w:tcPr>
          <w:p>
            <w:pPr>
              <w:pStyle w:val="Compact"/>
              <w:keepNext w:val="0"/>
              <w:keepLines/>
              <w:spacing w:after="40" w:before="40" w:line="252" w:lineRule="auto"/>
              <w:jc w:val="right"/>
            </w:pPr>
            <w:r>
              <w:rPr>
                <w:b w:val="0"/>
                <w:sz w:val="20"/>
              </w:rPr>
              <w:t xml:space="preserve">160 bins</w:t>
            </w:r>
          </w:p>
        </w:tc>
        <w:tc>
          <w:tcPr>
            <w:tcW w:type="dxa" w:w="2866"/>
            <w:vAlign w:val="center"/>
          </w:tcPr>
          <w:p>
            <w:pPr>
              <w:pStyle w:val="Compact"/>
              <w:keepNext w:val="0"/>
              <w:keepLines/>
              <w:spacing w:after="40" w:before="40" w:line="252" w:lineRule="auto"/>
              <w:jc w:val="right"/>
            </w:pPr>
            <w:r>
              <w:rPr>
                <w:b w:val="0"/>
                <w:sz w:val="20"/>
              </w:rPr>
              <w:t xml:space="preserve">0.119123</w:t>
            </w:r>
          </w:p>
        </w:tc>
        <w:tc>
          <w:tcPr>
            <w:tcW w:type="dxa" w:w="2579"/>
            <w:vAlign w:val="center"/>
          </w:tcPr>
          <w:p>
            <w:pPr>
              <w:pStyle w:val="Compact"/>
              <w:keepNext w:val="0"/>
              <w:keepLines/>
              <w:spacing w:after="40" w:before="40" w:line="252" w:lineRule="auto"/>
              <w:jc w:val="right"/>
            </w:pPr>
            <w:r>
              <w:rPr>
                <w:b w:val="0"/>
                <w:sz w:val="20"/>
              </w:rPr>
              <w:t xml:space="preserve">0.028548</w:t>
            </w:r>
          </w:p>
        </w:tc>
        <w:tc>
          <w:tcPr>
            <w:tcW w:type="dxa" w:w="2579"/>
            <w:vAlign w:val="center"/>
          </w:tcPr>
          <w:p>
            <w:pPr>
              <w:pStyle w:val="Compact"/>
              <w:keepNext w:val="0"/>
              <w:keepLines/>
              <w:spacing w:after="40" w:before="40" w:line="252" w:lineRule="auto"/>
              <w:jc w:val="left"/>
            </w:pPr>
            <w:r>
              <w:rPr>
                <w:b w:val="0"/>
                <w:sz w:val="20"/>
              </w:rPr>
              <w:t xml:space="preserve">Pass</w:t>
            </w:r>
          </w:p>
        </w:tc>
      </w:tr>
      <w:tr>
        <w:trPr>
          <w:cantSplit/>
        </w:trPr>
        <w:tc>
          <w:tcPr>
            <w:tcW w:type="dxa" w:w="3152"/>
            <w:vAlign w:val="center"/>
          </w:tcPr>
          <w:p>
            <w:pPr>
              <w:pStyle w:val="Compact"/>
              <w:keepNext w:val="0"/>
              <w:keepLines/>
              <w:spacing w:after="40" w:before="40" w:line="252" w:lineRule="auto"/>
              <w:jc w:val="left"/>
            </w:pPr>
            <w:r>
              <w:rPr>
                <w:b w:val="0"/>
                <w:sz w:val="20"/>
              </w:rPr>
              <w:t xml:space="preserve">Single lognormal</w:t>
            </w:r>
          </w:p>
        </w:tc>
        <w:tc>
          <w:tcPr>
            <w:tcW w:type="dxa" w:w="3152"/>
            <w:vAlign w:val="center"/>
          </w:tcPr>
          <w:p>
            <w:pPr>
              <w:pStyle w:val="Compact"/>
              <w:keepNext w:val="0"/>
              <w:keepLines/>
              <w:spacing w:after="40" w:before="40" w:line="252" w:lineRule="auto"/>
              <w:jc w:val="left"/>
            </w:pPr>
            <w:r>
              <w:rPr>
                <w:b w:val="0"/>
                <w:sz w:val="20"/>
              </w:rPr>
              <w:t xml:space="preserve">Smoothing / 10</w:t>
            </w:r>
          </w:p>
        </w:tc>
        <w:tc>
          <w:tcPr>
            <w:tcW w:type="dxa" w:w="2866"/>
            <w:vAlign w:val="center"/>
          </w:tcPr>
          <w:p>
            <w:pPr>
              <w:pStyle w:val="Compact"/>
              <w:keepNext w:val="0"/>
              <w:keepLines/>
              <w:spacing w:after="40" w:before="40" w:line="252" w:lineRule="auto"/>
              <w:jc w:val="right"/>
            </w:pPr>
            <w:r>
              <w:rPr>
                <w:b w:val="0"/>
                <w:sz w:val="20"/>
              </w:rPr>
              <w:t xml:space="preserve">0.123455</w:t>
            </w:r>
          </w:p>
        </w:tc>
        <w:tc>
          <w:tcPr>
            <w:tcW w:type="dxa" w:w="2579"/>
            <w:vAlign w:val="center"/>
          </w:tcPr>
          <w:p>
            <w:pPr>
              <w:pStyle w:val="Compact"/>
              <w:keepNext w:val="0"/>
              <w:keepLines/>
              <w:spacing w:after="40" w:before="40" w:line="252" w:lineRule="auto"/>
              <w:jc w:val="right"/>
            </w:pPr>
            <w:r>
              <w:rPr>
                <w:b w:val="0"/>
                <w:sz w:val="20"/>
              </w:rPr>
              <w:t xml:space="preserve">0.042368</w:t>
            </w:r>
          </w:p>
        </w:tc>
        <w:tc>
          <w:tcPr>
            <w:tcW w:type="dxa" w:w="2579"/>
            <w:vAlign w:val="center"/>
          </w:tcPr>
          <w:p>
            <w:pPr>
              <w:pStyle w:val="Compact"/>
              <w:keepNext w:val="0"/>
              <w:keepLines/>
              <w:spacing w:after="40" w:before="40" w:line="252" w:lineRule="auto"/>
              <w:jc w:val="left"/>
            </w:pPr>
            <w:r>
              <w:rPr>
                <w:b w:val="0"/>
                <w:sz w:val="20"/>
              </w:rPr>
              <w:t xml:space="preserve">Pass</w:t>
            </w:r>
          </w:p>
        </w:tc>
      </w:tr>
      <w:tr>
        <w:trPr>
          <w:cantSplit/>
        </w:trPr>
        <w:tc>
          <w:tcPr>
            <w:tcW w:type="dxa" w:w="3152"/>
            <w:vAlign w:val="center"/>
          </w:tcPr>
          <w:p>
            <w:pPr>
              <w:pStyle w:val="Compact"/>
              <w:keepNext w:val="0"/>
              <w:keepLines/>
              <w:spacing w:after="40" w:before="40" w:line="252" w:lineRule="auto"/>
              <w:jc w:val="left"/>
            </w:pPr>
            <w:r>
              <w:rPr>
                <w:b w:val="0"/>
                <w:sz w:val="20"/>
              </w:rPr>
              <w:t xml:space="preserve">Single lognormal</w:t>
            </w:r>
          </w:p>
        </w:tc>
        <w:tc>
          <w:tcPr>
            <w:tcW w:type="dxa" w:w="3152"/>
            <w:vAlign w:val="center"/>
          </w:tcPr>
          <w:p>
            <w:pPr>
              <w:pStyle w:val="Compact"/>
              <w:keepNext w:val="0"/>
              <w:keepLines/>
              <w:spacing w:after="40" w:before="40" w:line="252" w:lineRule="auto"/>
              <w:jc w:val="left"/>
            </w:pPr>
            <w:r>
              <w:rPr>
                <w:b w:val="0"/>
                <w:sz w:val="20"/>
              </w:rPr>
              <w:t xml:space="preserve">Smoothing x 10</w:t>
            </w:r>
          </w:p>
        </w:tc>
        <w:tc>
          <w:tcPr>
            <w:tcW w:type="dxa" w:w="2866"/>
            <w:vAlign w:val="center"/>
          </w:tcPr>
          <w:p>
            <w:pPr>
              <w:pStyle w:val="Compact"/>
              <w:keepNext w:val="0"/>
              <w:keepLines/>
              <w:spacing w:after="40" w:before="40" w:line="252" w:lineRule="auto"/>
              <w:jc w:val="right"/>
            </w:pPr>
            <w:r>
              <w:rPr>
                <w:b w:val="0"/>
                <w:sz w:val="20"/>
              </w:rPr>
              <w:t xml:space="preserve">0.204097</w:t>
            </w:r>
          </w:p>
        </w:tc>
        <w:tc>
          <w:tcPr>
            <w:tcW w:type="dxa" w:w="2579"/>
            <w:vAlign w:val="center"/>
          </w:tcPr>
          <w:p>
            <w:pPr>
              <w:pStyle w:val="Compact"/>
              <w:keepNext w:val="0"/>
              <w:keepLines/>
              <w:spacing w:after="40" w:before="40" w:line="252" w:lineRule="auto"/>
              <w:jc w:val="right"/>
            </w:pPr>
            <w:r>
              <w:rPr>
                <w:b w:val="0"/>
                <w:sz w:val="20"/>
              </w:rPr>
              <w:t xml:space="preserve">0.034196</w:t>
            </w:r>
          </w:p>
        </w:tc>
        <w:tc>
          <w:tcPr>
            <w:tcW w:type="dxa" w:w="2579"/>
            <w:vAlign w:val="center"/>
          </w:tcPr>
          <w:p>
            <w:pPr>
              <w:pStyle w:val="Compact"/>
              <w:keepNext w:val="0"/>
              <w:keepLines/>
              <w:spacing w:after="40" w:before="40" w:line="252" w:lineRule="auto"/>
              <w:jc w:val="left"/>
            </w:pPr>
            <w:r>
              <w:rPr>
                <w:b w:val="0"/>
                <w:sz w:val="20"/>
              </w:rPr>
              <w:t xml:space="preserve">Pass</w:t>
            </w:r>
          </w:p>
        </w:tc>
      </w:tr>
      <w:tr>
        <w:trPr>
          <w:cantSplit/>
        </w:trPr>
        <w:tc>
          <w:tcPr>
            <w:tcW w:type="dxa" w:w="3152"/>
            <w:vAlign w:val="center"/>
          </w:tcPr>
          <w:p>
            <w:pPr>
              <w:pStyle w:val="Compact"/>
              <w:keepNext w:val="0"/>
              <w:keepLines/>
              <w:spacing w:after="40" w:before="40" w:line="252" w:lineRule="auto"/>
              <w:jc w:val="left"/>
            </w:pPr>
            <w:r>
              <w:rPr>
                <w:b w:val="0"/>
                <w:sz w:val="20"/>
              </w:rPr>
              <w:t xml:space="preserve">Single lognormal</w:t>
            </w:r>
          </w:p>
        </w:tc>
        <w:tc>
          <w:tcPr>
            <w:tcW w:type="dxa" w:w="3152"/>
            <w:vAlign w:val="center"/>
          </w:tcPr>
          <w:p>
            <w:pPr>
              <w:pStyle w:val="Compact"/>
              <w:keepNext w:val="0"/>
              <w:keepLines/>
              <w:spacing w:after="40" w:before="40" w:line="252" w:lineRule="auto"/>
              <w:jc w:val="left"/>
            </w:pPr>
            <w:r>
              <w:rPr>
                <w:b w:val="0"/>
                <w:sz w:val="20"/>
              </w:rPr>
              <w:t xml:space="preserve">Narrow support</w:t>
            </w:r>
          </w:p>
        </w:tc>
        <w:tc>
          <w:tcPr>
            <w:tcW w:type="dxa" w:w="2866"/>
            <w:vAlign w:val="center"/>
          </w:tcPr>
          <w:p>
            <w:pPr>
              <w:pStyle w:val="Compact"/>
              <w:keepNext w:val="0"/>
              <w:keepLines/>
              <w:spacing w:after="40" w:before="40" w:line="252" w:lineRule="auto"/>
              <w:jc w:val="right"/>
            </w:pPr>
            <w:r>
              <w:rPr>
                <w:b w:val="0"/>
                <w:sz w:val="20"/>
              </w:rPr>
              <w:t xml:space="preserve">0.119134</w:t>
            </w:r>
          </w:p>
        </w:tc>
        <w:tc>
          <w:tcPr>
            <w:tcW w:type="dxa" w:w="2579"/>
            <w:vAlign w:val="center"/>
          </w:tcPr>
          <w:p>
            <w:pPr>
              <w:pStyle w:val="Compact"/>
              <w:keepNext w:val="0"/>
              <w:keepLines/>
              <w:spacing w:after="40" w:before="40" w:line="252" w:lineRule="auto"/>
              <w:jc w:val="right"/>
            </w:pPr>
            <w:r>
              <w:rPr>
                <w:b w:val="0"/>
                <w:sz w:val="20"/>
              </w:rPr>
              <w:t xml:space="preserve">0.035164</w:t>
            </w:r>
          </w:p>
        </w:tc>
        <w:tc>
          <w:tcPr>
            <w:tcW w:type="dxa" w:w="2579"/>
            <w:vAlign w:val="center"/>
          </w:tcPr>
          <w:p>
            <w:pPr>
              <w:pStyle w:val="Compact"/>
              <w:keepNext w:val="0"/>
              <w:keepLines/>
              <w:spacing w:after="40" w:before="40" w:line="252" w:lineRule="auto"/>
              <w:jc w:val="left"/>
            </w:pPr>
            <w:r>
              <w:rPr>
                <w:b w:val="0"/>
                <w:sz w:val="20"/>
              </w:rPr>
              <w:t xml:space="preserve">Pass</w:t>
            </w:r>
          </w:p>
        </w:tc>
      </w:tr>
      <w:tr>
        <w:trPr>
          <w:cantSplit/>
        </w:trPr>
        <w:tc>
          <w:tcPr>
            <w:tcW w:type="dxa" w:w="3152"/>
            <w:vAlign w:val="center"/>
          </w:tcPr>
          <w:p>
            <w:pPr>
              <w:pStyle w:val="Compact"/>
              <w:keepNext w:val="0"/>
              <w:keepLines/>
              <w:spacing w:after="40" w:before="40" w:line="252" w:lineRule="auto"/>
              <w:jc w:val="left"/>
            </w:pPr>
            <w:r>
              <w:rPr>
                <w:b w:val="0"/>
                <w:sz w:val="20"/>
              </w:rPr>
              <w:t xml:space="preserve">Single lognormal</w:t>
            </w:r>
          </w:p>
        </w:tc>
        <w:tc>
          <w:tcPr>
            <w:tcW w:type="dxa" w:w="3152"/>
            <w:vAlign w:val="center"/>
          </w:tcPr>
          <w:p>
            <w:pPr>
              <w:pStyle w:val="Compact"/>
              <w:keepNext w:val="0"/>
              <w:keepLines/>
              <w:spacing w:after="40" w:before="40" w:line="252" w:lineRule="auto"/>
              <w:jc w:val="left"/>
            </w:pPr>
            <w:r>
              <w:rPr>
                <w:b w:val="0"/>
                <w:sz w:val="20"/>
              </w:rPr>
              <w:t xml:space="preserve">Wide support</w:t>
            </w:r>
          </w:p>
        </w:tc>
        <w:tc>
          <w:tcPr>
            <w:tcW w:type="dxa" w:w="2866"/>
            <w:vAlign w:val="center"/>
          </w:tcPr>
          <w:p>
            <w:pPr>
              <w:pStyle w:val="Compact"/>
              <w:keepNext w:val="0"/>
              <w:keepLines/>
              <w:spacing w:after="40" w:before="40" w:line="252" w:lineRule="auto"/>
              <w:jc w:val="right"/>
            </w:pPr>
            <w:r>
              <w:rPr>
                <w:b w:val="0"/>
                <w:sz w:val="20"/>
              </w:rPr>
              <w:t xml:space="preserve">0.119154</w:t>
            </w:r>
          </w:p>
        </w:tc>
        <w:tc>
          <w:tcPr>
            <w:tcW w:type="dxa" w:w="2579"/>
            <w:vAlign w:val="center"/>
          </w:tcPr>
          <w:p>
            <w:pPr>
              <w:pStyle w:val="Compact"/>
              <w:keepNext w:val="0"/>
              <w:keepLines/>
              <w:spacing w:after="40" w:before="40" w:line="252" w:lineRule="auto"/>
              <w:jc w:val="right"/>
            </w:pPr>
            <w:r>
              <w:rPr>
                <w:b w:val="0"/>
                <w:sz w:val="20"/>
              </w:rPr>
              <w:t xml:space="preserve">0.035111</w:t>
            </w:r>
          </w:p>
        </w:tc>
        <w:tc>
          <w:tcPr>
            <w:tcW w:type="dxa" w:w="2579"/>
            <w:vAlign w:val="center"/>
          </w:tcPr>
          <w:p>
            <w:pPr>
              <w:pStyle w:val="Compact"/>
              <w:keepNext w:val="0"/>
              <w:keepLines/>
              <w:spacing w:after="40" w:before="40" w:line="252" w:lineRule="auto"/>
              <w:jc w:val="left"/>
            </w:pPr>
            <w:r>
              <w:rPr>
                <w:b w:val="0"/>
                <w:sz w:val="20"/>
              </w:rPr>
              <w:t xml:space="preserve">Pass</w:t>
            </w:r>
          </w:p>
        </w:tc>
      </w:tr>
      <w:tr>
        <w:trPr>
          <w:cantSplit/>
        </w:trPr>
        <w:tc>
          <w:tcPr>
            <w:tcW w:type="dxa" w:w="3152"/>
            <w:vAlign w:val="center"/>
          </w:tcPr>
          <w:p>
            <w:pPr>
              <w:pStyle w:val="Compact"/>
              <w:keepNext w:val="0"/>
              <w:keepLines/>
              <w:spacing w:after="40" w:before="40" w:line="252" w:lineRule="auto"/>
              <w:jc w:val="left"/>
            </w:pPr>
            <w:r>
              <w:rPr>
                <w:b w:val="0"/>
                <w:sz w:val="20"/>
              </w:rPr>
              <w:t xml:space="preserve">Two-lognormal mixture</w:t>
            </w:r>
          </w:p>
        </w:tc>
        <w:tc>
          <w:tcPr>
            <w:tcW w:type="dxa" w:w="3152"/>
            <w:vAlign w:val="center"/>
          </w:tcPr>
          <w:p>
            <w:pPr>
              <w:pStyle w:val="Compact"/>
              <w:keepNext w:val="0"/>
              <w:keepLines/>
              <w:spacing w:after="40" w:before="40" w:line="252" w:lineRule="auto"/>
              <w:jc w:val="left"/>
            </w:pPr>
            <w:r>
              <w:rPr>
                <w:b w:val="0"/>
                <w:sz w:val="20"/>
              </w:rPr>
              <w:t xml:space="preserve">Baseline</w:t>
            </w:r>
          </w:p>
        </w:tc>
        <w:tc>
          <w:tcPr>
            <w:tcW w:type="dxa" w:w="2866"/>
            <w:vAlign w:val="center"/>
          </w:tcPr>
          <w:p>
            <w:pPr>
              <w:pStyle w:val="Compact"/>
              <w:keepNext w:val="0"/>
              <w:keepLines/>
              <w:spacing w:after="40" w:before="40" w:line="252" w:lineRule="auto"/>
              <w:jc w:val="right"/>
            </w:pPr>
            <w:r>
              <w:rPr>
                <w:b w:val="0"/>
                <w:sz w:val="20"/>
              </w:rPr>
              <w:t xml:space="preserve">0.162515</w:t>
            </w:r>
          </w:p>
        </w:tc>
        <w:tc>
          <w:tcPr>
            <w:tcW w:type="dxa" w:w="2579"/>
            <w:vAlign w:val="center"/>
          </w:tcPr>
          <w:p>
            <w:pPr>
              <w:pStyle w:val="Compact"/>
              <w:keepNext w:val="0"/>
              <w:keepLines/>
              <w:spacing w:after="40" w:before="40" w:line="252" w:lineRule="auto"/>
              <w:jc w:val="right"/>
            </w:pPr>
            <w:r>
              <w:rPr>
                <w:b w:val="0"/>
                <w:sz w:val="20"/>
              </w:rPr>
              <w:t xml:space="preserve">0.053741</w:t>
            </w:r>
          </w:p>
        </w:tc>
        <w:tc>
          <w:tcPr>
            <w:tcW w:type="dxa" w:w="2579"/>
            <w:vAlign w:val="center"/>
          </w:tcPr>
          <w:p>
            <w:pPr>
              <w:pStyle w:val="Compact"/>
              <w:keepNext w:val="0"/>
              <w:keepLines/>
              <w:spacing w:after="40" w:before="40" w:line="252" w:lineRule="auto"/>
              <w:jc w:val="left"/>
            </w:pPr>
            <w:r>
              <w:rPr>
                <w:b w:val="0"/>
                <w:sz w:val="20"/>
              </w:rPr>
              <w:t xml:space="preserve">Pass</w:t>
            </w:r>
          </w:p>
        </w:tc>
      </w:tr>
      <w:tr>
        <w:trPr>
          <w:cantSplit/>
        </w:trPr>
        <w:tc>
          <w:tcPr>
            <w:tcW w:type="dxa" w:w="3152"/>
            <w:vAlign w:val="center"/>
          </w:tcPr>
          <w:p>
            <w:pPr>
              <w:pStyle w:val="Compact"/>
              <w:keepNext w:val="0"/>
              <w:keepLines/>
              <w:spacing w:after="40" w:before="40" w:line="252" w:lineRule="auto"/>
              <w:jc w:val="left"/>
            </w:pPr>
            <w:r>
              <w:rPr>
                <w:b w:val="0"/>
                <w:sz w:val="20"/>
              </w:rPr>
              <w:t xml:space="preserve">Two-lognormal mixture</w:t>
            </w:r>
          </w:p>
        </w:tc>
        <w:tc>
          <w:tcPr>
            <w:tcW w:type="dxa" w:w="3152"/>
            <w:vAlign w:val="center"/>
          </w:tcPr>
          <w:p>
            <w:pPr>
              <w:pStyle w:val="Compact"/>
              <w:keepNext w:val="0"/>
              <w:keepLines/>
              <w:spacing w:after="40" w:before="40" w:line="252" w:lineRule="auto"/>
              <w:jc w:val="right"/>
            </w:pPr>
            <w:r>
              <w:rPr>
                <w:b w:val="0"/>
                <w:sz w:val="20"/>
              </w:rPr>
              <w:t xml:space="preserve">80 bins</w:t>
            </w:r>
          </w:p>
        </w:tc>
        <w:tc>
          <w:tcPr>
            <w:tcW w:type="dxa" w:w="2866"/>
            <w:vAlign w:val="center"/>
          </w:tcPr>
          <w:p>
            <w:pPr>
              <w:pStyle w:val="Compact"/>
              <w:keepNext w:val="0"/>
              <w:keepLines/>
              <w:spacing w:after="40" w:before="40" w:line="252" w:lineRule="auto"/>
              <w:jc w:val="right"/>
            </w:pPr>
            <w:r>
              <w:rPr>
                <w:b w:val="0"/>
                <w:sz w:val="20"/>
              </w:rPr>
              <w:t xml:space="preserve">0.159930</w:t>
            </w:r>
          </w:p>
        </w:tc>
        <w:tc>
          <w:tcPr>
            <w:tcW w:type="dxa" w:w="2579"/>
            <w:vAlign w:val="center"/>
          </w:tcPr>
          <w:p>
            <w:pPr>
              <w:pStyle w:val="Compact"/>
              <w:keepNext w:val="0"/>
              <w:keepLines/>
              <w:spacing w:after="40" w:before="40" w:line="252" w:lineRule="auto"/>
              <w:jc w:val="right"/>
            </w:pPr>
            <w:r>
              <w:rPr>
                <w:b w:val="0"/>
                <w:sz w:val="20"/>
              </w:rPr>
              <w:t xml:space="preserve">0.069154</w:t>
            </w:r>
          </w:p>
        </w:tc>
        <w:tc>
          <w:tcPr>
            <w:tcW w:type="dxa" w:w="2579"/>
            <w:vAlign w:val="center"/>
          </w:tcPr>
          <w:p>
            <w:pPr>
              <w:pStyle w:val="Compact"/>
              <w:keepNext w:val="0"/>
              <w:keepLines/>
              <w:spacing w:after="40" w:before="40" w:line="252" w:lineRule="auto"/>
              <w:jc w:val="left"/>
            </w:pPr>
            <w:r>
              <w:rPr>
                <w:b w:val="0"/>
                <w:sz w:val="20"/>
              </w:rPr>
              <w:t xml:space="preserve">Pass</w:t>
            </w:r>
          </w:p>
        </w:tc>
      </w:tr>
      <w:tr>
        <w:trPr>
          <w:cantSplit/>
        </w:trPr>
        <w:tc>
          <w:tcPr>
            <w:tcW w:type="dxa" w:w="3152"/>
            <w:vAlign w:val="center"/>
          </w:tcPr>
          <w:p>
            <w:pPr>
              <w:pStyle w:val="Compact"/>
              <w:keepNext w:val="0"/>
              <w:keepLines/>
              <w:spacing w:after="40" w:before="40" w:line="252" w:lineRule="auto"/>
              <w:jc w:val="left"/>
            </w:pPr>
            <w:r>
              <w:rPr>
                <w:b w:val="0"/>
                <w:sz w:val="20"/>
              </w:rPr>
              <w:t xml:space="preserve">Two-lognormal mixture</w:t>
            </w:r>
          </w:p>
        </w:tc>
        <w:tc>
          <w:tcPr>
            <w:tcW w:type="dxa" w:w="3152"/>
            <w:vAlign w:val="center"/>
          </w:tcPr>
          <w:p>
            <w:pPr>
              <w:pStyle w:val="Compact"/>
              <w:keepNext w:val="0"/>
              <w:keepLines/>
              <w:spacing w:after="40" w:before="40" w:line="252" w:lineRule="auto"/>
              <w:jc w:val="right"/>
            </w:pPr>
            <w:r>
              <w:rPr>
                <w:b w:val="0"/>
                <w:sz w:val="20"/>
              </w:rPr>
              <w:t xml:space="preserve">160 bins</w:t>
            </w:r>
          </w:p>
        </w:tc>
        <w:tc>
          <w:tcPr>
            <w:tcW w:type="dxa" w:w="2866"/>
            <w:vAlign w:val="center"/>
          </w:tcPr>
          <w:p>
            <w:pPr>
              <w:pStyle w:val="Compact"/>
              <w:keepNext w:val="0"/>
              <w:keepLines/>
              <w:spacing w:after="40" w:before="40" w:line="252" w:lineRule="auto"/>
              <w:jc w:val="right"/>
            </w:pPr>
            <w:r>
              <w:rPr>
                <w:b w:val="0"/>
                <w:sz w:val="20"/>
              </w:rPr>
              <w:t xml:space="preserve">0.163632</w:t>
            </w:r>
          </w:p>
        </w:tc>
        <w:tc>
          <w:tcPr>
            <w:tcW w:type="dxa" w:w="2579"/>
            <w:vAlign w:val="center"/>
          </w:tcPr>
          <w:p>
            <w:pPr>
              <w:pStyle w:val="Compact"/>
              <w:keepNext w:val="0"/>
              <w:keepLines/>
              <w:spacing w:after="40" w:before="40" w:line="252" w:lineRule="auto"/>
              <w:jc w:val="right"/>
            </w:pPr>
            <w:r>
              <w:rPr>
                <w:b w:val="0"/>
                <w:sz w:val="20"/>
              </w:rPr>
              <w:t xml:space="preserve">0.046317</w:t>
            </w:r>
          </w:p>
        </w:tc>
        <w:tc>
          <w:tcPr>
            <w:tcW w:type="dxa" w:w="2579"/>
            <w:vAlign w:val="center"/>
          </w:tcPr>
          <w:p>
            <w:pPr>
              <w:pStyle w:val="Compact"/>
              <w:keepNext w:val="0"/>
              <w:keepLines/>
              <w:spacing w:after="40" w:before="40" w:line="252" w:lineRule="auto"/>
              <w:jc w:val="left"/>
            </w:pPr>
            <w:r>
              <w:rPr>
                <w:b w:val="0"/>
                <w:sz w:val="20"/>
              </w:rPr>
              <w:t xml:space="preserve">Pass</w:t>
            </w:r>
          </w:p>
        </w:tc>
      </w:tr>
      <w:tr>
        <w:trPr>
          <w:cantSplit/>
        </w:trPr>
        <w:tc>
          <w:tcPr>
            <w:tcW w:type="dxa" w:w="3152"/>
            <w:vAlign w:val="center"/>
          </w:tcPr>
          <w:p>
            <w:pPr>
              <w:pStyle w:val="Compact"/>
              <w:keepNext w:val="0"/>
              <w:keepLines/>
              <w:spacing w:after="40" w:before="40" w:line="252" w:lineRule="auto"/>
              <w:jc w:val="left"/>
            </w:pPr>
            <w:r>
              <w:rPr>
                <w:b w:val="0"/>
                <w:sz w:val="20"/>
              </w:rPr>
              <w:t xml:space="preserve">Two-lognormal mixture</w:t>
            </w:r>
          </w:p>
        </w:tc>
        <w:tc>
          <w:tcPr>
            <w:tcW w:type="dxa" w:w="3152"/>
            <w:vAlign w:val="center"/>
          </w:tcPr>
          <w:p>
            <w:pPr>
              <w:pStyle w:val="Compact"/>
              <w:keepNext w:val="0"/>
              <w:keepLines/>
              <w:spacing w:after="40" w:before="40" w:line="252" w:lineRule="auto"/>
              <w:jc w:val="left"/>
            </w:pPr>
            <w:r>
              <w:rPr>
                <w:b w:val="0"/>
                <w:sz w:val="20"/>
              </w:rPr>
              <w:t xml:space="preserve">Smoothing / 10</w:t>
            </w:r>
          </w:p>
        </w:tc>
        <w:tc>
          <w:tcPr>
            <w:tcW w:type="dxa" w:w="2866"/>
            <w:vAlign w:val="center"/>
          </w:tcPr>
          <w:p>
            <w:pPr>
              <w:pStyle w:val="Compact"/>
              <w:keepNext w:val="0"/>
              <w:keepLines/>
              <w:spacing w:after="40" w:before="40" w:line="252" w:lineRule="auto"/>
              <w:jc w:val="right"/>
            </w:pPr>
            <w:r>
              <w:rPr>
                <w:b w:val="0"/>
                <w:sz w:val="20"/>
              </w:rPr>
              <w:t xml:space="preserve">0.124574</w:t>
            </w:r>
          </w:p>
        </w:tc>
        <w:tc>
          <w:tcPr>
            <w:tcW w:type="dxa" w:w="2579"/>
            <w:vAlign w:val="center"/>
          </w:tcPr>
          <w:p>
            <w:pPr>
              <w:pStyle w:val="Compact"/>
              <w:keepNext w:val="0"/>
              <w:keepLines/>
              <w:spacing w:after="40" w:before="40" w:line="252" w:lineRule="auto"/>
              <w:jc w:val="right"/>
            </w:pPr>
            <w:r>
              <w:rPr>
                <w:b w:val="0"/>
                <w:sz w:val="20"/>
              </w:rPr>
              <w:t xml:space="preserve">0.064150</w:t>
            </w:r>
          </w:p>
        </w:tc>
        <w:tc>
          <w:tcPr>
            <w:tcW w:type="dxa" w:w="2579"/>
            <w:vAlign w:val="center"/>
          </w:tcPr>
          <w:p>
            <w:pPr>
              <w:pStyle w:val="Compact"/>
              <w:keepNext w:val="0"/>
              <w:keepLines/>
              <w:spacing w:after="40" w:before="40" w:line="252" w:lineRule="auto"/>
              <w:jc w:val="left"/>
            </w:pPr>
            <w:r>
              <w:rPr>
                <w:b w:val="0"/>
                <w:sz w:val="20"/>
              </w:rPr>
              <w:t xml:space="preserve">Pass</w:t>
            </w:r>
          </w:p>
        </w:tc>
      </w:tr>
      <w:tr>
        <w:trPr>
          <w:cantSplit/>
        </w:trPr>
        <w:tc>
          <w:tcPr>
            <w:tcW w:type="dxa" w:w="3152"/>
            <w:vAlign w:val="center"/>
          </w:tcPr>
          <w:p>
            <w:pPr>
              <w:pStyle w:val="Compact"/>
              <w:keepNext w:val="0"/>
              <w:keepLines/>
              <w:spacing w:after="40" w:before="40" w:line="252" w:lineRule="auto"/>
              <w:jc w:val="left"/>
            </w:pPr>
            <w:r>
              <w:rPr>
                <w:b w:val="0"/>
                <w:sz w:val="20"/>
              </w:rPr>
              <w:t xml:space="preserve">Two-lognormal mixture</w:t>
            </w:r>
          </w:p>
        </w:tc>
        <w:tc>
          <w:tcPr>
            <w:tcW w:type="dxa" w:w="3152"/>
            <w:vAlign w:val="center"/>
          </w:tcPr>
          <w:p>
            <w:pPr>
              <w:pStyle w:val="Compact"/>
              <w:keepNext w:val="0"/>
              <w:keepLines/>
              <w:spacing w:after="40" w:before="40" w:line="252" w:lineRule="auto"/>
              <w:jc w:val="left"/>
            </w:pPr>
            <w:r>
              <w:rPr>
                <w:b w:val="0"/>
                <w:sz w:val="20"/>
              </w:rPr>
              <w:t xml:space="preserve">Smoothing x 10</w:t>
            </w:r>
          </w:p>
        </w:tc>
        <w:tc>
          <w:tcPr>
            <w:tcW w:type="dxa" w:w="2866"/>
            <w:vAlign w:val="center"/>
          </w:tcPr>
          <w:p>
            <w:pPr>
              <w:pStyle w:val="Compact"/>
              <w:keepNext w:val="0"/>
              <w:keepLines/>
              <w:spacing w:after="40" w:before="40" w:line="252" w:lineRule="auto"/>
              <w:jc w:val="right"/>
            </w:pPr>
            <w:r>
              <w:rPr>
                <w:b w:val="0"/>
                <w:sz w:val="20"/>
              </w:rPr>
              <w:t xml:space="preserve">0.527565</w:t>
            </w:r>
          </w:p>
        </w:tc>
        <w:tc>
          <w:tcPr>
            <w:tcW w:type="dxa" w:w="2579"/>
            <w:vAlign w:val="center"/>
          </w:tcPr>
          <w:p>
            <w:pPr>
              <w:pStyle w:val="Compact"/>
              <w:keepNext w:val="0"/>
              <w:keepLines/>
              <w:spacing w:after="40" w:before="40" w:line="252" w:lineRule="auto"/>
              <w:jc w:val="right"/>
            </w:pPr>
            <w:r>
              <w:rPr>
                <w:b w:val="0"/>
                <w:sz w:val="20"/>
              </w:rPr>
              <w:t xml:space="preserve">0.061080</w:t>
            </w:r>
          </w:p>
        </w:tc>
        <w:tc>
          <w:tcPr>
            <w:tcW w:type="dxa" w:w="2579"/>
            <w:vAlign w:val="center"/>
          </w:tcPr>
          <w:p>
            <w:pPr>
              <w:pStyle w:val="Compact"/>
              <w:keepNext w:val="0"/>
              <w:keepLines/>
              <w:spacing w:after="40" w:before="40" w:line="252" w:lineRule="auto"/>
              <w:jc w:val="left"/>
            </w:pPr>
            <w:r>
              <w:rPr>
                <w:b w:val="0"/>
                <w:sz w:val="20"/>
              </w:rPr>
              <w:t xml:space="preserve">Pass</w:t>
            </w:r>
          </w:p>
        </w:tc>
      </w:tr>
      <w:tr>
        <w:trPr>
          <w:cantSplit/>
        </w:trPr>
        <w:tc>
          <w:tcPr>
            <w:tcW w:type="dxa" w:w="3152"/>
            <w:vAlign w:val="center"/>
          </w:tcPr>
          <w:p>
            <w:pPr>
              <w:pStyle w:val="Compact"/>
              <w:keepNext w:val="0"/>
              <w:keepLines/>
              <w:spacing w:after="40" w:before="40" w:line="252" w:lineRule="auto"/>
              <w:jc w:val="left"/>
            </w:pPr>
            <w:r>
              <w:rPr>
                <w:b w:val="0"/>
                <w:sz w:val="20"/>
              </w:rPr>
              <w:t xml:space="preserve">Two-lognormal mixture</w:t>
            </w:r>
          </w:p>
        </w:tc>
        <w:tc>
          <w:tcPr>
            <w:tcW w:type="dxa" w:w="3152"/>
            <w:vAlign w:val="center"/>
          </w:tcPr>
          <w:p>
            <w:pPr>
              <w:pStyle w:val="Compact"/>
              <w:keepNext w:val="0"/>
              <w:keepLines/>
              <w:spacing w:after="40" w:before="40" w:line="252" w:lineRule="auto"/>
              <w:jc w:val="left"/>
            </w:pPr>
            <w:r>
              <w:rPr>
                <w:b w:val="0"/>
                <w:sz w:val="20"/>
              </w:rPr>
              <w:t xml:space="preserve">Narrow support</w:t>
            </w:r>
          </w:p>
        </w:tc>
        <w:tc>
          <w:tcPr>
            <w:tcW w:type="dxa" w:w="2866"/>
            <w:vAlign w:val="center"/>
          </w:tcPr>
          <w:p>
            <w:pPr>
              <w:pStyle w:val="Compact"/>
              <w:keepNext w:val="0"/>
              <w:keepLines/>
              <w:spacing w:after="40" w:before="40" w:line="252" w:lineRule="auto"/>
              <w:jc w:val="right"/>
            </w:pPr>
            <w:r>
              <w:rPr>
                <w:b w:val="0"/>
                <w:sz w:val="20"/>
              </w:rPr>
              <w:t xml:space="preserve">0.218804</w:t>
            </w:r>
          </w:p>
        </w:tc>
        <w:tc>
          <w:tcPr>
            <w:tcW w:type="dxa" w:w="2579"/>
            <w:vAlign w:val="center"/>
          </w:tcPr>
          <w:p>
            <w:pPr>
              <w:pStyle w:val="Compact"/>
              <w:keepNext w:val="0"/>
              <w:keepLines/>
              <w:spacing w:after="40" w:before="40" w:line="252" w:lineRule="auto"/>
              <w:jc w:val="right"/>
            </w:pPr>
            <w:r>
              <w:rPr>
                <w:b w:val="0"/>
                <w:sz w:val="20"/>
              </w:rPr>
              <w:t xml:space="preserve">0.068692</w:t>
            </w:r>
          </w:p>
        </w:tc>
        <w:tc>
          <w:tcPr>
            <w:tcW w:type="dxa" w:w="2579"/>
            <w:vAlign w:val="center"/>
          </w:tcPr>
          <w:p>
            <w:pPr>
              <w:pStyle w:val="Compact"/>
              <w:keepNext w:val="0"/>
              <w:keepLines/>
              <w:spacing w:after="40" w:before="40" w:line="252" w:lineRule="auto"/>
              <w:jc w:val="left"/>
            </w:pPr>
            <w:r>
              <w:rPr>
                <w:b w:val="0"/>
                <w:sz w:val="20"/>
              </w:rPr>
              <w:t xml:space="preserve">Pass</w:t>
            </w:r>
          </w:p>
        </w:tc>
      </w:tr>
      <w:tr>
        <w:trPr>
          <w:cantSplit/>
        </w:trPr>
        <w:tc>
          <w:tcPr>
            <w:tcW w:type="dxa" w:w="3152"/>
            <w:vAlign w:val="center"/>
          </w:tcPr>
          <w:p>
            <w:pPr>
              <w:pStyle w:val="Compact"/>
              <w:keepNext/>
              <w:keepLines/>
              <w:spacing w:after="40" w:before="40" w:line="252" w:lineRule="auto"/>
              <w:jc w:val="left"/>
            </w:pPr>
            <w:r>
              <w:rPr>
                <w:b w:val="0"/>
                <w:sz w:val="20"/>
              </w:rPr>
              <w:t xml:space="preserve">Two-lognormal mixture</w:t>
            </w:r>
          </w:p>
        </w:tc>
        <w:tc>
          <w:tcPr>
            <w:tcW w:type="dxa" w:w="3152"/>
            <w:vAlign w:val="center"/>
          </w:tcPr>
          <w:p>
            <w:pPr>
              <w:pStyle w:val="Compact"/>
              <w:keepNext/>
              <w:keepLines/>
              <w:spacing w:after="40" w:before="40" w:line="252" w:lineRule="auto"/>
              <w:jc w:val="left"/>
            </w:pPr>
            <w:r>
              <w:rPr>
                <w:b w:val="0"/>
                <w:sz w:val="20"/>
              </w:rPr>
              <w:t xml:space="preserve">Wide support</w:t>
            </w:r>
          </w:p>
        </w:tc>
        <w:tc>
          <w:tcPr>
            <w:tcW w:type="dxa" w:w="2866"/>
            <w:vAlign w:val="center"/>
          </w:tcPr>
          <w:p>
            <w:pPr>
              <w:pStyle w:val="Compact"/>
              <w:keepNext/>
              <w:keepLines/>
              <w:spacing w:after="40" w:before="40" w:line="252" w:lineRule="auto"/>
              <w:jc w:val="right"/>
            </w:pPr>
            <w:r>
              <w:rPr>
                <w:b w:val="0"/>
                <w:sz w:val="20"/>
              </w:rPr>
              <w:t xml:space="preserve">0.162515</w:t>
            </w:r>
          </w:p>
        </w:tc>
        <w:tc>
          <w:tcPr>
            <w:tcW w:type="dxa" w:w="2579"/>
            <w:vAlign w:val="center"/>
          </w:tcPr>
          <w:p>
            <w:pPr>
              <w:pStyle w:val="Compact"/>
              <w:keepNext/>
              <w:keepLines/>
              <w:spacing w:after="40" w:before="40" w:line="252" w:lineRule="auto"/>
              <w:jc w:val="right"/>
            </w:pPr>
            <w:r>
              <w:rPr>
                <w:b w:val="0"/>
                <w:sz w:val="20"/>
              </w:rPr>
              <w:t xml:space="preserve">0.052483</w:t>
            </w:r>
          </w:p>
        </w:tc>
        <w:tc>
          <w:tcPr>
            <w:tcW w:type="dxa" w:w="2579"/>
            <w:vAlign w:val="center"/>
          </w:tcPr>
          <w:p>
            <w:pPr>
              <w:pStyle w:val="Compact"/>
              <w:keepNext/>
              <w:keepLines/>
              <w:spacing w:after="40" w:before="40" w:line="252" w:lineRule="auto"/>
              <w:jc w:val="left"/>
            </w:pPr>
            <w:r>
              <w:rPr>
                <w:b w:val="0"/>
                <w:sz w:val="20"/>
              </w:rPr>
              <w:t xml:space="preserve">Pass</w:t>
            </w:r>
          </w:p>
        </w:tc>
      </w:tr>
    </w:tbl>
    <w:p>
      <w:bookmarkStart w:id="580" w:name="table12"/>
      <w:pPr>
        <w:pStyle w:val="TableCaption"/>
      </w:pPr>
      <w:r>
        <w:t xml:space="preserve">Table 12. Recovery accuracy across all eight fitted horizons. Each calendar entry refers to the interval-level check at tolerance</w:t>
      </w:r>
      <w:r>
        <w:t xml:space="preserve"> </w:t>
      </w:r>
      <m:oMath>
        <m:sSup>
          <m:e>
            <m:r>
              <m:t>10</m:t>
            </m:r>
          </m:e>
          <m:sup>
            <m:r>
              <m:rPr>
                <m:sty m:val="p"/>
              </m:rPr>
              <m:t>−</m:t>
            </m:r>
            <m:r>
              <m:t>8</m:t>
            </m:r>
          </m:sup>
        </m:sSup>
      </m:oMath>
      <w:r>
        <w:t xml:space="preserve">. Density error includes benchmark probability outside the chosen support.</w:t>
      </w:r>
      <w:bookmarkEnd w:id="580"/>
    </w:p>
    <w:p>
      <w:pPr>
        <w:sectPr>
          <w:type w:val="nextPage"/>
          <w:pgSz w:w="16838" w:h="11906" w:orient="landscape"/>
          <w:pgMar w:top="1008" w:bottom="1008" w:left="1152" w:right="1152" w:header="432" w:footer="432" w:gutter="0"/>
          <w:pgNumType w:fmt="decimal"/>
        </w:sectPr>
        <w:spacing w:before="0" w:after="0" w:line="1" w:lineRule="exact"/>
      </w:pPr>
      <w:r>
        <w:rPr>
          <w:sz w:val="2"/>
        </w:rPr>
      </w:r>
    </w:p>
    <w:p>
      <w:pPr>
        <w:pStyle w:val="BodyText"/>
        <w:keepNext/>
        <w:spacing w:after="40"/>
        <w:jc w:val="center"/>
      </w:pPr>
      <w:r>
        <w:drawing>
          <wp:inline>
            <wp:extent cx="5334000" cy="3759200"/>
            <wp:effectExtent b="0" l="0" r="0" t="0"/>
            <wp:docPr descr="Density sensitivity across support, resolution and smoothing choices" title="" id="90" name="Picture"/>
            <a:graphic>
              <a:graphicData uri="http://schemas.openxmlformats.org/drawingml/2006/picture">
                <pic:pic>
                  <pic:nvPicPr>
                    <pic:cNvPr descr="/workspace/scratch/62b9274b9d7e/spx-density-research/figures/figure_15_density_sensitivity.png" id="91" name="Picture"/>
                    <pic:cNvPicPr>
                      <a:picLocks noChangeArrowheads="1" noChangeAspect="1"/>
                    </pic:cNvPicPr>
                  </pic:nvPicPr>
                  <pic:blipFill>
                    <a:blip r:embed="rId89"/>
                    <a:stretch>
                      <a:fillRect/>
                    </a:stretch>
                  </pic:blipFill>
                  <pic:spPr bwMode="auto">
                    <a:xfrm>
                      <a:off x="0" y="0"/>
                      <a:ext cx="5334000" cy="3759200"/>
                    </a:xfrm>
                    <a:prstGeom prst="rect">
                      <a:avLst/>
                    </a:prstGeom>
                    <a:noFill/>
                    <a:ln w="9525">
                      <a:noFill/>
                      <a:headEnd/>
                      <a:tailEnd/>
                    </a:ln>
                  </pic:spPr>
                </pic:pic>
              </a:graphicData>
            </a:graphic>
          </wp:inline>
        </w:drawing>
      </w:r>
    </w:p>
    <w:p>
      <w:bookmarkStart w:id="581" w:name="figure15"/>
      <w:pPr>
        <w:pStyle w:val="FigureCaption"/>
      </w:pPr>
      <w:r>
        <w:t xml:space="preserve">Figure 15. Known and baseline fitted densities at 365 days, with the pointwise range across all seven settings shaded. The upper row is the single-lognormal benchmark and the lower row is the two-lognormal mixture. Left panels show the central distribution; right panels enlarge the upper tail. Density is per index point. The shaded envelope is sampled for display and is not a probability density or a confidence band.</w:t>
      </w:r>
      <w:bookmarkEnd w:id="581"/>
    </w:p>
    <w:p>
      <w:pPr>
        <w:sectPr>
          <w:type w:val="nextPage"/>
          <w:pgSz w:w="16838" w:h="11906" w:orient="landscape"/>
          <w:pgMar w:top="1008" w:bottom="1008" w:left="1152" w:right="1152" w:header="432" w:footer="432" w:gutter="0"/>
          <w:pgNumType w:fmt="decimal"/>
        </w:sectPr>
        <w:spacing w:before="0" w:after="0" w:line="1" w:lineRule="exact"/>
      </w:pPr>
      <w:r>
        <w:rPr>
          <w:sz w:val="2"/>
        </w:rPr>
      </w:r>
    </w:p>
    <w:p>
      <w:pPr>
        <w:pStyle w:val="BodyText"/>
        <w:keepNext/>
        <w:spacing w:after="40"/>
        <w:jc w:val="center"/>
      </w:pPr>
      <w:r>
        <w:drawing>
          <wp:inline>
            <wp:extent cx="5334000" cy="2438400"/>
            <wp:effectExtent b="0" l="0" r="0" t="0"/>
            <wp:docPr descr="Price and full-density error across sensitivity settings" title="" id="93" name="Picture"/>
            <a:graphic>
              <a:graphicData uri="http://schemas.openxmlformats.org/drawingml/2006/picture">
                <pic:pic>
                  <pic:nvPicPr>
                    <pic:cNvPr descr="/workspace/scratch/62b9274b9d7e/spx-density-research/figures/figure_16_price_density_tradeoff.png" id="94" name="Picture"/>
                    <pic:cNvPicPr>
                      <a:picLocks noChangeArrowheads="1" noChangeAspect="1"/>
                    </pic:cNvPicPr>
                  </pic:nvPicPr>
                  <pic:blipFill>
                    <a:blip r:embed="rId92"/>
                    <a:stretch>
                      <a:fillRect/>
                    </a:stretch>
                  </pic:blipFill>
                  <pic:spPr bwMode="auto">
                    <a:xfrm>
                      <a:off x="0" y="0"/>
                      <a:ext cx="5334000" cy="2438400"/>
                    </a:xfrm>
                    <a:prstGeom prst="rect">
                      <a:avLst/>
                    </a:prstGeom>
                    <a:noFill/>
                    <a:ln w="9525">
                      <a:noFill/>
                      <a:headEnd/>
                      <a:tailEnd/>
                    </a:ln>
                  </pic:spPr>
                </pic:pic>
              </a:graphicData>
            </a:graphic>
          </wp:inline>
        </w:drawing>
      </w:r>
    </w:p>
    <w:p>
      <w:bookmarkStart w:id="582" w:name="figure16"/>
      <w:pPr>
        <w:pStyle w:val="FigureCaption"/>
      </w:pPr>
      <w:r>
        <w:t xml:space="preserve">Figure 16. Pooled withheld clean-price RMSE and mean full-domain density error across the seven settings. Each point summarises all eight horizons for one benchmark. RMSE is in index points; integrated density error is dimensionless. The two horizontal axes represent different measures and should not be compared numerically to one another.</w:t>
      </w:r>
      <w:bookmarkEnd w:id="582"/>
    </w:p>
    <w:p>
      <w:pPr>
        <w:sectPr>
          <w:type w:val="nextPage"/>
          <w:pgSz w:w="16838" w:h="11906" w:orient="landscape"/>
          <w:pgMar w:top="1008" w:bottom="1008" w:left="1152" w:right="1152" w:header="432" w:footer="432" w:gutter="0"/>
          <w:pgNumType w:fmt="decimal"/>
        </w:sectPr>
        <w:spacing w:before="0" w:after="0" w:line="1" w:lineRule="exact"/>
      </w:pPr>
      <w:r>
        <w:rPr>
          <w:sz w:val="2"/>
        </w:rPr>
      </w:r>
    </w:p>
    <w:p>
      <w:pPr>
        <w:pStyle w:val="BodyText"/>
      </w:pPr>
      <w:r>
        <w:t xml:space="preserve">For the single lognormal, moving from 80 to 160 bins changes withheld price RMSE only from 0.119451 to 0.119123 points, while density error changes from 0.048880 to 0.028548. Similar price agreement therefore conceals a noticeable difference in the recovered density. At one year, the known mixture probability omitted by the narrow support is 1.9339%, compared with 0.1273% for the wider support.</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107"/>
        <w:gridCol w:w="2107"/>
        <w:gridCol w:w="1915"/>
        <w:gridCol w:w="1724"/>
        <w:gridCol w:w="1724"/>
      </w:tblGrid>
      <w:tr>
        <w:trPr>
          <w:tblHeader w:val="true"/>
          <w:cantSplit/>
          <w:tblHeader/>
        </w:trPr>
        <w:tc>
          <w:tcPr>
            <w:tcW w:type="dxa" w:w="2107"/>
            <w:vAlign w:val="center"/>
            <w:shd w:fill="E9EEF3"/>
          </w:tcPr>
          <w:p>
            <w:pPr>
              <w:pStyle w:val="Compact"/>
              <w:keepNext/>
              <w:keepLines/>
              <w:spacing w:after="40" w:before="40" w:line="252" w:lineRule="auto"/>
              <w:jc w:val="left"/>
            </w:pPr>
            <w:r>
              <w:rPr>
                <w:b/>
                <w:sz w:val="21"/>
              </w:rPr>
              <w:t xml:space="preserve">Benchmark</w:t>
            </w:r>
          </w:p>
        </w:tc>
        <w:tc>
          <w:tcPr>
            <w:tcW w:type="dxa" w:w="2107"/>
            <w:vAlign w:val="center"/>
            <w:shd w:fill="E9EEF3"/>
          </w:tcPr>
          <w:p>
            <w:pPr>
              <w:pStyle w:val="Compact"/>
              <w:keepNext/>
              <w:keepLines/>
              <w:spacing w:after="40" w:before="40" w:line="252" w:lineRule="auto"/>
              <w:jc w:val="left"/>
            </w:pPr>
            <w:r>
              <w:rPr>
                <w:b/>
                <w:sz w:val="21"/>
              </w:rPr>
              <w:t xml:space="preserve">Quantity</w:t>
            </w:r>
          </w:p>
        </w:tc>
        <w:tc>
          <w:tcPr>
            <w:tcW w:type="dxa" w:w="1915"/>
            <w:vAlign w:val="center"/>
            <w:shd w:fill="E9EEF3"/>
          </w:tcPr>
          <w:p>
            <w:pPr>
              <w:pStyle w:val="Compact"/>
              <w:keepNext/>
              <w:keepLines/>
              <w:spacing w:after="40" w:before="40" w:line="252" w:lineRule="auto"/>
              <w:jc w:val="right"/>
            </w:pPr>
            <w:r>
              <w:rPr>
                <w:b/>
                <w:sz w:val="21"/>
              </w:rPr>
              <w:t xml:space="preserve">Known value</w:t>
            </w:r>
          </w:p>
        </w:tc>
        <w:tc>
          <w:tcPr>
            <w:tcW w:type="dxa" w:w="1724"/>
            <w:vAlign w:val="center"/>
            <w:shd w:fill="E9EEF3"/>
          </w:tcPr>
          <w:p>
            <w:pPr>
              <w:pStyle w:val="Compact"/>
              <w:keepNext/>
              <w:keepLines/>
              <w:spacing w:after="40" w:before="40" w:line="252" w:lineRule="auto"/>
              <w:jc w:val="right"/>
            </w:pPr>
            <w:r>
              <w:rPr>
                <w:b/>
                <w:sz w:val="21"/>
              </w:rPr>
              <w:t xml:space="preserve">Minimum fitted</w:t>
            </w:r>
          </w:p>
        </w:tc>
        <w:tc>
          <w:tcPr>
            <w:tcW w:type="dxa" w:w="1724"/>
            <w:vAlign w:val="center"/>
            <w:shd w:fill="E9EEF3"/>
          </w:tcPr>
          <w:p>
            <w:pPr>
              <w:pStyle w:val="Compact"/>
              <w:keepNext/>
              <w:keepLines/>
              <w:spacing w:after="40" w:before="40" w:line="252" w:lineRule="auto"/>
              <w:jc w:val="right"/>
            </w:pPr>
            <w:r>
              <w:rPr>
                <w:b/>
                <w:sz w:val="21"/>
              </w:rPr>
              <w:t xml:space="preserve">Maximum fitted</w:t>
            </w:r>
          </w:p>
        </w:tc>
      </w:tr>
      <w:tr>
        <w:trPr>
          <w:cantSplit/>
        </w:trPr>
        <w:tc>
          <w:tcPr>
            <w:tcW w:type="dxa" w:w="2107"/>
            <w:vAlign w:val="center"/>
          </w:tcPr>
          <w:p>
            <w:pPr>
              <w:pStyle w:val="Compact"/>
              <w:keepNext/>
              <w:keepLines/>
              <w:spacing w:after="40" w:before="40" w:line="252" w:lineRule="auto"/>
              <w:jc w:val="left"/>
            </w:pPr>
            <w:r>
              <w:rPr>
                <w:b w:val="0"/>
                <w:sz w:val="21"/>
              </w:rPr>
              <w:t xml:space="preserve">Single lognormal</w:t>
            </w:r>
          </w:p>
        </w:tc>
        <w:tc>
          <w:tcPr>
            <w:tcW w:type="dxa" w:w="2107"/>
            <w:vAlign w:val="center"/>
          </w:tcPr>
          <w:p>
            <w:pPr>
              <w:pStyle w:val="Compact"/>
              <w:keepNext/>
              <w:keepLines/>
              <w:spacing w:after="40" w:before="40" w:line="252" w:lineRule="auto"/>
              <w:jc w:val="left"/>
            </w:pPr>
            <w:r>
              <w:rPr>
                <w:b w:val="0"/>
                <w:sz w:val="21"/>
              </w:rPr>
              <w:t xml:space="preserve">P(S &lt; 0.8F), %</w:t>
            </w:r>
          </w:p>
        </w:tc>
        <w:tc>
          <w:tcPr>
            <w:tcW w:type="dxa" w:w="1915"/>
            <w:vAlign w:val="center"/>
          </w:tcPr>
          <w:p>
            <w:pPr>
              <w:pStyle w:val="Compact"/>
              <w:keepNext/>
              <w:keepLines/>
              <w:spacing w:after="40" w:before="40" w:line="252" w:lineRule="auto"/>
              <w:jc w:val="right"/>
            </w:pPr>
            <w:r>
              <w:rPr>
                <w:b w:val="0"/>
                <w:sz w:val="21"/>
              </w:rPr>
              <w:t xml:space="preserve">15.488190</w:t>
            </w:r>
          </w:p>
        </w:tc>
        <w:tc>
          <w:tcPr>
            <w:tcW w:type="dxa" w:w="1724"/>
            <w:vAlign w:val="center"/>
          </w:tcPr>
          <w:p>
            <w:pPr>
              <w:pStyle w:val="Compact"/>
              <w:keepNext/>
              <w:keepLines/>
              <w:spacing w:after="40" w:before="40" w:line="252" w:lineRule="auto"/>
              <w:jc w:val="right"/>
            </w:pPr>
            <w:r>
              <w:rPr>
                <w:b w:val="0"/>
                <w:sz w:val="21"/>
              </w:rPr>
              <w:t xml:space="preserve">15.479921</w:t>
            </w:r>
          </w:p>
        </w:tc>
        <w:tc>
          <w:tcPr>
            <w:tcW w:type="dxa" w:w="1724"/>
            <w:vAlign w:val="center"/>
          </w:tcPr>
          <w:p>
            <w:pPr>
              <w:pStyle w:val="Compact"/>
              <w:keepNext/>
              <w:keepLines/>
              <w:spacing w:after="40" w:before="40" w:line="252" w:lineRule="auto"/>
              <w:jc w:val="right"/>
            </w:pPr>
            <w:r>
              <w:rPr>
                <w:b w:val="0"/>
                <w:sz w:val="21"/>
              </w:rPr>
              <w:t xml:space="preserve">15.542850</w:t>
            </w:r>
          </w:p>
        </w:tc>
      </w:tr>
      <w:tr>
        <w:trPr>
          <w:cantSplit/>
        </w:trPr>
        <w:tc>
          <w:tcPr>
            <w:tcW w:type="dxa" w:w="2107"/>
            <w:vAlign w:val="center"/>
          </w:tcPr>
          <w:p>
            <w:pPr>
              <w:pStyle w:val="Compact"/>
              <w:keepNext/>
              <w:keepLines/>
              <w:spacing w:after="40" w:before="40" w:line="252" w:lineRule="auto"/>
              <w:jc w:val="left"/>
            </w:pPr>
            <w:r>
              <w:rPr>
                <w:b w:val="0"/>
                <w:sz w:val="21"/>
              </w:rPr>
              <w:t xml:space="preserve">Single lognormal</w:t>
            </w:r>
          </w:p>
        </w:tc>
        <w:tc>
          <w:tcPr>
            <w:tcW w:type="dxa" w:w="2107"/>
            <w:vAlign w:val="center"/>
          </w:tcPr>
          <w:p>
            <w:pPr>
              <w:pStyle w:val="Compact"/>
              <w:keepNext/>
              <w:keepLines/>
              <w:spacing w:after="40" w:before="40" w:line="252" w:lineRule="auto"/>
              <w:jc w:val="left"/>
            </w:pPr>
            <w:r>
              <w:rPr>
                <w:b w:val="0"/>
                <w:sz w:val="21"/>
              </w:rPr>
              <w:t xml:space="preserve">P(S &gt; 1.2F), %</w:t>
            </w:r>
          </w:p>
        </w:tc>
        <w:tc>
          <w:tcPr>
            <w:tcW w:type="dxa" w:w="1915"/>
            <w:vAlign w:val="center"/>
          </w:tcPr>
          <w:p>
            <w:pPr>
              <w:pStyle w:val="Compact"/>
              <w:keepNext/>
              <w:keepLines/>
              <w:spacing w:after="40" w:before="40" w:line="252" w:lineRule="auto"/>
              <w:jc w:val="right"/>
            </w:pPr>
            <w:r>
              <w:rPr>
                <w:b w:val="0"/>
                <w:sz w:val="21"/>
              </w:rPr>
              <w:t xml:space="preserve">15.586281</w:t>
            </w:r>
          </w:p>
        </w:tc>
        <w:tc>
          <w:tcPr>
            <w:tcW w:type="dxa" w:w="1724"/>
            <w:vAlign w:val="center"/>
          </w:tcPr>
          <w:p>
            <w:pPr>
              <w:pStyle w:val="Compact"/>
              <w:keepNext/>
              <w:keepLines/>
              <w:spacing w:after="40" w:before="40" w:line="252" w:lineRule="auto"/>
              <w:jc w:val="right"/>
            </w:pPr>
            <w:r>
              <w:rPr>
                <w:b w:val="0"/>
                <w:sz w:val="21"/>
              </w:rPr>
              <w:t xml:space="preserve">15.541113</w:t>
            </w:r>
          </w:p>
        </w:tc>
        <w:tc>
          <w:tcPr>
            <w:tcW w:type="dxa" w:w="1724"/>
            <w:vAlign w:val="center"/>
          </w:tcPr>
          <w:p>
            <w:pPr>
              <w:pStyle w:val="Compact"/>
              <w:keepNext/>
              <w:keepLines/>
              <w:spacing w:after="40" w:before="40" w:line="252" w:lineRule="auto"/>
              <w:jc w:val="right"/>
            </w:pPr>
            <w:r>
              <w:rPr>
                <w:b w:val="0"/>
                <w:sz w:val="21"/>
              </w:rPr>
              <w:t xml:space="preserve">15.550680</w:t>
            </w:r>
          </w:p>
        </w:tc>
      </w:tr>
      <w:tr>
        <w:trPr>
          <w:cantSplit/>
        </w:trPr>
        <w:tc>
          <w:tcPr>
            <w:tcW w:type="dxa" w:w="2107"/>
            <w:vAlign w:val="center"/>
          </w:tcPr>
          <w:p>
            <w:pPr>
              <w:pStyle w:val="Compact"/>
              <w:keepNext/>
              <w:keepLines/>
              <w:spacing w:after="40" w:before="40" w:line="252" w:lineRule="auto"/>
              <w:jc w:val="left"/>
            </w:pPr>
            <w:r>
              <w:rPr>
                <w:b w:val="0"/>
                <w:sz w:val="21"/>
              </w:rPr>
              <w:t xml:space="preserve">Single lognormal</w:t>
            </w:r>
          </w:p>
        </w:tc>
        <w:tc>
          <w:tcPr>
            <w:tcW w:type="dxa" w:w="2107"/>
            <w:vAlign w:val="center"/>
          </w:tcPr>
          <w:p>
            <w:pPr>
              <w:pStyle w:val="Compact"/>
              <w:keepNext/>
              <w:keepLines/>
              <w:spacing w:after="40" w:before="40" w:line="252" w:lineRule="auto"/>
              <w:jc w:val="left"/>
            </w:pPr>
            <w:r>
              <w:rPr>
                <w:b w:val="0"/>
                <w:sz w:val="21"/>
              </w:rPr>
              <w:t xml:space="preserve">P(S &gt; 1.8F), %</w:t>
            </w:r>
          </w:p>
        </w:tc>
        <w:tc>
          <w:tcPr>
            <w:tcW w:type="dxa" w:w="1915"/>
            <w:vAlign w:val="center"/>
          </w:tcPr>
          <w:p>
            <w:pPr>
              <w:pStyle w:val="Compact"/>
              <w:keepNext/>
              <w:keepLines/>
              <w:spacing w:after="40" w:before="40" w:line="252" w:lineRule="auto"/>
              <w:jc w:val="right"/>
            </w:pPr>
            <w:r>
              <w:rPr>
                <w:b w:val="0"/>
                <w:sz w:val="21"/>
              </w:rPr>
              <w:t xml:space="preserve">0.118709</w:t>
            </w:r>
          </w:p>
        </w:tc>
        <w:tc>
          <w:tcPr>
            <w:tcW w:type="dxa" w:w="1724"/>
            <w:vAlign w:val="center"/>
          </w:tcPr>
          <w:p>
            <w:pPr>
              <w:pStyle w:val="Compact"/>
              <w:keepNext/>
              <w:keepLines/>
              <w:spacing w:after="40" w:before="40" w:line="252" w:lineRule="auto"/>
              <w:jc w:val="right"/>
            </w:pPr>
            <w:r>
              <w:rPr>
                <w:b w:val="0"/>
                <w:sz w:val="21"/>
              </w:rPr>
              <w:t xml:space="preserve">0.010066</w:t>
            </w:r>
          </w:p>
        </w:tc>
        <w:tc>
          <w:tcPr>
            <w:tcW w:type="dxa" w:w="1724"/>
            <w:vAlign w:val="center"/>
          </w:tcPr>
          <w:p>
            <w:pPr>
              <w:pStyle w:val="Compact"/>
              <w:keepNext/>
              <w:keepLines/>
              <w:spacing w:after="40" w:before="40" w:line="252" w:lineRule="auto"/>
              <w:jc w:val="right"/>
            </w:pPr>
            <w:r>
              <w:rPr>
                <w:b w:val="0"/>
                <w:sz w:val="21"/>
              </w:rPr>
              <w:t xml:space="preserve">0.058278</w:t>
            </w:r>
          </w:p>
        </w:tc>
      </w:tr>
      <w:tr>
        <w:trPr>
          <w:cantSplit/>
        </w:trPr>
        <w:tc>
          <w:tcPr>
            <w:tcW w:type="dxa" w:w="2107"/>
            <w:vAlign w:val="center"/>
          </w:tcPr>
          <w:p>
            <w:pPr>
              <w:pStyle w:val="Compact"/>
              <w:keepNext/>
              <w:keepLines/>
              <w:spacing w:after="40" w:before="40" w:line="252" w:lineRule="auto"/>
              <w:jc w:val="left"/>
            </w:pPr>
            <w:r>
              <w:rPr>
                <w:b w:val="0"/>
                <w:sz w:val="21"/>
              </w:rPr>
              <w:t xml:space="preserve">Single lognormal</w:t>
            </w:r>
          </w:p>
        </w:tc>
        <w:tc>
          <w:tcPr>
            <w:tcW w:type="dxa" w:w="2107"/>
            <w:vAlign w:val="center"/>
          </w:tcPr>
          <w:p>
            <w:pPr>
              <w:pStyle w:val="Compact"/>
              <w:keepNext/>
              <w:keepLines/>
              <w:spacing w:after="40" w:before="40" w:line="252" w:lineRule="auto"/>
              <w:jc w:val="left"/>
            </w:pPr>
            <w:r>
              <w:rPr>
                <w:b w:val="0"/>
                <w:sz w:val="21"/>
              </w:rPr>
              <w:t xml:space="preserve">Var(S/F)</w:t>
            </w:r>
          </w:p>
        </w:tc>
        <w:tc>
          <w:tcPr>
            <w:tcW w:type="dxa" w:w="1915"/>
            <w:vAlign w:val="center"/>
          </w:tcPr>
          <w:p>
            <w:pPr>
              <w:pStyle w:val="Compact"/>
              <w:keepNext/>
              <w:keepLines/>
              <w:spacing w:after="40" w:before="40" w:line="252" w:lineRule="auto"/>
              <w:jc w:val="right"/>
            </w:pPr>
            <w:r>
              <w:rPr>
                <w:b w:val="0"/>
                <w:sz w:val="21"/>
              </w:rPr>
              <w:t xml:space="preserve">0.040811</w:t>
            </w:r>
          </w:p>
        </w:tc>
        <w:tc>
          <w:tcPr>
            <w:tcW w:type="dxa" w:w="1724"/>
            <w:vAlign w:val="center"/>
          </w:tcPr>
          <w:p>
            <w:pPr>
              <w:pStyle w:val="Compact"/>
              <w:keepNext/>
              <w:keepLines/>
              <w:spacing w:after="40" w:before="40" w:line="252" w:lineRule="auto"/>
              <w:jc w:val="right"/>
            </w:pPr>
            <w:r>
              <w:rPr>
                <w:b w:val="0"/>
                <w:sz w:val="21"/>
              </w:rPr>
              <w:t xml:space="preserve">0.040748</w:t>
            </w:r>
          </w:p>
        </w:tc>
        <w:tc>
          <w:tcPr>
            <w:tcW w:type="dxa" w:w="1724"/>
            <w:vAlign w:val="center"/>
          </w:tcPr>
          <w:p>
            <w:pPr>
              <w:pStyle w:val="Compact"/>
              <w:keepNext/>
              <w:keepLines/>
              <w:spacing w:after="40" w:before="40" w:line="252" w:lineRule="auto"/>
              <w:jc w:val="right"/>
            </w:pPr>
            <w:r>
              <w:rPr>
                <w:b w:val="0"/>
                <w:sz w:val="21"/>
              </w:rPr>
              <w:t xml:space="preserve">0.040811</w:t>
            </w:r>
          </w:p>
        </w:tc>
      </w:tr>
      <w:tr>
        <w:trPr>
          <w:cantSplit/>
        </w:trPr>
        <w:tc>
          <w:tcPr>
            <w:tcW w:type="dxa" w:w="2107"/>
            <w:vAlign w:val="center"/>
          </w:tcPr>
          <w:p>
            <w:pPr>
              <w:pStyle w:val="Compact"/>
              <w:keepNext/>
              <w:keepLines/>
              <w:spacing w:after="40" w:before="40" w:line="252" w:lineRule="auto"/>
              <w:jc w:val="left"/>
            </w:pPr>
            <w:r>
              <w:rPr>
                <w:b w:val="0"/>
                <w:sz w:val="21"/>
              </w:rPr>
              <w:t xml:space="preserve">Two-lognormal mixture</w:t>
            </w:r>
          </w:p>
        </w:tc>
        <w:tc>
          <w:tcPr>
            <w:tcW w:type="dxa" w:w="2107"/>
            <w:vAlign w:val="center"/>
          </w:tcPr>
          <w:p>
            <w:pPr>
              <w:pStyle w:val="Compact"/>
              <w:keepNext/>
              <w:keepLines/>
              <w:spacing w:after="40" w:before="40" w:line="252" w:lineRule="auto"/>
              <w:jc w:val="left"/>
            </w:pPr>
            <w:r>
              <w:rPr>
                <w:b w:val="0"/>
                <w:sz w:val="21"/>
              </w:rPr>
              <w:t xml:space="preserve">P(S &lt; 0.8F), %</w:t>
            </w:r>
          </w:p>
        </w:tc>
        <w:tc>
          <w:tcPr>
            <w:tcW w:type="dxa" w:w="1915"/>
            <w:vAlign w:val="center"/>
          </w:tcPr>
          <w:p>
            <w:pPr>
              <w:pStyle w:val="Compact"/>
              <w:keepNext/>
              <w:keepLines/>
              <w:spacing w:after="40" w:before="40" w:line="252" w:lineRule="auto"/>
              <w:jc w:val="right"/>
            </w:pPr>
            <w:r>
              <w:rPr>
                <w:b w:val="0"/>
                <w:sz w:val="21"/>
              </w:rPr>
              <w:t xml:space="preserve">13.788289</w:t>
            </w:r>
          </w:p>
        </w:tc>
        <w:tc>
          <w:tcPr>
            <w:tcW w:type="dxa" w:w="1724"/>
            <w:vAlign w:val="center"/>
          </w:tcPr>
          <w:p>
            <w:pPr>
              <w:pStyle w:val="Compact"/>
              <w:keepNext/>
              <w:keepLines/>
              <w:spacing w:after="40" w:before="40" w:line="252" w:lineRule="auto"/>
              <w:jc w:val="right"/>
            </w:pPr>
            <w:r>
              <w:rPr>
                <w:b w:val="0"/>
                <w:sz w:val="21"/>
              </w:rPr>
              <w:t xml:space="preserve">13.782732</w:t>
            </w:r>
          </w:p>
        </w:tc>
        <w:tc>
          <w:tcPr>
            <w:tcW w:type="dxa" w:w="1724"/>
            <w:vAlign w:val="center"/>
          </w:tcPr>
          <w:p>
            <w:pPr>
              <w:pStyle w:val="Compact"/>
              <w:keepNext/>
              <w:keepLines/>
              <w:spacing w:after="40" w:before="40" w:line="252" w:lineRule="auto"/>
              <w:jc w:val="right"/>
            </w:pPr>
            <w:r>
              <w:rPr>
                <w:b w:val="0"/>
                <w:sz w:val="21"/>
              </w:rPr>
              <w:t xml:space="preserve">13.848692</w:t>
            </w:r>
          </w:p>
        </w:tc>
      </w:tr>
      <w:tr>
        <w:trPr>
          <w:cantSplit/>
        </w:trPr>
        <w:tc>
          <w:tcPr>
            <w:tcW w:type="dxa" w:w="2107"/>
            <w:vAlign w:val="center"/>
          </w:tcPr>
          <w:p>
            <w:pPr>
              <w:pStyle w:val="Compact"/>
              <w:keepNext/>
              <w:keepLines/>
              <w:spacing w:after="40" w:before="40" w:line="252" w:lineRule="auto"/>
              <w:jc w:val="left"/>
            </w:pPr>
            <w:r>
              <w:rPr>
                <w:b w:val="0"/>
                <w:sz w:val="21"/>
              </w:rPr>
              <w:t xml:space="preserve">Two-lognormal mixture</w:t>
            </w:r>
          </w:p>
        </w:tc>
        <w:tc>
          <w:tcPr>
            <w:tcW w:type="dxa" w:w="2107"/>
            <w:vAlign w:val="center"/>
          </w:tcPr>
          <w:p>
            <w:pPr>
              <w:pStyle w:val="Compact"/>
              <w:keepNext/>
              <w:keepLines/>
              <w:spacing w:after="40" w:before="40" w:line="252" w:lineRule="auto"/>
              <w:jc w:val="left"/>
            </w:pPr>
            <w:r>
              <w:rPr>
                <w:b w:val="0"/>
                <w:sz w:val="21"/>
              </w:rPr>
              <w:t xml:space="preserve">P(S &gt; 1.2F), %</w:t>
            </w:r>
          </w:p>
        </w:tc>
        <w:tc>
          <w:tcPr>
            <w:tcW w:type="dxa" w:w="1915"/>
            <w:vAlign w:val="center"/>
          </w:tcPr>
          <w:p>
            <w:pPr>
              <w:pStyle w:val="Compact"/>
              <w:keepNext/>
              <w:keepLines/>
              <w:spacing w:after="40" w:before="40" w:line="252" w:lineRule="auto"/>
              <w:jc w:val="right"/>
            </w:pPr>
            <w:r>
              <w:rPr>
                <w:b w:val="0"/>
                <w:sz w:val="21"/>
              </w:rPr>
              <w:t xml:space="preserve">12.773293</w:t>
            </w:r>
          </w:p>
        </w:tc>
        <w:tc>
          <w:tcPr>
            <w:tcW w:type="dxa" w:w="1724"/>
            <w:vAlign w:val="center"/>
          </w:tcPr>
          <w:p>
            <w:pPr>
              <w:pStyle w:val="Compact"/>
              <w:keepNext/>
              <w:keepLines/>
              <w:spacing w:after="40" w:before="40" w:line="252" w:lineRule="auto"/>
              <w:jc w:val="right"/>
            </w:pPr>
            <w:r>
              <w:rPr>
                <w:b w:val="0"/>
                <w:sz w:val="21"/>
              </w:rPr>
              <w:t xml:space="preserve">12.725272</w:t>
            </w:r>
          </w:p>
        </w:tc>
        <w:tc>
          <w:tcPr>
            <w:tcW w:type="dxa" w:w="1724"/>
            <w:vAlign w:val="center"/>
          </w:tcPr>
          <w:p>
            <w:pPr>
              <w:pStyle w:val="Compact"/>
              <w:keepNext/>
              <w:keepLines/>
              <w:spacing w:after="40" w:before="40" w:line="252" w:lineRule="auto"/>
              <w:jc w:val="right"/>
            </w:pPr>
            <w:r>
              <w:rPr>
                <w:b w:val="0"/>
                <w:sz w:val="21"/>
              </w:rPr>
              <w:t xml:space="preserve">12.737735</w:t>
            </w:r>
          </w:p>
        </w:tc>
      </w:tr>
      <w:tr>
        <w:trPr>
          <w:cantSplit/>
        </w:trPr>
        <w:tc>
          <w:tcPr>
            <w:tcW w:type="dxa" w:w="2107"/>
            <w:vAlign w:val="center"/>
          </w:tcPr>
          <w:p>
            <w:pPr>
              <w:pStyle w:val="Compact"/>
              <w:keepNext/>
              <w:keepLines/>
              <w:spacing w:after="40" w:before="40" w:line="252" w:lineRule="auto"/>
              <w:jc w:val="left"/>
            </w:pPr>
            <w:r>
              <w:rPr>
                <w:b w:val="0"/>
                <w:sz w:val="21"/>
              </w:rPr>
              <w:t xml:space="preserve">Two-lognormal mixture</w:t>
            </w:r>
          </w:p>
        </w:tc>
        <w:tc>
          <w:tcPr>
            <w:tcW w:type="dxa" w:w="2107"/>
            <w:vAlign w:val="center"/>
          </w:tcPr>
          <w:p>
            <w:pPr>
              <w:pStyle w:val="Compact"/>
              <w:keepNext/>
              <w:keepLines/>
              <w:spacing w:after="40" w:before="40" w:line="252" w:lineRule="auto"/>
              <w:jc w:val="left"/>
            </w:pPr>
            <w:r>
              <w:rPr>
                <w:b w:val="0"/>
                <w:sz w:val="21"/>
              </w:rPr>
              <w:t xml:space="preserve">P(S &gt; 1.8F), %</w:t>
            </w:r>
          </w:p>
        </w:tc>
        <w:tc>
          <w:tcPr>
            <w:tcW w:type="dxa" w:w="1915"/>
            <w:vAlign w:val="center"/>
          </w:tcPr>
          <w:p>
            <w:pPr>
              <w:pStyle w:val="Compact"/>
              <w:keepNext/>
              <w:keepLines/>
              <w:spacing w:after="40" w:before="40" w:line="252" w:lineRule="auto"/>
              <w:jc w:val="right"/>
            </w:pPr>
            <w:r>
              <w:rPr>
                <w:b w:val="0"/>
                <w:sz w:val="21"/>
              </w:rPr>
              <w:t xml:space="preserve">1.188550</w:t>
            </w:r>
          </w:p>
        </w:tc>
        <w:tc>
          <w:tcPr>
            <w:tcW w:type="dxa" w:w="1724"/>
            <w:vAlign w:val="center"/>
          </w:tcPr>
          <w:p>
            <w:pPr>
              <w:pStyle w:val="Compact"/>
              <w:keepNext/>
              <w:keepLines/>
              <w:spacing w:after="40" w:before="40" w:line="252" w:lineRule="auto"/>
              <w:jc w:val="right"/>
            </w:pPr>
            <w:r>
              <w:rPr>
                <w:b w:val="0"/>
                <w:sz w:val="21"/>
              </w:rPr>
              <w:t xml:space="preserve">1.745535</w:t>
            </w:r>
          </w:p>
        </w:tc>
        <w:tc>
          <w:tcPr>
            <w:tcW w:type="dxa" w:w="1724"/>
            <w:vAlign w:val="center"/>
          </w:tcPr>
          <w:p>
            <w:pPr>
              <w:pStyle w:val="Compact"/>
              <w:keepNext/>
              <w:keepLines/>
              <w:spacing w:after="40" w:before="40" w:line="252" w:lineRule="auto"/>
              <w:jc w:val="right"/>
            </w:pPr>
            <w:r>
              <w:rPr>
                <w:b w:val="0"/>
                <w:sz w:val="21"/>
              </w:rPr>
              <w:t xml:space="preserve">2.720848</w:t>
            </w:r>
          </w:p>
        </w:tc>
      </w:tr>
      <w:tr>
        <w:trPr>
          <w:cantSplit/>
        </w:trPr>
        <w:tc>
          <w:tcPr>
            <w:tcW w:type="dxa" w:w="2107"/>
            <w:vAlign w:val="center"/>
          </w:tcPr>
          <w:p>
            <w:pPr>
              <w:pStyle w:val="Compact"/>
              <w:keepNext/>
              <w:keepLines/>
              <w:spacing w:after="40" w:before="40" w:line="252" w:lineRule="auto"/>
              <w:jc w:val="left"/>
            </w:pPr>
            <w:r>
              <w:rPr>
                <w:b w:val="0"/>
                <w:sz w:val="21"/>
              </w:rPr>
              <w:t xml:space="preserve">Two-lognormal mixture</w:t>
            </w:r>
          </w:p>
        </w:tc>
        <w:tc>
          <w:tcPr>
            <w:tcW w:type="dxa" w:w="2107"/>
            <w:vAlign w:val="center"/>
          </w:tcPr>
          <w:p>
            <w:pPr>
              <w:pStyle w:val="Compact"/>
              <w:keepNext/>
              <w:keepLines/>
              <w:spacing w:after="40" w:before="40" w:line="252" w:lineRule="auto"/>
              <w:jc w:val="left"/>
            </w:pPr>
            <w:r>
              <w:rPr>
                <w:b w:val="0"/>
                <w:sz w:val="21"/>
              </w:rPr>
              <w:t xml:space="preserve">Var(S/F)</w:t>
            </w:r>
          </w:p>
        </w:tc>
        <w:tc>
          <w:tcPr>
            <w:tcW w:type="dxa" w:w="1915"/>
            <w:vAlign w:val="center"/>
          </w:tcPr>
          <w:p>
            <w:pPr>
              <w:pStyle w:val="Compact"/>
              <w:keepNext/>
              <w:keepLines/>
              <w:spacing w:after="40" w:before="40" w:line="252" w:lineRule="auto"/>
              <w:jc w:val="right"/>
            </w:pPr>
            <w:r>
              <w:rPr>
                <w:b w:val="0"/>
                <w:sz w:val="21"/>
              </w:rPr>
              <w:t xml:space="preserve">0.058223</w:t>
            </w:r>
          </w:p>
        </w:tc>
        <w:tc>
          <w:tcPr>
            <w:tcW w:type="dxa" w:w="1724"/>
            <w:vAlign w:val="center"/>
          </w:tcPr>
          <w:p>
            <w:pPr>
              <w:pStyle w:val="Compact"/>
              <w:keepNext/>
              <w:keepLines/>
              <w:spacing w:after="40" w:before="40" w:line="252" w:lineRule="auto"/>
              <w:jc w:val="right"/>
            </w:pPr>
            <w:r>
              <w:rPr>
                <w:b w:val="0"/>
                <w:sz w:val="21"/>
              </w:rPr>
              <w:t xml:space="preserve">0.054783</w:t>
            </w:r>
          </w:p>
        </w:tc>
        <w:tc>
          <w:tcPr>
            <w:tcW w:type="dxa" w:w="1724"/>
            <w:vAlign w:val="center"/>
          </w:tcPr>
          <w:p>
            <w:pPr>
              <w:pStyle w:val="Compact"/>
              <w:keepNext/>
              <w:keepLines/>
              <w:spacing w:after="40" w:before="40" w:line="252" w:lineRule="auto"/>
              <w:jc w:val="right"/>
            </w:pPr>
            <w:r>
              <w:rPr>
                <w:b w:val="0"/>
                <w:sz w:val="21"/>
              </w:rPr>
              <w:t xml:space="preserve">0.056258</w:t>
            </w:r>
          </w:p>
        </w:tc>
      </w:tr>
    </w:tbl>
    <w:p>
      <w:bookmarkStart w:id="583" w:name="table13"/>
      <w:pPr>
        <w:pStyle w:val="TableCaption"/>
      </w:pPr>
      <w:r>
        <w:t xml:space="preserve">Table 13. Known values and fitted ranges at 365 days across the seven declared settings. Probabilities are percentages; normalised variance is dimensionless. Ranges are sensitivity summaries, not confidence intervals.</w:t>
      </w:r>
      <w:bookmarkEnd w:id="583"/>
    </w:p>
    <w:p>
      <w:pPr>
        <w:sectPr>
          <w:type w:val="nextPage"/>
          <w:pgSz w:w="11906" w:h="16838" w:orient="portrait"/>
          <w:pgMar w:top="1008" w:bottom="1008" w:left="1152" w:right="1152" w:header="432" w:footer="432" w:gutter="0"/>
          <w:pgNumType w:fmt="decimal"/>
        </w:sectPr>
        <w:spacing w:before="0" w:after="0" w:line="1" w:lineRule="exact"/>
      </w:pPr>
      <w:r>
        <w:rPr>
          <w:sz w:val="2"/>
        </w:rPr>
      </w:r>
    </w:p>
    <w:p>
      <w:pPr>
        <w:pStyle w:val="BodyText"/>
        <w:keepNext/>
        <w:spacing w:after="40"/>
        <w:jc w:val="center"/>
      </w:pPr>
      <w:r>
        <w:drawing>
          <wp:inline>
            <wp:extent cx="5334000" cy="2540000"/>
            <wp:effectExtent b="0" l="0" r="0" t="0"/>
            <wp:docPr descr="Tail-probability errors under alternative fitting choices" title="" id="96" name="Picture"/>
            <a:graphic>
              <a:graphicData uri="http://schemas.openxmlformats.org/drawingml/2006/picture">
                <pic:pic>
                  <pic:nvPicPr>
                    <pic:cNvPr descr="/workspace/scratch/62b9274b9d7e/spx-density-research/figures/figure_17_tail_probability_sensitivity.png" id="97" name="Picture"/>
                    <pic:cNvPicPr>
                      <a:picLocks noChangeArrowheads="1" noChangeAspect="1"/>
                    </pic:cNvPicPr>
                  </pic:nvPicPr>
                  <pic:blipFill>
                    <a:blip r:embed="rId95"/>
                    <a:stretch>
                      <a:fillRect/>
                    </a:stretch>
                  </pic:blipFill>
                  <pic:spPr bwMode="auto">
                    <a:xfrm>
                      <a:off x="0" y="0"/>
                      <a:ext cx="5334000" cy="2540000"/>
                    </a:xfrm>
                    <a:prstGeom prst="rect">
                      <a:avLst/>
                    </a:prstGeom>
                    <a:noFill/>
                    <a:ln w="9525">
                      <a:noFill/>
                      <a:headEnd/>
                      <a:tailEnd/>
                    </a:ln>
                  </pic:spPr>
                </pic:pic>
              </a:graphicData>
            </a:graphic>
          </wp:inline>
        </w:drawing>
      </w:r>
    </w:p>
    <w:p>
      <w:bookmarkStart w:id="584" w:name="figure17"/>
      <w:pPr>
        <w:pStyle w:val="FigureCaption"/>
      </w:pPr>
      <w:r>
        <w:t xml:space="preserve">Figure 17. Fitted minus known probabilities at 365 days for the three events in Equation (24). Errors are measured in percentage points; the vertical zero line indicates agreement with the benchmark. Each panel contains the same seven modelling choices. A one-percentage-point error is an absolute probability difference of 0.01, not a 1% relative error.</w:t>
      </w:r>
      <w:bookmarkEnd w:id="584"/>
    </w:p>
    <w:p>
      <w:pPr>
        <w:sectPr>
          <w:type w:val="nextPage"/>
          <w:pgSz w:w="16838" w:h="11906" w:orient="landscape"/>
          <w:pgMar w:top="1008" w:bottom="1008" w:left="1152" w:right="1152" w:header="432" w:footer="432" w:gutter="0"/>
          <w:pgNumType w:fmt="decimal"/>
        </w:sectPr>
        <w:spacing w:before="0" w:after="0" w:line="1" w:lineRule="exact"/>
      </w:pPr>
      <w:r>
        <w:rPr>
          <w:sz w:val="2"/>
        </w:rPr>
      </w:r>
    </w:p>
    <w:p>
      <w:pPr>
        <w:pStyle w:val="BodyText"/>
      </w:pPr>
      <w:r>
        <w:t xml:space="preserve">The known probability above</w:t>
      </w:r>
      <w:r>
        <w:t xml:space="preserve"> </w:t>
      </w:r>
      <m:oMath>
        <m:r>
          <m:t>1.8</m:t>
        </m:r>
        <m:r>
          <m:t>F</m:t>
        </m:r>
      </m:oMath>
      <w:r>
        <w:t xml:space="preserve"> </w:t>
      </w:r>
      <w:r>
        <w:t xml:space="preserve">is 0.118709% for the single lognormal, while the seven fitted values range from 0.010066% to 0.058278%. For the mixture, the corresponding truth is 1.188550% and fitted values range from 1.745535% to 2.720848%. All fourteen joint fits pass their structural checks. The ranges are sensitivity summaries, not confidence intervals, and their common bias shows why apparent stability alone is insufficient.</w:t>
      </w:r>
    </w:p>
    <w:p>
      <w:pPr>
        <w:pStyle w:val="BodyText"/>
      </w:pPr>
      <w:r>
        <w:t xml:space="preserve">The broader benchmark also exposed a solver limitation. OSQP reached its strict iteration limit; increasing the allowance from 100,000 to 300,000 and trying objective scaling did not establish an acceptable solution. An algebraically equivalent formulation retained explicit price and roughness residual variables and used Clarabel. As Goulart and Chen describe [15], that solver supports conic programmes with quadratic objectives. Controlled cross-solver checks preceded its use in the sensitivity batch. The accepted fourteen fits retain their original tolerances and independently checked constraints.</w:t>
      </w:r>
    </w:p>
    <w:bookmarkEnd w:id="98"/>
    <w:bookmarkStart w:id="102" w:name="X1b56a9f50cc6fa126ed12adb4a212cc72acc04a"/>
    <w:p>
      <w:bookmarkStart w:id="585" w:name="h23"/>
      <w:pPr>
        <w:pStyle w:val="Heading2"/>
        <w:numPr>
          <w:ilvl w:val="1"/>
          <w:numId w:val="70"/>
        </w:numPr>
      </w:pPr>
      <w:bookmarkEnd w:id="585"/>
      <w:r>
        <w:t>Separating noise from missing strike information</w:t>
      </w:r>
    </w:p>
    <w:p>
      <w:pPr>
        <w:pStyle w:val="FirstParagraph"/>
      </w:pPr>
      <w:r>
        <w:t xml:space="preserve">As Morris, White and Crowther explain in</w:t>
      </w:r>
      <w:r>
        <w:t xml:space="preserve"> </w:t>
      </w:r>
      <w:r>
        <w:rPr>
          <w:iCs/>
          <w:i/>
        </w:rPr>
        <w:t xml:space="preserve">Using simulation studies to evaluate statistical methods</w:t>
      </w:r>
      <w:r>
        <w:t xml:space="preserve">, the experiment design and uncertainty of its reported summaries require explicit treatment [16]. A repeated study therefore compares four nested quote patterns: Original 81, Sparse 41 across the original span, Central 41 within a narrower span, and Extended 121 with twenty additional strikes at each side. Comparing the two 41-strike patterns isolates a coverage difference while holding the count fixed.</w:t>
      </w:r>
    </w:p>
    <w:p>
      <w:pPr>
        <w:sectPr>
          <w:type w:val="nextPage"/>
          <w:pgSz w:w="11906" w:h="16838" w:orient="portrait"/>
          <w:pgMar w:top="1008" w:bottom="1008" w:left="1152" w:right="1152" w:header="432" w:footer="432" w:gutter="0"/>
          <w:pgNumType w:fmt="decimal"/>
        </w:sectPr>
        <w:spacing w:before="0" w:after="0" w:line="1" w:lineRule="exact"/>
      </w:pPr>
      <w:r>
        <w:rPr>
          <w:sz w:val="2"/>
        </w:rPr>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047"/>
        <w:gridCol w:w="2047"/>
        <w:gridCol w:w="2047"/>
        <w:gridCol w:w="2047"/>
        <w:gridCol w:w="2047"/>
        <w:gridCol w:w="2047"/>
        <w:gridCol w:w="2047"/>
      </w:tblGrid>
      <w:tr>
        <w:trPr>
          <w:tblHeader w:val="true"/>
          <w:cantSplit/>
          <w:tblHeader/>
        </w:trPr>
        <w:tc>
          <w:tcPr>
            <w:tcW w:type="dxa" w:w="2047"/>
            <w:vAlign w:val="center"/>
            <w:shd w:fill="E9EEF3"/>
          </w:tcPr>
          <w:p>
            <w:pPr>
              <w:pStyle w:val="Compact"/>
              <w:keepNext/>
              <w:keepLines/>
              <w:spacing w:after="40" w:before="40" w:line="252" w:lineRule="auto"/>
              <w:jc w:val="left"/>
            </w:pPr>
            <w:r>
              <w:rPr>
                <w:b/>
                <w:sz w:val="20"/>
              </w:rPr>
              <w:t xml:space="preserve">Pattern</w:t>
            </w:r>
          </w:p>
        </w:tc>
        <w:tc>
          <w:tcPr>
            <w:tcW w:type="dxa" w:w="2047"/>
            <w:vAlign w:val="center"/>
            <w:shd w:fill="E9EEF3"/>
          </w:tcPr>
          <w:p>
            <w:pPr>
              <w:pStyle w:val="Compact"/>
              <w:keepNext/>
              <w:keepLines/>
              <w:spacing w:after="40" w:before="40" w:line="252" w:lineRule="auto"/>
              <w:jc w:val="right"/>
            </w:pPr>
            <w:r>
              <w:rPr>
                <w:b/>
                <w:sz w:val="20"/>
              </w:rPr>
              <w:t xml:space="preserve">Quotes per horizon</w:t>
            </w:r>
          </w:p>
        </w:tc>
        <w:tc>
          <w:tcPr>
            <w:tcW w:type="dxa" w:w="2047"/>
            <w:vAlign w:val="center"/>
            <w:shd w:fill="E9EEF3"/>
          </w:tcPr>
          <w:p>
            <w:pPr>
              <w:pStyle w:val="Compact"/>
              <w:keepNext/>
              <w:keepLines/>
              <w:spacing w:after="40" w:before="40" w:line="252" w:lineRule="auto"/>
              <w:jc w:val="right"/>
            </w:pPr>
            <w:r>
              <w:rPr>
                <w:b/>
                <w:sz w:val="20"/>
              </w:rPr>
              <w:t xml:space="preserve">Minimum K/F</w:t>
            </w:r>
          </w:p>
        </w:tc>
        <w:tc>
          <w:tcPr>
            <w:tcW w:type="dxa" w:w="2047"/>
            <w:vAlign w:val="center"/>
            <w:shd w:fill="E9EEF3"/>
          </w:tcPr>
          <w:p>
            <w:pPr>
              <w:pStyle w:val="Compact"/>
              <w:keepNext/>
              <w:keepLines/>
              <w:spacing w:after="40" w:before="40" w:line="252" w:lineRule="auto"/>
              <w:jc w:val="right"/>
            </w:pPr>
            <w:r>
              <w:rPr>
                <w:b/>
                <w:sz w:val="20"/>
              </w:rPr>
              <w:t xml:space="preserve">Maximum K/F</w:t>
            </w:r>
          </w:p>
        </w:tc>
        <w:tc>
          <w:tcPr>
            <w:tcW w:type="dxa" w:w="2047"/>
            <w:vAlign w:val="center"/>
            <w:shd w:fill="E9EEF3"/>
          </w:tcPr>
          <w:p>
            <w:pPr>
              <w:pStyle w:val="Compact"/>
              <w:keepNext/>
              <w:keepLines/>
              <w:spacing w:after="40" w:before="40" w:line="252" w:lineRule="auto"/>
              <w:jc w:val="left"/>
            </w:pPr>
            <w:r>
              <w:rPr>
                <w:b/>
                <w:sz w:val="20"/>
              </w:rPr>
              <w:t xml:space="preserve">0.8F inside?</w:t>
            </w:r>
          </w:p>
        </w:tc>
        <w:tc>
          <w:tcPr>
            <w:tcW w:type="dxa" w:w="2047"/>
            <w:vAlign w:val="center"/>
            <w:shd w:fill="E9EEF3"/>
          </w:tcPr>
          <w:p>
            <w:pPr>
              <w:pStyle w:val="Compact"/>
              <w:keepNext/>
              <w:keepLines/>
              <w:spacing w:after="40" w:before="40" w:line="252" w:lineRule="auto"/>
              <w:jc w:val="left"/>
            </w:pPr>
            <w:r>
              <w:rPr>
                <w:b/>
                <w:sz w:val="20"/>
              </w:rPr>
              <w:t xml:space="preserve">1.2F inside?</w:t>
            </w:r>
          </w:p>
        </w:tc>
        <w:tc>
          <w:tcPr>
            <w:tcW w:type="dxa" w:w="2047"/>
            <w:vAlign w:val="center"/>
            <w:shd w:fill="E9EEF3"/>
          </w:tcPr>
          <w:p>
            <w:pPr>
              <w:pStyle w:val="Compact"/>
              <w:keepNext/>
              <w:keepLines/>
              <w:spacing w:after="40" w:before="40" w:line="252" w:lineRule="auto"/>
              <w:jc w:val="left"/>
            </w:pPr>
            <w:r>
              <w:rPr>
                <w:b/>
                <w:sz w:val="20"/>
              </w:rPr>
              <w:t xml:space="preserve">1.8F inside?</w:t>
            </w:r>
          </w:p>
        </w:tc>
      </w:tr>
      <w:tr>
        <w:trPr>
          <w:cantSplit/>
        </w:trPr>
        <w:tc>
          <w:tcPr>
            <w:tcW w:type="dxa" w:w="2047"/>
            <w:vAlign w:val="center"/>
          </w:tcPr>
          <w:p>
            <w:pPr>
              <w:pStyle w:val="Compact"/>
              <w:keepNext/>
              <w:keepLines/>
              <w:spacing w:after="40" w:before="40" w:line="252" w:lineRule="auto"/>
              <w:jc w:val="left"/>
            </w:pPr>
            <w:r>
              <w:rPr>
                <w:b w:val="0"/>
                <w:sz w:val="20"/>
              </w:rPr>
              <w:t xml:space="preserve">Original 81</w:t>
            </w:r>
          </w:p>
        </w:tc>
        <w:tc>
          <w:tcPr>
            <w:tcW w:type="dxa" w:w="2047"/>
            <w:vAlign w:val="center"/>
          </w:tcPr>
          <w:p>
            <w:pPr>
              <w:pStyle w:val="Compact"/>
              <w:keepNext/>
              <w:keepLines/>
              <w:spacing w:after="40" w:before="40" w:line="252" w:lineRule="auto"/>
              <w:jc w:val="right"/>
            </w:pPr>
            <w:r>
              <w:rPr>
                <w:b w:val="0"/>
                <w:sz w:val="20"/>
              </w:rPr>
              <w:t xml:space="preserve">81</w:t>
            </w:r>
          </w:p>
        </w:tc>
        <w:tc>
          <w:tcPr>
            <w:tcW w:type="dxa" w:w="2047"/>
            <w:vAlign w:val="center"/>
          </w:tcPr>
          <w:p>
            <w:pPr>
              <w:pStyle w:val="Compact"/>
              <w:keepNext/>
              <w:keepLines/>
              <w:spacing w:after="40" w:before="40" w:line="252" w:lineRule="auto"/>
              <w:jc w:val="right"/>
            </w:pPr>
            <w:r>
              <w:rPr>
                <w:b w:val="0"/>
                <w:sz w:val="20"/>
              </w:rPr>
              <w:t xml:space="preserve">0.6065</w:t>
            </w:r>
          </w:p>
        </w:tc>
        <w:tc>
          <w:tcPr>
            <w:tcW w:type="dxa" w:w="2047"/>
            <w:vAlign w:val="center"/>
          </w:tcPr>
          <w:p>
            <w:pPr>
              <w:pStyle w:val="Compact"/>
              <w:keepNext/>
              <w:keepLines/>
              <w:spacing w:after="40" w:before="40" w:line="252" w:lineRule="auto"/>
              <w:jc w:val="right"/>
            </w:pPr>
            <w:r>
              <w:rPr>
                <w:b w:val="0"/>
                <w:sz w:val="20"/>
              </w:rPr>
              <w:t xml:space="preserve">1.6487</w:t>
            </w:r>
          </w:p>
        </w:tc>
        <w:tc>
          <w:tcPr>
            <w:tcW w:type="dxa" w:w="2047"/>
            <w:vAlign w:val="center"/>
          </w:tcPr>
          <w:p>
            <w:pPr>
              <w:pStyle w:val="Compact"/>
              <w:keepNext/>
              <w:keepLines/>
              <w:spacing w:after="40" w:before="40" w:line="252" w:lineRule="auto"/>
              <w:jc w:val="left"/>
            </w:pPr>
            <w:r>
              <w:rPr>
                <w:b w:val="0"/>
                <w:sz w:val="20"/>
              </w:rPr>
              <w:t xml:space="preserve">Yes</w:t>
            </w:r>
          </w:p>
        </w:tc>
        <w:tc>
          <w:tcPr>
            <w:tcW w:type="dxa" w:w="2047"/>
            <w:vAlign w:val="center"/>
          </w:tcPr>
          <w:p>
            <w:pPr>
              <w:pStyle w:val="Compact"/>
              <w:keepNext/>
              <w:keepLines/>
              <w:spacing w:after="40" w:before="40" w:line="252" w:lineRule="auto"/>
              <w:jc w:val="left"/>
            </w:pPr>
            <w:r>
              <w:rPr>
                <w:b w:val="0"/>
                <w:sz w:val="20"/>
              </w:rPr>
              <w:t xml:space="preserve">Yes</w:t>
            </w:r>
          </w:p>
        </w:tc>
        <w:tc>
          <w:tcPr>
            <w:tcW w:type="dxa" w:w="2047"/>
            <w:vAlign w:val="center"/>
          </w:tcPr>
          <w:p>
            <w:pPr>
              <w:pStyle w:val="Compact"/>
              <w:keepNext/>
              <w:keepLines/>
              <w:spacing w:after="40" w:before="40" w:line="252" w:lineRule="auto"/>
              <w:jc w:val="left"/>
            </w:pPr>
            <w:r>
              <w:rPr>
                <w:b w:val="0"/>
                <w:sz w:val="20"/>
              </w:rPr>
              <w:t xml:space="preserve">No</w:t>
            </w:r>
          </w:p>
        </w:tc>
      </w:tr>
      <w:tr>
        <w:trPr>
          <w:cantSplit/>
        </w:trPr>
        <w:tc>
          <w:tcPr>
            <w:tcW w:type="dxa" w:w="2047"/>
            <w:vAlign w:val="center"/>
          </w:tcPr>
          <w:p>
            <w:pPr>
              <w:pStyle w:val="Compact"/>
              <w:keepNext/>
              <w:keepLines/>
              <w:spacing w:after="40" w:before="40" w:line="252" w:lineRule="auto"/>
              <w:jc w:val="left"/>
            </w:pPr>
            <w:r>
              <w:rPr>
                <w:b w:val="0"/>
                <w:sz w:val="20"/>
              </w:rPr>
              <w:t xml:space="preserve">Sparse 41</w:t>
            </w:r>
          </w:p>
        </w:tc>
        <w:tc>
          <w:tcPr>
            <w:tcW w:type="dxa" w:w="2047"/>
            <w:vAlign w:val="center"/>
          </w:tcPr>
          <w:p>
            <w:pPr>
              <w:pStyle w:val="Compact"/>
              <w:keepNext/>
              <w:keepLines/>
              <w:spacing w:after="40" w:before="40" w:line="252" w:lineRule="auto"/>
              <w:jc w:val="right"/>
            </w:pPr>
            <w:r>
              <w:rPr>
                <w:b w:val="0"/>
                <w:sz w:val="20"/>
              </w:rPr>
              <w:t xml:space="preserve">41</w:t>
            </w:r>
          </w:p>
        </w:tc>
        <w:tc>
          <w:tcPr>
            <w:tcW w:type="dxa" w:w="2047"/>
            <w:vAlign w:val="center"/>
          </w:tcPr>
          <w:p>
            <w:pPr>
              <w:pStyle w:val="Compact"/>
              <w:keepNext/>
              <w:keepLines/>
              <w:spacing w:after="40" w:before="40" w:line="252" w:lineRule="auto"/>
              <w:jc w:val="right"/>
            </w:pPr>
            <w:r>
              <w:rPr>
                <w:b w:val="0"/>
                <w:sz w:val="20"/>
              </w:rPr>
              <w:t xml:space="preserve">0.6065</w:t>
            </w:r>
          </w:p>
        </w:tc>
        <w:tc>
          <w:tcPr>
            <w:tcW w:type="dxa" w:w="2047"/>
            <w:vAlign w:val="center"/>
          </w:tcPr>
          <w:p>
            <w:pPr>
              <w:pStyle w:val="Compact"/>
              <w:keepNext/>
              <w:keepLines/>
              <w:spacing w:after="40" w:before="40" w:line="252" w:lineRule="auto"/>
              <w:jc w:val="right"/>
            </w:pPr>
            <w:r>
              <w:rPr>
                <w:b w:val="0"/>
                <w:sz w:val="20"/>
              </w:rPr>
              <w:t xml:space="preserve">1.6487</w:t>
            </w:r>
          </w:p>
        </w:tc>
        <w:tc>
          <w:tcPr>
            <w:tcW w:type="dxa" w:w="2047"/>
            <w:vAlign w:val="center"/>
          </w:tcPr>
          <w:p>
            <w:pPr>
              <w:pStyle w:val="Compact"/>
              <w:keepNext/>
              <w:keepLines/>
              <w:spacing w:after="40" w:before="40" w:line="252" w:lineRule="auto"/>
              <w:jc w:val="left"/>
            </w:pPr>
            <w:r>
              <w:rPr>
                <w:b w:val="0"/>
                <w:sz w:val="20"/>
              </w:rPr>
              <w:t xml:space="preserve">Yes</w:t>
            </w:r>
          </w:p>
        </w:tc>
        <w:tc>
          <w:tcPr>
            <w:tcW w:type="dxa" w:w="2047"/>
            <w:vAlign w:val="center"/>
          </w:tcPr>
          <w:p>
            <w:pPr>
              <w:pStyle w:val="Compact"/>
              <w:keepNext/>
              <w:keepLines/>
              <w:spacing w:after="40" w:before="40" w:line="252" w:lineRule="auto"/>
              <w:jc w:val="left"/>
            </w:pPr>
            <w:r>
              <w:rPr>
                <w:b w:val="0"/>
                <w:sz w:val="20"/>
              </w:rPr>
              <w:t xml:space="preserve">Yes</w:t>
            </w:r>
          </w:p>
        </w:tc>
        <w:tc>
          <w:tcPr>
            <w:tcW w:type="dxa" w:w="2047"/>
            <w:vAlign w:val="center"/>
          </w:tcPr>
          <w:p>
            <w:pPr>
              <w:pStyle w:val="Compact"/>
              <w:keepNext/>
              <w:keepLines/>
              <w:spacing w:after="40" w:before="40" w:line="252" w:lineRule="auto"/>
              <w:jc w:val="left"/>
            </w:pPr>
            <w:r>
              <w:rPr>
                <w:b w:val="0"/>
                <w:sz w:val="20"/>
              </w:rPr>
              <w:t xml:space="preserve">No</w:t>
            </w:r>
          </w:p>
        </w:tc>
      </w:tr>
      <w:tr>
        <w:trPr>
          <w:cantSplit/>
        </w:trPr>
        <w:tc>
          <w:tcPr>
            <w:tcW w:type="dxa" w:w="2047"/>
            <w:vAlign w:val="center"/>
          </w:tcPr>
          <w:p>
            <w:pPr>
              <w:pStyle w:val="Compact"/>
              <w:keepNext/>
              <w:keepLines/>
              <w:spacing w:after="40" w:before="40" w:line="252" w:lineRule="auto"/>
              <w:jc w:val="left"/>
            </w:pPr>
            <w:r>
              <w:rPr>
                <w:b w:val="0"/>
                <w:sz w:val="20"/>
              </w:rPr>
              <w:t xml:space="preserve">Central 41</w:t>
            </w:r>
          </w:p>
        </w:tc>
        <w:tc>
          <w:tcPr>
            <w:tcW w:type="dxa" w:w="2047"/>
            <w:vAlign w:val="center"/>
          </w:tcPr>
          <w:p>
            <w:pPr>
              <w:pStyle w:val="Compact"/>
              <w:keepNext/>
              <w:keepLines/>
              <w:spacing w:after="40" w:before="40" w:line="252" w:lineRule="auto"/>
              <w:jc w:val="right"/>
            </w:pPr>
            <w:r>
              <w:rPr>
                <w:b w:val="0"/>
                <w:sz w:val="20"/>
              </w:rPr>
              <w:t xml:space="preserve">41</w:t>
            </w:r>
          </w:p>
        </w:tc>
        <w:tc>
          <w:tcPr>
            <w:tcW w:type="dxa" w:w="2047"/>
            <w:vAlign w:val="center"/>
          </w:tcPr>
          <w:p>
            <w:pPr>
              <w:pStyle w:val="Compact"/>
              <w:keepNext/>
              <w:keepLines/>
              <w:spacing w:after="40" w:before="40" w:line="252" w:lineRule="auto"/>
              <w:jc w:val="right"/>
            </w:pPr>
            <w:r>
              <w:rPr>
                <w:b w:val="0"/>
                <w:sz w:val="20"/>
              </w:rPr>
              <w:t xml:space="preserve">0.8671</w:t>
            </w:r>
          </w:p>
        </w:tc>
        <w:tc>
          <w:tcPr>
            <w:tcW w:type="dxa" w:w="2047"/>
            <w:vAlign w:val="center"/>
          </w:tcPr>
          <w:p>
            <w:pPr>
              <w:pStyle w:val="Compact"/>
              <w:keepNext/>
              <w:keepLines/>
              <w:spacing w:after="40" w:before="40" w:line="252" w:lineRule="auto"/>
              <w:jc w:val="right"/>
            </w:pPr>
            <w:r>
              <w:rPr>
                <w:b w:val="0"/>
                <w:sz w:val="20"/>
              </w:rPr>
              <w:t xml:space="preserve">1.3882</w:t>
            </w:r>
          </w:p>
        </w:tc>
        <w:tc>
          <w:tcPr>
            <w:tcW w:type="dxa" w:w="2047"/>
            <w:vAlign w:val="center"/>
          </w:tcPr>
          <w:p>
            <w:pPr>
              <w:pStyle w:val="Compact"/>
              <w:keepNext/>
              <w:keepLines/>
              <w:spacing w:after="40" w:before="40" w:line="252" w:lineRule="auto"/>
              <w:jc w:val="left"/>
            </w:pPr>
            <w:r>
              <w:rPr>
                <w:b w:val="0"/>
                <w:sz w:val="20"/>
              </w:rPr>
              <w:t xml:space="preserve">No</w:t>
            </w:r>
          </w:p>
        </w:tc>
        <w:tc>
          <w:tcPr>
            <w:tcW w:type="dxa" w:w="2047"/>
            <w:vAlign w:val="center"/>
          </w:tcPr>
          <w:p>
            <w:pPr>
              <w:pStyle w:val="Compact"/>
              <w:keepNext/>
              <w:keepLines/>
              <w:spacing w:after="40" w:before="40" w:line="252" w:lineRule="auto"/>
              <w:jc w:val="left"/>
            </w:pPr>
            <w:r>
              <w:rPr>
                <w:b w:val="0"/>
                <w:sz w:val="20"/>
              </w:rPr>
              <w:t xml:space="preserve">Yes</w:t>
            </w:r>
          </w:p>
        </w:tc>
        <w:tc>
          <w:tcPr>
            <w:tcW w:type="dxa" w:w="2047"/>
            <w:vAlign w:val="center"/>
          </w:tcPr>
          <w:p>
            <w:pPr>
              <w:pStyle w:val="Compact"/>
              <w:keepNext/>
              <w:keepLines/>
              <w:spacing w:after="40" w:before="40" w:line="252" w:lineRule="auto"/>
              <w:jc w:val="left"/>
            </w:pPr>
            <w:r>
              <w:rPr>
                <w:b w:val="0"/>
                <w:sz w:val="20"/>
              </w:rPr>
              <w:t xml:space="preserve">No</w:t>
            </w:r>
          </w:p>
        </w:tc>
      </w:tr>
      <w:tr>
        <w:trPr>
          <w:cantSplit/>
        </w:trPr>
        <w:tc>
          <w:tcPr>
            <w:tcW w:type="dxa" w:w="2047"/>
            <w:vAlign w:val="center"/>
          </w:tcPr>
          <w:p>
            <w:pPr>
              <w:pStyle w:val="Compact"/>
              <w:keepNext/>
              <w:keepLines/>
              <w:spacing w:after="40" w:before="40" w:line="252" w:lineRule="auto"/>
              <w:jc w:val="left"/>
            </w:pPr>
            <w:r>
              <w:rPr>
                <w:b w:val="0"/>
                <w:sz w:val="20"/>
              </w:rPr>
              <w:t xml:space="preserve">Extended 121</w:t>
            </w:r>
          </w:p>
        </w:tc>
        <w:tc>
          <w:tcPr>
            <w:tcW w:type="dxa" w:w="2047"/>
            <w:vAlign w:val="center"/>
          </w:tcPr>
          <w:p>
            <w:pPr>
              <w:pStyle w:val="Compact"/>
              <w:keepNext/>
              <w:keepLines/>
              <w:spacing w:after="40" w:before="40" w:line="252" w:lineRule="auto"/>
              <w:jc w:val="right"/>
            </w:pPr>
            <w:r>
              <w:rPr>
                <w:b w:val="0"/>
                <w:sz w:val="20"/>
              </w:rPr>
              <w:t xml:space="preserve">121</w:t>
            </w:r>
          </w:p>
        </w:tc>
        <w:tc>
          <w:tcPr>
            <w:tcW w:type="dxa" w:w="2047"/>
            <w:vAlign w:val="center"/>
          </w:tcPr>
          <w:p>
            <w:pPr>
              <w:pStyle w:val="Compact"/>
              <w:keepNext/>
              <w:keepLines/>
              <w:spacing w:after="40" w:before="40" w:line="252" w:lineRule="auto"/>
              <w:jc w:val="right"/>
            </w:pPr>
            <w:r>
              <w:rPr>
                <w:b w:val="0"/>
                <w:sz w:val="20"/>
              </w:rPr>
              <w:t xml:space="preserve">0.3460</w:t>
            </w:r>
          </w:p>
        </w:tc>
        <w:tc>
          <w:tcPr>
            <w:tcW w:type="dxa" w:w="2047"/>
            <w:vAlign w:val="center"/>
          </w:tcPr>
          <w:p>
            <w:pPr>
              <w:pStyle w:val="Compact"/>
              <w:keepNext/>
              <w:keepLines/>
              <w:spacing w:after="40" w:before="40" w:line="252" w:lineRule="auto"/>
              <w:jc w:val="right"/>
            </w:pPr>
            <w:r>
              <w:rPr>
                <w:b w:val="0"/>
                <w:sz w:val="20"/>
              </w:rPr>
              <w:t xml:space="preserve">1.9093</w:t>
            </w:r>
          </w:p>
        </w:tc>
        <w:tc>
          <w:tcPr>
            <w:tcW w:type="dxa" w:w="2047"/>
            <w:vAlign w:val="center"/>
          </w:tcPr>
          <w:p>
            <w:pPr>
              <w:pStyle w:val="Compact"/>
              <w:keepNext/>
              <w:keepLines/>
              <w:spacing w:after="40" w:before="40" w:line="252" w:lineRule="auto"/>
              <w:jc w:val="left"/>
            </w:pPr>
            <w:r>
              <w:rPr>
                <w:b w:val="0"/>
                <w:sz w:val="20"/>
              </w:rPr>
              <w:t xml:space="preserve">Yes</w:t>
            </w:r>
          </w:p>
        </w:tc>
        <w:tc>
          <w:tcPr>
            <w:tcW w:type="dxa" w:w="2047"/>
            <w:vAlign w:val="center"/>
          </w:tcPr>
          <w:p>
            <w:pPr>
              <w:pStyle w:val="Compact"/>
              <w:keepNext/>
              <w:keepLines/>
              <w:spacing w:after="40" w:before="40" w:line="252" w:lineRule="auto"/>
              <w:jc w:val="left"/>
            </w:pPr>
            <w:r>
              <w:rPr>
                <w:b w:val="0"/>
                <w:sz w:val="20"/>
              </w:rPr>
              <w:t xml:space="preserve">Yes</w:t>
            </w:r>
          </w:p>
        </w:tc>
        <w:tc>
          <w:tcPr>
            <w:tcW w:type="dxa" w:w="2047"/>
            <w:vAlign w:val="center"/>
          </w:tcPr>
          <w:p>
            <w:pPr>
              <w:pStyle w:val="Compact"/>
              <w:keepNext/>
              <w:keepLines/>
              <w:spacing w:after="40" w:before="40" w:line="252" w:lineRule="auto"/>
              <w:jc w:val="left"/>
            </w:pPr>
            <w:r>
              <w:rPr>
                <w:b w:val="0"/>
                <w:sz w:val="20"/>
              </w:rPr>
              <w:t xml:space="preserve">Yes</w:t>
            </w:r>
          </w:p>
        </w:tc>
      </w:tr>
    </w:tbl>
    <w:p>
      <w:bookmarkStart w:id="586" w:name="table14"/>
      <w:pPr>
        <w:pStyle w:val="TableCaption"/>
      </w:pPr>
      <w:r>
        <w:t xml:space="preserve">Table 14. Quote patterns at 365 days. The same nested construction is used at every horizon. The fitting support remains [0.3, 2.2] in forward coordinates. Threshold entries indicate whether that strike is inside the quoted span.</w:t>
      </w:r>
      <w:bookmarkEnd w:id="586"/>
    </w:p>
    <w:p>
      <w:pPr>
        <w:sectPr>
          <w:type w:val="nextPage"/>
          <w:pgSz w:w="16838" w:h="11906" w:orient="landscape"/>
          <w:pgMar w:top="1008" w:bottom="1008" w:left="1152" w:right="1152" w:header="432" w:footer="432" w:gutter="0"/>
          <w:pgNumType w:fmt="decimal"/>
        </w:sectPr>
        <w:spacing w:before="0" w:after="0" w:line="1" w:lineRule="exact"/>
      </w:pPr>
      <w:r>
        <w:rPr>
          <w:sz w:val="2"/>
        </w:rPr>
      </w:r>
    </w:p>
    <w:p>
      <w:pPr>
        <w:pStyle w:val="BodyText"/>
        <w:keepNext/>
        <w:spacing w:after="40"/>
        <w:jc w:val="center"/>
      </w:pPr>
      <w:r>
        <w:drawing>
          <wp:inline>
            <wp:extent cx="5334000" cy="2079977"/>
            <wp:effectExtent b="0" l="0" r="0" t="0"/>
            <wp:docPr descr="Nested strike patterns and tail-threshold coverage" title="" id="100" name="Picture"/>
            <a:graphic>
              <a:graphicData uri="http://schemas.openxmlformats.org/drawingml/2006/picture">
                <pic:pic>
                  <pic:nvPicPr>
                    <pic:cNvPr descr="/workspace/scratch/62b9274b9d7e/spx-density-research/figures/figure_18_quote_coverage_design.png" id="101" name="Picture"/>
                    <pic:cNvPicPr>
                      <a:picLocks noChangeArrowheads="1" noChangeAspect="1"/>
                    </pic:cNvPicPr>
                  </pic:nvPicPr>
                  <pic:blipFill>
                    <a:blip r:embed="rId99"/>
                    <a:stretch>
                      <a:fillRect/>
                    </a:stretch>
                  </pic:blipFill>
                  <pic:spPr bwMode="auto">
                    <a:xfrm>
                      <a:off x="0" y="0"/>
                      <a:ext cx="5334000" cy="2079977"/>
                    </a:xfrm>
                    <a:prstGeom prst="rect">
                      <a:avLst/>
                    </a:prstGeom>
                    <a:noFill/>
                    <a:ln w="9525">
                      <a:noFill/>
                      <a:headEnd/>
                      <a:tailEnd/>
                    </a:ln>
                  </pic:spPr>
                </pic:pic>
              </a:graphicData>
            </a:graphic>
          </wp:inline>
        </w:drawing>
      </w:r>
    </w:p>
    <w:p>
      <w:bookmarkStart w:id="587" w:name="figure18"/>
      <w:pPr>
        <w:pStyle w:val="FigureCaption"/>
      </w:pPr>
      <w:r>
        <w:t xml:space="preserve">Figure 18. The four quote patterns at 365 days, expressed as strike divided by forward. Points identify actual supplied strikes. The shaded interval is the common density-fitting support, and dashed lines identify the three probability thresholds. The corresponding strike ranges change with horizon; the plotting example does not imply that 1.8F is quoted at every maturity.</w:t>
      </w:r>
      <w:bookmarkEnd w:id="587"/>
    </w:p>
    <w:p>
      <w:pPr>
        <w:sectPr>
          <w:type w:val="nextPage"/>
          <w:pgSz w:w="16838" w:h="11906" w:orient="landscape"/>
          <w:pgMar w:top="1008" w:bottom="1008" w:left="1152" w:right="1152" w:header="432" w:footer="432" w:gutter="0"/>
          <w:pgNumType w:fmt="decimal"/>
        </w:sectPr>
        <w:spacing w:before="0" w:after="0" w:line="1" w:lineRule="exact"/>
      </w:pPr>
      <w:r>
        <w:rPr>
          <w:sz w:val="2"/>
        </w:rPr>
      </w:r>
    </w:p>
    <w:p>
      <w:pPr>
        <w:pStyle w:val="BodyText"/>
      </w:pPr>
      <w:r>
        <w:t xml:space="preserve">Each benchmark, pattern and error amplitude uses fifty repetitions. Equation (26) supplies bounded independent quote perturbations with amplitude limits of 0.1 and 0.5 points. The minimum with half the clean call price keeps supplied prices positive on the extended grid. Its amplitude is a half-width, not a standard deviation.</w:t>
      </w:r>
    </w:p>
    <w:p>
      <w:pPr>
        <w:pStyle w:val="BodyText"/>
        <w:keepNext/>
        <w:spacing w:before="120" w:after="40"/>
        <w:jc w:val="center"/>
      </w:pPr>
      <m:oMathPara>
        <m:oMathParaPr>
          <m:jc m:val="center"/>
        </m:oMathParaPr>
        <m:oMath>
          <m:m>
            <m:mPr>
              <m:baseJc m:val="center"/>
              <m:plcHide m:val="on"/>
              <m:mcs>
                <m:mc>
                  <m:mcPr>
                    <m:mcJc m:val="center"/>
                    <m:count m:val="1"/>
                  </m:mcPr>
                </m:mc>
              </m:mcs>
            </m:mPr>
            <m:mr>
              <m:e>
                <m:sSub>
                  <m:e>
                    <m:r>
                      <m:t>y</m:t>
                    </m:r>
                  </m:e>
                  <m:sub>
                    <m:r>
                      <m:t>ν</m:t>
                    </m:r>
                    <m:r>
                      <m:t>m</m:t>
                    </m:r>
                    <m:r>
                      <m:t>i</m:t>
                    </m:r>
                  </m:sub>
                </m:sSub>
                <m:d>
                  <m:dPr>
                    <m:begChr m:val="("/>
                    <m:endChr m:val=")"/>
                    <m:sepChr m:val=""/>
                    <m:grow/>
                  </m:dPr>
                  <m:e>
                    <m:r>
                      <m:t>a</m:t>
                    </m:r>
                  </m:e>
                </m:d>
                <m:r>
                  <m:rPr>
                    <m:sty m:val="p"/>
                  </m:rPr>
                  <m:t>=</m:t>
                </m:r>
                <m:sSub>
                  <m:e>
                    <m:r>
                      <m:t>C</m:t>
                    </m:r>
                  </m:e>
                  <m:sub>
                    <m:r>
                      <m:t>m</m:t>
                    </m:r>
                    <m:r>
                      <m:t>i</m:t>
                    </m:r>
                  </m:sub>
                </m:sSub>
                <m:r>
                  <m:rPr>
                    <m:sty m:val="p"/>
                  </m:rPr>
                  <m:t>+</m:t>
                </m:r>
                <m:sSub>
                  <m:e>
                    <m:r>
                      <m:t>η</m:t>
                    </m:r>
                  </m:e>
                  <m:sub>
                    <m:r>
                      <m:t>m</m:t>
                    </m:r>
                    <m:r>
                      <m:t>i</m:t>
                    </m:r>
                  </m:sub>
                </m:sSub>
                <m:d>
                  <m:dPr>
                    <m:begChr m:val="("/>
                    <m:endChr m:val=")"/>
                    <m:sepChr m:val=""/>
                    <m:grow/>
                  </m:dPr>
                  <m:e>
                    <m:r>
                      <m:t>a</m:t>
                    </m:r>
                  </m:e>
                </m:d>
                <m:sSub>
                  <m:e>
                    <m:r>
                      <m:t>U</m:t>
                    </m:r>
                  </m:e>
                  <m:sub>
                    <m:r>
                      <m:t>ν</m:t>
                    </m:r>
                    <m:r>
                      <m:t>m</m:t>
                    </m:r>
                    <m:r>
                      <m:t>i</m:t>
                    </m:r>
                  </m:sub>
                </m:sSub>
                <m:r>
                  <m:rPr>
                    <m:sty m:val="p"/>
                  </m:rPr>
                  <m:t>,</m:t>
                </m:r>
              </m:e>
            </m:mr>
            <m:mr>
              <m:e>
                <m:sSub>
                  <m:e>
                    <m:r>
                      <m:t>η</m:t>
                    </m:r>
                  </m:e>
                  <m:sub>
                    <m:r>
                      <m:t>m</m:t>
                    </m:r>
                    <m:r>
                      <m:t>i</m:t>
                    </m:r>
                  </m:sub>
                </m:sSub>
                <m:d>
                  <m:dPr>
                    <m:begChr m:val="("/>
                    <m:endChr m:val=")"/>
                    <m:sepChr m:val=""/>
                    <m:grow/>
                  </m:dPr>
                  <m:e>
                    <m:r>
                      <m:t>a</m:t>
                    </m:r>
                  </m:e>
                </m:d>
                <m:r>
                  <m:rPr>
                    <m:sty m:val="p"/>
                  </m:rPr>
                  <m:t>=</m:t>
                </m:r>
                <m:r>
                  <m:rPr>
                    <m:sty m:val="p"/>
                  </m:rPr>
                  <m:t>min</m:t>
                </m:r>
                <m:r>
                  <m:rPr>
                    <m:sty m:val="p"/>
                  </m:rPr>
                  <m:t>{</m:t>
                </m:r>
                <m:r>
                  <m:t>a</m:t>
                </m:r>
                <m:r>
                  <m:rPr>
                    <m:sty m:val="p"/>
                  </m:rPr>
                  <m:t>,</m:t>
                </m:r>
                <m:sSub>
                  <m:e>
                    <m:r>
                      <m:t>C</m:t>
                    </m:r>
                  </m:e>
                  <m:sub>
                    <m:r>
                      <m:t>m</m:t>
                    </m:r>
                    <m:r>
                      <m:t>i</m:t>
                    </m:r>
                  </m:sub>
                </m:sSub>
                <m:r>
                  <m:rPr>
                    <m:sty m:val="p"/>
                  </m:rPr>
                  <m:t>/</m:t>
                </m:r>
                <m:r>
                  <m:t>2</m:t>
                </m:r>
                <m:r>
                  <m:rPr>
                    <m:sty m:val="p"/>
                  </m:rPr>
                  <m:t>}</m:t>
                </m:r>
                <m:r>
                  <m:rPr>
                    <m:sty m:val="p"/>
                  </m:rPr>
                  <m:t>,</m:t>
                </m:r>
                <m:r>
                  <m:t>  </m:t>
                </m:r>
                <m:sSub>
                  <m:e>
                    <m:r>
                      <m:t>U</m:t>
                    </m:r>
                  </m:e>
                  <m:sub>
                    <m:r>
                      <m:t>ν</m:t>
                    </m:r>
                    <m:r>
                      <m:t>m</m:t>
                    </m:r>
                    <m:r>
                      <m:t>i</m:t>
                    </m:r>
                  </m:sub>
                </m:sSub>
                <m:r>
                  <m:rPr>
                    <m:sty m:val="p"/>
                  </m:rPr>
                  <m:t>∼</m:t>
                </m:r>
                <m:r>
                  <m:rPr>
                    <m:sty m:val="p"/>
                    <m:scr m:val="script"/>
                  </m:rPr>
                  <m:t>U</m:t>
                </m:r>
                <m:d>
                  <m:dPr>
                    <m:begChr m:val="["/>
                    <m:endChr m:val="]"/>
                    <m:sepChr m:val=""/>
                    <m:grow/>
                  </m:dPr>
                  <m:e>
                    <m:r>
                      <m:rPr>
                        <m:sty m:val="p"/>
                      </m:rPr>
                      <m:t>−</m:t>
                    </m:r>
                    <m:r>
                      <m:t>1</m:t>
                    </m:r>
                    <m:r>
                      <m:rPr>
                        <m:sty m:val="p"/>
                      </m:rPr>
                      <m:t>,</m:t>
                    </m:r>
                    <m:r>
                      <m:t>1</m:t>
                    </m:r>
                  </m:e>
                </m:d>
                <m:r>
                  <m:rPr>
                    <m:sty m:val="p"/>
                  </m:rPr>
                  <m:t>.</m:t>
                </m:r>
              </m:e>
            </m:mr>
          </m:m>
        </m:oMath>
      </m:oMathPara>
    </w:p>
    <w:p>
      <w:bookmarkStart w:id="588" w:name="equation26"/>
      <w:pPr>
        <w:pStyle w:val="EquationCaption"/>
      </w:pPr>
      <w:r>
        <w:t xml:space="preserve">Equation 26. Paired bounded synthetic quote perturbations.</w:t>
      </w:r>
      <w:bookmarkEnd w:id="588"/>
    </w:p>
    <w:p>
      <w:pPr>
        <w:pStyle w:val="BodyText"/>
      </w:pPr>
      <w:r>
        <w:t xml:space="preserve">The errors have conditional mean zero and variance</w:t>
      </w:r>
      <w:r>
        <w:t xml:space="preserve"> </w:t>
      </w:r>
      <m:oMath>
        <m:sSubSup>
          <m:e>
            <m:r>
              <m:t>η</m:t>
            </m:r>
          </m:e>
          <m:sub>
            <m:r>
              <m:t>m</m:t>
            </m:r>
            <m:r>
              <m:t>i</m:t>
            </m:r>
          </m:sub>
          <m:sup>
            <m:r>
              <m:t>2</m:t>
            </m:r>
          </m:sup>
        </m:sSubSup>
        <m:r>
          <m:rPr>
            <m:sty m:val="p"/>
          </m:rPr>
          <m:t>/</m:t>
        </m:r>
        <m:r>
          <m:t>3</m:t>
        </m:r>
      </m:oMath>
      <w:r>
        <w:t xml:space="preserve">, but do not preserve every arbitrage inequality. This is a deliberately idealised synthetic mechanism, not an empirical bid–ask noise model. Shared PCG64 child streams pair the master-strike errors across comparable designs; their states are retained for replay. Eight clean-input controls distinguish limitations that exist without price perturbations.</w:t>
      </w:r>
    </w:p>
    <w:p>
      <w:pPr>
        <w:pStyle w:val="BodyText"/>
      </w:pPr>
      <w:r>
        <w:t xml:space="preserve">The common validation grid has 120 arithmetic master-strike midpoints per maturity, giving 960 known prices never supplied to a fit. Results distinguish points inside and outside the observed range. Empty outside-range subsets are reported as unavailable, rather than assigned zero error. Equations (27)–(29) define the simulation summaries, Monte Carlo standard error of a mean and precision of a paired contrast, following the framework discussed by Morris and colleagues [16].</w:t>
      </w:r>
    </w:p>
    <w:p>
      <w:pPr>
        <w:pStyle w:val="BodyText"/>
        <w:keepNext/>
        <w:spacing w:before="120" w:after="40"/>
        <w:jc w:val="center"/>
      </w:pPr>
      <m:oMathPara>
        <m:oMathParaPr>
          <m:jc m:val="center"/>
        </m:oMathParaPr>
        <m:oMath>
          <m:m>
            <m:mPr>
              <m:baseJc m:val="center"/>
              <m:plcHide m:val="on"/>
              <m:mcs>
                <m:mc>
                  <m:mcPr>
                    <m:mcJc m:val="center"/>
                    <m:count m:val="1"/>
                  </m:mcPr>
                </m:mc>
              </m:mcs>
            </m:mPr>
            <m:mr>
              <m:e>
                <m:bar>
                  <m:barPr>
                    <m:pos m:val="top"/>
                  </m:barPr>
                  <m:e>
                    <m:r>
                      <m:t>θ</m:t>
                    </m:r>
                  </m:e>
                </m:bar>
                <m:r>
                  <m:rPr>
                    <m:sty m:val="p"/>
                  </m:rPr>
                  <m:t>=</m:t>
                </m:r>
                <m:f>
                  <m:fPr>
                    <m:type m:val="bar"/>
                  </m:fPr>
                  <m:num>
                    <m:r>
                      <m:t>1</m:t>
                    </m:r>
                  </m:num>
                  <m:den>
                    <m:sSub>
                      <m:e>
                        <m:r>
                          <m:t>n</m:t>
                        </m:r>
                      </m:e>
                      <m:sub>
                        <m:r>
                          <m:rPr>
                            <m:sty m:val="p"/>
                          </m:rPr>
                          <m:t>s</m:t>
                        </m:r>
                        <m:r>
                          <m:rPr>
                            <m:sty m:val="p"/>
                          </m:rPr>
                          <m:t>i</m:t>
                        </m:r>
                        <m:r>
                          <m:rPr>
                            <m:sty m:val="p"/>
                          </m:rPr>
                          <m:t>m</m:t>
                        </m:r>
                      </m:sub>
                    </m:sSub>
                  </m:den>
                </m:f>
                <m:nary>
                  <m:naryPr>
                    <m:chr m:val="∑"/>
                    <m:limLoc m:val="undOvr"/>
                    <m:subHide m:val="off"/>
                    <m:supHide m:val="off"/>
                  </m:naryPr>
                  <m:sub>
                    <m:r>
                      <m:t>ν</m:t>
                    </m:r>
                    <m:r>
                      <m:rPr>
                        <m:sty m:val="p"/>
                      </m:rPr>
                      <m:t>=</m:t>
                    </m:r>
                    <m:r>
                      <m:t>1</m:t>
                    </m:r>
                  </m:sub>
                  <m:sup>
                    <m:sSub>
                      <m:e>
                        <m:r>
                          <m:t>n</m:t>
                        </m:r>
                      </m:e>
                      <m:sub>
                        <m:r>
                          <m:rPr>
                            <m:sty m:val="p"/>
                          </m:rPr>
                          <m:t>s</m:t>
                        </m:r>
                        <m:r>
                          <m:rPr>
                            <m:sty m:val="p"/>
                          </m:rPr>
                          <m:t>i</m:t>
                        </m:r>
                        <m:r>
                          <m:rPr>
                            <m:sty m:val="p"/>
                          </m:rPr>
                          <m:t>m</m:t>
                        </m:r>
                      </m:sub>
                    </m:sSub>
                  </m:sup>
                  <m:e>
                    <m:sSub>
                      <m:e>
                        <m:acc>
                          <m:accPr>
                            <m:chr m:val="̂"/>
                          </m:accPr>
                          <m:e>
                            <m:r>
                              <m:t>θ</m:t>
                            </m:r>
                          </m:e>
                        </m:acc>
                      </m:e>
                      <m:sub>
                        <m:r>
                          <m:t>ν</m:t>
                        </m:r>
                      </m:sub>
                    </m:sSub>
                  </m:e>
                </m:nary>
                <m:r>
                  <m:rPr>
                    <m:sty m:val="p"/>
                  </m:rPr>
                  <m:t>,</m:t>
                </m:r>
                <m:r>
                  <m:t>  </m:t>
                </m:r>
                <m:acc>
                  <m:accPr>
                    <m:chr m:val="̂"/>
                  </m:accPr>
                  <m:e>
                    <m:r>
                      <m:rPr>
                        <m:sty m:val="p"/>
                      </m:rPr>
                      <m:t>Bias</m:t>
                    </m:r>
                  </m:e>
                </m:acc>
                <m:r>
                  <m:rPr>
                    <m:sty m:val="p"/>
                  </m:rPr>
                  <m:t>=</m:t>
                </m:r>
                <m:bar>
                  <m:barPr>
                    <m:pos m:val="top"/>
                  </m:barPr>
                  <m:e>
                    <m:r>
                      <m:t>θ</m:t>
                    </m:r>
                  </m:e>
                </m:bar>
                <m:r>
                  <m:rPr>
                    <m:sty m:val="p"/>
                  </m:rPr>
                  <m:t>−</m:t>
                </m:r>
                <m:r>
                  <m:t>θ</m:t>
                </m:r>
                <m:r>
                  <m:rPr>
                    <m:sty m:val="p"/>
                  </m:rPr>
                  <m:t>,</m:t>
                </m:r>
              </m:e>
            </m:mr>
            <m:mr>
              <m:e>
                <m:sSubSup>
                  <m:e>
                    <m:r>
                      <m:t>s</m:t>
                    </m:r>
                  </m:e>
                  <m:sub>
                    <m:r>
                      <m:t>θ</m:t>
                    </m:r>
                  </m:sub>
                  <m:sup>
                    <m:r>
                      <m:t>2</m:t>
                    </m:r>
                  </m:sup>
                </m:sSubSup>
                <m:r>
                  <m:rPr>
                    <m:sty m:val="p"/>
                  </m:rPr>
                  <m:t>=</m:t>
                </m:r>
                <m:f>
                  <m:fPr>
                    <m:type m:val="bar"/>
                  </m:fPr>
                  <m:num>
                    <m:r>
                      <m:t>1</m:t>
                    </m:r>
                  </m:num>
                  <m:den>
                    <m:sSub>
                      <m:e>
                        <m:r>
                          <m:t>n</m:t>
                        </m:r>
                      </m:e>
                      <m:sub>
                        <m:r>
                          <m:rPr>
                            <m:sty m:val="p"/>
                          </m:rPr>
                          <m:t>s</m:t>
                        </m:r>
                        <m:r>
                          <m:rPr>
                            <m:sty m:val="p"/>
                          </m:rPr>
                          <m:t>i</m:t>
                        </m:r>
                        <m:r>
                          <m:rPr>
                            <m:sty m:val="p"/>
                          </m:rPr>
                          <m:t>m</m:t>
                        </m:r>
                      </m:sub>
                    </m:sSub>
                    <m:r>
                      <m:rPr>
                        <m:sty m:val="p"/>
                      </m:rPr>
                      <m:t>−</m:t>
                    </m:r>
                    <m:r>
                      <m:t>1</m:t>
                    </m:r>
                  </m:den>
                </m:f>
                <m:nary>
                  <m:naryPr>
                    <m:chr m:val="∑"/>
                    <m:limLoc m:val="undOvr"/>
                    <m:subHide m:val="off"/>
                    <m:supHide m:val="off"/>
                  </m:naryPr>
                  <m:sub>
                    <m:r>
                      <m:t>ν</m:t>
                    </m:r>
                    <m:r>
                      <m:rPr>
                        <m:sty m:val="p"/>
                      </m:rPr>
                      <m:t>=</m:t>
                    </m:r>
                    <m:r>
                      <m:t>1</m:t>
                    </m:r>
                  </m:sub>
                  <m:sup>
                    <m:sSub>
                      <m:e>
                        <m:r>
                          <m:t>n</m:t>
                        </m:r>
                      </m:e>
                      <m:sub>
                        <m:r>
                          <m:rPr>
                            <m:sty m:val="p"/>
                          </m:rPr>
                          <m:t>s</m:t>
                        </m:r>
                        <m:r>
                          <m:rPr>
                            <m:sty m:val="p"/>
                          </m:rPr>
                          <m:t>i</m:t>
                        </m:r>
                        <m:r>
                          <m:rPr>
                            <m:sty m:val="p"/>
                          </m:rPr>
                          <m:t>m</m:t>
                        </m:r>
                      </m:sub>
                    </m:sSub>
                  </m:sup>
                  <m:e>
                    <m:sSup>
                      <m:e>
                        <m:d>
                          <m:dPr>
                            <m:begChr m:val="("/>
                            <m:endChr m:val=")"/>
                            <m:sepChr m:val=""/>
                            <m:grow/>
                          </m:dPr>
                          <m:e>
                            <m:sSub>
                              <m:e>
                                <m:acc>
                                  <m:accPr>
                                    <m:chr m:val="̂"/>
                                  </m:accPr>
                                  <m:e>
                                    <m:r>
                                      <m:t>θ</m:t>
                                    </m:r>
                                  </m:e>
                                </m:acc>
                              </m:e>
                              <m:sub>
                                <m:r>
                                  <m:t>ν</m:t>
                                </m:r>
                              </m:sub>
                            </m:sSub>
                            <m:r>
                              <m:rPr>
                                <m:sty m:val="p"/>
                              </m:rPr>
                              <m:t>−</m:t>
                            </m:r>
                            <m:bar>
                              <m:barPr>
                                <m:pos m:val="top"/>
                              </m:barPr>
                              <m:e>
                                <m:r>
                                  <m:t>θ</m:t>
                                </m:r>
                              </m:e>
                            </m:bar>
                          </m:e>
                        </m:d>
                      </m:e>
                      <m:sup>
                        <m:r>
                          <m:t>2</m:t>
                        </m:r>
                      </m:sup>
                    </m:sSup>
                  </m:e>
                </m:nary>
                <m:r>
                  <m:rPr>
                    <m:sty m:val="p"/>
                  </m:rPr>
                  <m:t>,</m:t>
                </m:r>
              </m:e>
            </m:mr>
            <m:mr>
              <m:e>
                <m:sSubSup>
                  <m:e>
                    <m:r>
                      <m:rPr>
                        <m:sty m:val="p"/>
                      </m:rPr>
                      <m:t>RMSE</m:t>
                    </m:r>
                  </m:e>
                  <m:sub>
                    <m:r>
                      <m:t>θ</m:t>
                    </m:r>
                  </m:sub>
                  <m:sup>
                    <m:r>
                      <m:t>2</m:t>
                    </m:r>
                  </m:sup>
                </m:sSubSup>
                <m:r>
                  <m:rPr>
                    <m:sty m:val="p"/>
                  </m:rPr>
                  <m:t>=</m:t>
                </m:r>
                <m:f>
                  <m:fPr>
                    <m:type m:val="bar"/>
                  </m:fPr>
                  <m:num>
                    <m:r>
                      <m:t>1</m:t>
                    </m:r>
                  </m:num>
                  <m:den>
                    <m:sSub>
                      <m:e>
                        <m:r>
                          <m:t>n</m:t>
                        </m:r>
                      </m:e>
                      <m:sub>
                        <m:r>
                          <m:rPr>
                            <m:sty m:val="p"/>
                          </m:rPr>
                          <m:t>s</m:t>
                        </m:r>
                        <m:r>
                          <m:rPr>
                            <m:sty m:val="p"/>
                          </m:rPr>
                          <m:t>i</m:t>
                        </m:r>
                        <m:r>
                          <m:rPr>
                            <m:sty m:val="p"/>
                          </m:rPr>
                          <m:t>m</m:t>
                        </m:r>
                      </m:sub>
                    </m:sSub>
                  </m:den>
                </m:f>
                <m:nary>
                  <m:naryPr>
                    <m:chr m:val="∑"/>
                    <m:limLoc m:val="undOvr"/>
                    <m:subHide m:val="off"/>
                    <m:supHide m:val="off"/>
                  </m:naryPr>
                  <m:sub>
                    <m:r>
                      <m:t>ν</m:t>
                    </m:r>
                    <m:r>
                      <m:rPr>
                        <m:sty m:val="p"/>
                      </m:rPr>
                      <m:t>=</m:t>
                    </m:r>
                    <m:r>
                      <m:t>1</m:t>
                    </m:r>
                  </m:sub>
                  <m:sup>
                    <m:sSub>
                      <m:e>
                        <m:r>
                          <m:t>n</m:t>
                        </m:r>
                      </m:e>
                      <m:sub>
                        <m:r>
                          <m:rPr>
                            <m:sty m:val="p"/>
                          </m:rPr>
                          <m:t>s</m:t>
                        </m:r>
                        <m:r>
                          <m:rPr>
                            <m:sty m:val="p"/>
                          </m:rPr>
                          <m:t>i</m:t>
                        </m:r>
                        <m:r>
                          <m:rPr>
                            <m:sty m:val="p"/>
                          </m:rPr>
                          <m:t>m</m:t>
                        </m:r>
                      </m:sub>
                    </m:sSub>
                  </m:sup>
                  <m:e>
                    <m:sSup>
                      <m:e>
                        <m:d>
                          <m:dPr>
                            <m:begChr m:val="("/>
                            <m:endChr m:val=")"/>
                            <m:sepChr m:val=""/>
                            <m:grow/>
                          </m:dPr>
                          <m:e>
                            <m:sSub>
                              <m:e>
                                <m:acc>
                                  <m:accPr>
                                    <m:chr m:val="̂"/>
                                  </m:accPr>
                                  <m:e>
                                    <m:r>
                                      <m:t>θ</m:t>
                                    </m:r>
                                  </m:e>
                                </m:acc>
                              </m:e>
                              <m:sub>
                                <m:r>
                                  <m:t>ν</m:t>
                                </m:r>
                              </m:sub>
                            </m:sSub>
                            <m:r>
                              <m:rPr>
                                <m:sty m:val="p"/>
                              </m:rPr>
                              <m:t>−</m:t>
                            </m:r>
                            <m:r>
                              <m:t>θ</m:t>
                            </m:r>
                          </m:e>
                        </m:d>
                      </m:e>
                      <m:sup>
                        <m:r>
                          <m:t>2</m:t>
                        </m:r>
                      </m:sup>
                    </m:sSup>
                  </m:e>
                </m:nary>
              </m:e>
            </m:mr>
            <m:mr>
              <m:e>
                <m:r>
                  <m:rPr>
                    <m:sty m:val="p"/>
                  </m:rPr>
                  <m:t>=</m:t>
                </m:r>
                <m:sSup>
                  <m:e>
                    <m:acc>
                      <m:accPr>
                        <m:chr m:val="̂"/>
                      </m:accPr>
                      <m:e>
                        <m:r>
                          <m:rPr>
                            <m:sty m:val="p"/>
                          </m:rPr>
                          <m:t>Bias</m:t>
                        </m:r>
                      </m:e>
                    </m:acc>
                  </m:e>
                  <m:sup>
                    <m:r>
                      <m:t>2</m:t>
                    </m:r>
                  </m:sup>
                </m:sSup>
                <m:r>
                  <m:rPr>
                    <m:sty m:val="p"/>
                  </m:rPr>
                  <m:t>+</m:t>
                </m:r>
                <m:f>
                  <m:fPr>
                    <m:type m:val="bar"/>
                  </m:fPr>
                  <m:num>
                    <m:sSub>
                      <m:e>
                        <m:r>
                          <m:t>n</m:t>
                        </m:r>
                      </m:e>
                      <m:sub>
                        <m:r>
                          <m:rPr>
                            <m:sty m:val="p"/>
                          </m:rPr>
                          <m:t>s</m:t>
                        </m:r>
                        <m:r>
                          <m:rPr>
                            <m:sty m:val="p"/>
                          </m:rPr>
                          <m:t>i</m:t>
                        </m:r>
                        <m:r>
                          <m:rPr>
                            <m:sty m:val="p"/>
                          </m:rPr>
                          <m:t>m</m:t>
                        </m:r>
                      </m:sub>
                    </m:sSub>
                    <m:r>
                      <m:rPr>
                        <m:sty m:val="p"/>
                      </m:rPr>
                      <m:t>−</m:t>
                    </m:r>
                    <m:r>
                      <m:t>1</m:t>
                    </m:r>
                  </m:num>
                  <m:den>
                    <m:sSub>
                      <m:e>
                        <m:r>
                          <m:t>n</m:t>
                        </m:r>
                      </m:e>
                      <m:sub>
                        <m:r>
                          <m:rPr>
                            <m:sty m:val="p"/>
                          </m:rPr>
                          <m:t>s</m:t>
                        </m:r>
                        <m:r>
                          <m:rPr>
                            <m:sty m:val="p"/>
                          </m:rPr>
                          <m:t>i</m:t>
                        </m:r>
                        <m:r>
                          <m:rPr>
                            <m:sty m:val="p"/>
                          </m:rPr>
                          <m:t>m</m:t>
                        </m:r>
                      </m:sub>
                    </m:sSub>
                  </m:den>
                </m:f>
                <m:sSubSup>
                  <m:e>
                    <m:r>
                      <m:t>s</m:t>
                    </m:r>
                  </m:e>
                  <m:sub>
                    <m:r>
                      <m:t>θ</m:t>
                    </m:r>
                  </m:sub>
                  <m:sup>
                    <m:r>
                      <m:t>2</m:t>
                    </m:r>
                  </m:sup>
                </m:sSubSup>
                <m:r>
                  <m:rPr>
                    <m:sty m:val="p"/>
                  </m:rPr>
                  <m:t>.</m:t>
                </m:r>
              </m:e>
            </m:mr>
          </m:m>
        </m:oMath>
      </m:oMathPara>
    </w:p>
    <w:p>
      <w:bookmarkStart w:id="589" w:name="equation27"/>
      <w:pPr>
        <w:pStyle w:val="EquationCaption"/>
      </w:pPr>
      <w:r>
        <w:t xml:space="preserve">Equation 27. Simulation bias, empirical variance and finite-sample MSE decomposition.</w:t>
      </w:r>
      <w:bookmarkEnd w:id="589"/>
    </w:p>
    <w:p>
      <w:pPr>
        <w:pStyle w:val="BodyText"/>
        <w:keepNext/>
        <w:spacing w:before="120" w:after="40"/>
        <w:jc w:val="center"/>
      </w:pPr>
      <m:oMathPara>
        <m:oMathParaPr>
          <m:jc m:val="center"/>
        </m:oMathParaPr>
        <m:oMath>
          <m:r>
            <m:rPr>
              <m:sty m:val="p"/>
            </m:rPr>
            <m:t>MCSE</m:t>
          </m:r>
          <m:d>
            <m:dPr>
              <m:begChr m:val="("/>
              <m:endChr m:val=")"/>
              <m:sepChr m:val=""/>
              <m:grow/>
            </m:dPr>
            <m:e>
              <m:bar>
                <m:barPr>
                  <m:pos m:val="top"/>
                </m:barPr>
                <m:e>
                  <m:r>
                    <m:t>z</m:t>
                  </m:r>
                </m:e>
              </m:bar>
            </m:e>
          </m:d>
          <m:r>
            <m:rPr>
              <m:sty m:val="p"/>
            </m:rPr>
            <m:t>=</m:t>
          </m:r>
          <m:f>
            <m:fPr>
              <m:type m:val="bar"/>
            </m:fPr>
            <m:num>
              <m:sSub>
                <m:e>
                  <m:r>
                    <m:t>s</m:t>
                  </m:r>
                </m:e>
                <m:sub>
                  <m:r>
                    <m:t>z</m:t>
                  </m:r>
                </m:sub>
              </m:sSub>
            </m:num>
            <m:den>
              <m:rad>
                <m:radPr>
                  <m:degHide m:val="on"/>
                </m:radPr>
                <m:deg/>
                <m:e>
                  <m:sSub>
                    <m:e>
                      <m:r>
                        <m:t>n</m:t>
                      </m:r>
                    </m:e>
                    <m:sub>
                      <m:r>
                        <m:rPr>
                          <m:sty m:val="p"/>
                        </m:rPr>
                        <m:t>s</m:t>
                      </m:r>
                      <m:r>
                        <m:rPr>
                          <m:sty m:val="p"/>
                        </m:rPr>
                        <m:t>i</m:t>
                      </m:r>
                      <m:r>
                        <m:rPr>
                          <m:sty m:val="p"/>
                        </m:rPr>
                        <m:t>m</m:t>
                      </m:r>
                    </m:sub>
                  </m:sSub>
                </m:e>
              </m:rad>
            </m:den>
          </m:f>
          <m:r>
            <m:rPr>
              <m:sty m:val="p"/>
            </m:rPr>
            <m:t>.</m:t>
          </m:r>
        </m:oMath>
      </m:oMathPara>
    </w:p>
    <w:p>
      <w:bookmarkStart w:id="590" w:name="equation28"/>
      <w:pPr>
        <w:pStyle w:val="EquationCaption"/>
      </w:pPr>
      <w:r>
        <w:t xml:space="preserve">Equation 28. Monte Carlo standard error of a mean.</w:t>
      </w:r>
      <w:bookmarkEnd w:id="590"/>
    </w:p>
    <w:p>
      <w:pPr>
        <w:pStyle w:val="BodyText"/>
        <w:keepNext/>
        <w:spacing w:before="120" w:after="40"/>
        <w:jc w:val="center"/>
      </w:pPr>
      <m:oMathPara>
        <m:oMathParaPr>
          <m:jc m:val="center"/>
        </m:oMathParaPr>
        <m:oMath>
          <m:m>
            <m:mPr>
              <m:baseJc m:val="center"/>
              <m:plcHide m:val="on"/>
              <m:mcs>
                <m:mc>
                  <m:mcPr>
                    <m:mcJc m:val="center"/>
                    <m:count m:val="1"/>
                  </m:mcPr>
                </m:mc>
              </m:mcs>
            </m:mPr>
            <m:mr>
              <m:e>
                <m:bar>
                  <m:barPr>
                    <m:pos m:val="top"/>
                  </m:barPr>
                  <m:e>
                    <m:r>
                      <m:t>Δ</m:t>
                    </m:r>
                  </m:e>
                </m:bar>
                <m:r>
                  <m:rPr>
                    <m:sty m:val="p"/>
                  </m:rPr>
                  <m:t>=</m:t>
                </m:r>
                <m:f>
                  <m:fPr>
                    <m:type m:val="bar"/>
                  </m:fPr>
                  <m:num>
                    <m:r>
                      <m:t>1</m:t>
                    </m:r>
                  </m:num>
                  <m:den>
                    <m:sSub>
                      <m:e>
                        <m:r>
                          <m:t>n</m:t>
                        </m:r>
                      </m:e>
                      <m:sub>
                        <m:r>
                          <m:rPr>
                            <m:sty m:val="p"/>
                          </m:rPr>
                          <m:t>s</m:t>
                        </m:r>
                        <m:r>
                          <m:rPr>
                            <m:sty m:val="p"/>
                          </m:rPr>
                          <m:t>i</m:t>
                        </m:r>
                        <m:r>
                          <m:rPr>
                            <m:sty m:val="p"/>
                          </m:rPr>
                          <m:t>m</m:t>
                        </m:r>
                      </m:sub>
                    </m:sSub>
                  </m:den>
                </m:f>
                <m:nary>
                  <m:naryPr>
                    <m:chr m:val="∑"/>
                    <m:limLoc m:val="undOvr"/>
                    <m:subHide m:val="off"/>
                    <m:supHide m:val="off"/>
                  </m:naryPr>
                  <m:sub>
                    <m:r>
                      <m:t>ν</m:t>
                    </m:r>
                    <m:r>
                      <m:rPr>
                        <m:sty m:val="p"/>
                      </m:rPr>
                      <m:t>=</m:t>
                    </m:r>
                    <m:r>
                      <m:t>1</m:t>
                    </m:r>
                  </m:sub>
                  <m:sup>
                    <m:sSub>
                      <m:e>
                        <m:r>
                          <m:t>n</m:t>
                        </m:r>
                      </m:e>
                      <m:sub>
                        <m:r>
                          <m:rPr>
                            <m:sty m:val="p"/>
                          </m:rPr>
                          <m:t>s</m:t>
                        </m:r>
                        <m:r>
                          <m:rPr>
                            <m:sty m:val="p"/>
                          </m:rPr>
                          <m:t>i</m:t>
                        </m:r>
                        <m:r>
                          <m:rPr>
                            <m:sty m:val="p"/>
                          </m:rPr>
                          <m:t>m</m:t>
                        </m:r>
                      </m:sub>
                    </m:sSub>
                  </m:sup>
                  <m:e>
                    <m:sSub>
                      <m:e>
                        <m:r>
                          <m:t>Δ</m:t>
                        </m:r>
                      </m:e>
                      <m:sub>
                        <m:r>
                          <m:t>ν</m:t>
                        </m:r>
                      </m:sub>
                    </m:sSub>
                  </m:e>
                </m:nary>
                <m:r>
                  <m:rPr>
                    <m:sty m:val="p"/>
                  </m:rPr>
                  <m:t>,</m:t>
                </m:r>
              </m:e>
            </m:mr>
            <m:mr>
              <m:e>
                <m:r>
                  <m:rPr>
                    <m:sty m:val="p"/>
                  </m:rPr>
                  <m:t>MCSE</m:t>
                </m:r>
                <m:d>
                  <m:dPr>
                    <m:begChr m:val="("/>
                    <m:endChr m:val=")"/>
                    <m:sepChr m:val=""/>
                    <m:grow/>
                  </m:dPr>
                  <m:e>
                    <m:bar>
                      <m:barPr>
                        <m:pos m:val="top"/>
                      </m:barPr>
                      <m:e>
                        <m:r>
                          <m:t>Δ</m:t>
                        </m:r>
                      </m:e>
                    </m:bar>
                  </m:e>
                </m:d>
                <m:r>
                  <m:rPr>
                    <m:sty m:val="p"/>
                  </m:rPr>
                  <m:t>=</m:t>
                </m:r>
                <m:rad>
                  <m:radPr>
                    <m:degHide m:val="on"/>
                  </m:radPr>
                  <m:deg/>
                  <m:e>
                    <m:f>
                      <m:fPr>
                        <m:type m:val="bar"/>
                      </m:fPr>
                      <m:num>
                        <m:nary>
                          <m:naryPr>
                            <m:chr m:val="∑"/>
                            <m:limLoc m:val="undOvr"/>
                            <m:subHide m:val="off"/>
                            <m:supHide m:val="off"/>
                          </m:naryPr>
                          <m:sub>
                            <m:r>
                              <m:t>ν</m:t>
                            </m:r>
                            <m:r>
                              <m:rPr>
                                <m:sty m:val="p"/>
                              </m:rPr>
                              <m:t>=</m:t>
                            </m:r>
                            <m:r>
                              <m:t>1</m:t>
                            </m:r>
                          </m:sub>
                          <m:sup>
                            <m:sSub>
                              <m:e>
                                <m:r>
                                  <m:t>n</m:t>
                                </m:r>
                              </m:e>
                              <m:sub>
                                <m:r>
                                  <m:rPr>
                                    <m:sty m:val="p"/>
                                  </m:rPr>
                                  <m:t>s</m:t>
                                </m:r>
                                <m:r>
                                  <m:rPr>
                                    <m:sty m:val="p"/>
                                  </m:rPr>
                                  <m:t>i</m:t>
                                </m:r>
                                <m:r>
                                  <m:rPr>
                                    <m:sty m:val="p"/>
                                  </m:rPr>
                                  <m:t>m</m:t>
                                </m:r>
                              </m:sub>
                            </m:sSub>
                          </m:sup>
                          <m:e>
                            <m:sSup>
                              <m:e>
                                <m:d>
                                  <m:dPr>
                                    <m:begChr m:val="("/>
                                    <m:endChr m:val=")"/>
                                    <m:sepChr m:val=""/>
                                    <m:grow/>
                                  </m:dPr>
                                  <m:e>
                                    <m:sSub>
                                      <m:e>
                                        <m:r>
                                          <m:t>Δ</m:t>
                                        </m:r>
                                      </m:e>
                                      <m:sub>
                                        <m:r>
                                          <m:t>ν</m:t>
                                        </m:r>
                                      </m:sub>
                                    </m:sSub>
                                    <m:r>
                                      <m:rPr>
                                        <m:sty m:val="p"/>
                                      </m:rPr>
                                      <m:t>−</m:t>
                                    </m:r>
                                    <m:bar>
                                      <m:barPr>
                                        <m:pos m:val="top"/>
                                      </m:barPr>
                                      <m:e>
                                        <m:r>
                                          <m:t>Δ</m:t>
                                        </m:r>
                                      </m:e>
                                    </m:bar>
                                  </m:e>
                                </m:d>
                              </m:e>
                              <m:sup>
                                <m:r>
                                  <m:t>2</m:t>
                                </m:r>
                              </m:sup>
                            </m:sSup>
                          </m:e>
                        </m:nary>
                      </m:num>
                      <m:den>
                        <m:sSub>
                          <m:e>
                            <m:r>
                              <m:t>n</m:t>
                            </m:r>
                          </m:e>
                          <m:sub>
                            <m:r>
                              <m:rPr>
                                <m:sty m:val="p"/>
                              </m:rPr>
                              <m:t>s</m:t>
                            </m:r>
                            <m:r>
                              <m:rPr>
                                <m:sty m:val="p"/>
                              </m:rPr>
                              <m:t>i</m:t>
                            </m:r>
                            <m:r>
                              <m:rPr>
                                <m:sty m:val="p"/>
                              </m:rPr>
                              <m:t>m</m:t>
                            </m:r>
                          </m:sub>
                        </m:sSub>
                        <m:d>
                          <m:dPr>
                            <m:begChr m:val="("/>
                            <m:endChr m:val=")"/>
                            <m:sepChr m:val=""/>
                            <m:grow/>
                          </m:dPr>
                          <m:e>
                            <m:sSub>
                              <m:e>
                                <m:r>
                                  <m:t>n</m:t>
                                </m:r>
                              </m:e>
                              <m:sub>
                                <m:r>
                                  <m:rPr>
                                    <m:sty m:val="p"/>
                                  </m:rPr>
                                  <m:t>s</m:t>
                                </m:r>
                                <m:r>
                                  <m:rPr>
                                    <m:sty m:val="p"/>
                                  </m:rPr>
                                  <m:t>i</m:t>
                                </m:r>
                                <m:r>
                                  <m:rPr>
                                    <m:sty m:val="p"/>
                                  </m:rPr>
                                  <m:t>m</m:t>
                                </m:r>
                              </m:sub>
                            </m:sSub>
                            <m:r>
                              <m:rPr>
                                <m:sty m:val="p"/>
                              </m:rPr>
                              <m:t>−</m:t>
                            </m:r>
                            <m:r>
                              <m:t>1</m:t>
                            </m:r>
                          </m:e>
                        </m:d>
                      </m:den>
                    </m:f>
                  </m:e>
                </m:rad>
                <m:r>
                  <m:rPr>
                    <m:sty m:val="p"/>
                  </m:rPr>
                  <m:t>.</m:t>
                </m:r>
              </m:e>
            </m:mr>
          </m:m>
        </m:oMath>
      </m:oMathPara>
    </w:p>
    <w:p>
      <w:bookmarkStart w:id="591" w:name="equation29"/>
      <w:pPr>
        <w:pStyle w:val="EquationCaption"/>
      </w:pPr>
      <w:r>
        <w:t xml:space="preserve">Equation 29. Mean paired contrast and its Monte Carlo standard error.</w:t>
      </w:r>
      <w:bookmarkEnd w:id="591"/>
    </w:p>
    <w:p>
      <w:pPr>
        <w:pStyle w:val="BodyText"/>
      </w:pPr>
      <w:r>
        <w:t xml:space="preserve">The</w:t>
      </w:r>
      <w:r>
        <w:t xml:space="preserve"> </w:t>
      </w:r>
      <m:oMath>
        <m:sSub>
          <m:e>
            <m:r>
              <m:t>n</m:t>
            </m:r>
          </m:e>
          <m:sub>
            <m:r>
              <m:rPr>
                <m:sty m:val="p"/>
              </m:rPr>
              <m:t>s</m:t>
            </m:r>
            <m:r>
              <m:rPr>
                <m:sty m:val="p"/>
              </m:rPr>
              <m:t>i</m:t>
            </m:r>
            <m:r>
              <m:rPr>
                <m:sty m:val="p"/>
              </m:rPr>
              <m:t>m</m:t>
            </m:r>
          </m:sub>
        </m:sSub>
        <m:r>
          <m:rPr>
            <m:sty m:val="p"/>
          </m:rPr>
          <m:t>−</m:t>
        </m:r>
        <m:r>
          <m:t>1</m:t>
        </m:r>
      </m:oMath>
      <w:r>
        <w:t xml:space="preserve"> </w:t>
      </w:r>
      <w:r>
        <w:t xml:space="preserve">variance denominator explains the finite-sample factor in Equation (27). The spread of individual estimates is different from the MCSE of their mean. Neither is an empirical confidence interval for an SPX density. Paired differences use within-repetition contrasts before estimating their standard error.</w:t>
      </w:r>
    </w:p>
    <w:bookmarkEnd w:id="102"/>
    <w:bookmarkStart w:id="109" w:name="Xa95d26d703955ca674afb51390239513f6b1c91"/>
    <w:p>
      <w:bookmarkStart w:id="592" w:name="h24"/>
      <w:pPr>
        <w:pStyle w:val="Heading2"/>
        <w:numPr>
          <w:ilvl w:val="1"/>
          <w:numId w:val="70"/>
        </w:numPr>
      </w:pPr>
      <w:bookmarkEnd w:id="592"/>
      <w:r>
        <w:t>Results across repeated quote realisations</w:t>
      </w:r>
    </w:p>
    <w:p>
      <w:pPr>
        <w:pStyle w:val="FirstParagraph"/>
      </w:pPr>
      <w:r>
        <w:t xml:space="preserve">Table 15 reports the complete repeated comparison, with one MCSE alongside each mean. Figure 19 separates price and density performance so that a favourable value of one does not conceal a poor value of the other.</w:t>
      </w:r>
    </w:p>
    <w:p>
      <w:pPr>
        <w:sectPr>
          <w:type w:val="nextPage"/>
          <w:pgSz w:w="11906" w:h="16838" w:orient="portrait"/>
          <w:pgMar w:top="1008" w:bottom="1008" w:left="1152" w:right="1152" w:header="432" w:footer="432" w:gutter="0"/>
          <w:pgNumType w:fmt="decimal"/>
        </w:sectPr>
        <w:spacing w:before="0" w:after="0" w:line="1" w:lineRule="exact"/>
      </w:pPr>
      <w:r>
        <w:rPr>
          <w:sz w:val="2"/>
        </w:rPr>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152"/>
        <w:gridCol w:w="3152"/>
        <w:gridCol w:w="2866"/>
        <w:gridCol w:w="2579"/>
        <w:gridCol w:w="2579"/>
      </w:tblGrid>
      <w:tr>
        <w:trPr>
          <w:tblHeader w:val="true"/>
          <w:cantSplit/>
          <w:tblHeader/>
        </w:trPr>
        <w:tc>
          <w:tcPr>
            <w:tcW w:type="dxa" w:w="3152"/>
            <w:vAlign w:val="center"/>
            <w:shd w:fill="E9EEF3"/>
          </w:tcPr>
          <w:p>
            <w:pPr>
              <w:pStyle w:val="Compact"/>
              <w:keepNext/>
              <w:keepLines/>
              <w:spacing w:after="40" w:before="40" w:line="252" w:lineRule="auto"/>
              <w:jc w:val="left"/>
            </w:pPr>
            <w:r>
              <w:rPr>
                <w:b/>
                <w:sz w:val="20"/>
              </w:rPr>
              <w:t xml:space="preserve">Benchmark</w:t>
            </w:r>
          </w:p>
        </w:tc>
        <w:tc>
          <w:tcPr>
            <w:tcW w:type="dxa" w:w="3152"/>
            <w:vAlign w:val="center"/>
            <w:shd w:fill="E9EEF3"/>
          </w:tcPr>
          <w:p>
            <w:pPr>
              <w:pStyle w:val="Compact"/>
              <w:keepNext/>
              <w:keepLines/>
              <w:spacing w:after="40" w:before="40" w:line="252" w:lineRule="auto"/>
              <w:jc w:val="right"/>
            </w:pPr>
            <w:r>
              <w:rPr>
                <w:b/>
                <w:sz w:val="20"/>
              </w:rPr>
              <w:t xml:space="preserve">Error limit a (points)</w:t>
            </w:r>
          </w:p>
        </w:tc>
        <w:tc>
          <w:tcPr>
            <w:tcW w:type="dxa" w:w="2866"/>
            <w:vAlign w:val="center"/>
            <w:shd w:fill="E9EEF3"/>
          </w:tcPr>
          <w:p>
            <w:pPr>
              <w:pStyle w:val="Compact"/>
              <w:keepNext/>
              <w:keepLines/>
              <w:spacing w:after="40" w:before="40" w:line="252" w:lineRule="auto"/>
              <w:jc w:val="left"/>
            </w:pPr>
            <w:r>
              <w:rPr>
                <w:b/>
                <w:sz w:val="20"/>
              </w:rPr>
              <w:t xml:space="preserve">Quote pattern</w:t>
            </w:r>
          </w:p>
        </w:tc>
        <w:tc>
          <w:tcPr>
            <w:tcW w:type="dxa" w:w="2579"/>
            <w:vAlign w:val="center"/>
            <w:shd w:fill="E9EEF3"/>
          </w:tcPr>
          <w:p>
            <w:pPr>
              <w:pStyle w:val="Compact"/>
              <w:keepNext/>
              <w:keepLines/>
              <w:spacing w:after="40" w:before="40" w:line="252" w:lineRule="auto"/>
              <w:jc w:val="right"/>
            </w:pPr>
            <w:r>
              <w:rPr>
                <w:b/>
                <w:sz w:val="20"/>
              </w:rPr>
              <w:t xml:space="preserve">Mean density L1 (MCSE)</w:t>
            </w:r>
          </w:p>
        </w:tc>
        <w:tc>
          <w:tcPr>
            <w:tcW w:type="dxa" w:w="2579"/>
            <w:vAlign w:val="center"/>
            <w:shd w:fill="E9EEF3"/>
          </w:tcPr>
          <w:p>
            <w:pPr>
              <w:pStyle w:val="Compact"/>
              <w:keepNext/>
              <w:keepLines/>
              <w:spacing w:after="40" w:before="40" w:line="252" w:lineRule="auto"/>
              <w:jc w:val="right"/>
            </w:pPr>
            <w:r>
              <w:rPr>
                <w:b/>
                <w:sz w:val="20"/>
              </w:rPr>
              <w:t xml:space="preserve">Mean price RMSE (MCSE)</w:t>
            </w:r>
          </w:p>
        </w:tc>
      </w:tr>
      <w:tr>
        <w:trPr>
          <w:cantSplit/>
        </w:trPr>
        <w:tc>
          <w:tcPr>
            <w:tcW w:type="dxa" w:w="3152"/>
            <w:vAlign w:val="center"/>
          </w:tcPr>
          <w:p>
            <w:pPr>
              <w:pStyle w:val="Compact"/>
              <w:keepNext w:val="0"/>
              <w:keepLines/>
              <w:spacing w:after="40" w:before="40" w:line="252" w:lineRule="auto"/>
              <w:jc w:val="left"/>
            </w:pPr>
            <w:r>
              <w:rPr>
                <w:b w:val="0"/>
                <w:sz w:val="20"/>
              </w:rPr>
              <w:t xml:space="preserve">Single lognormal</w:t>
            </w:r>
          </w:p>
        </w:tc>
        <w:tc>
          <w:tcPr>
            <w:tcW w:type="dxa" w:w="3152"/>
            <w:vAlign w:val="center"/>
          </w:tcPr>
          <w:p>
            <w:pPr>
              <w:pStyle w:val="Compact"/>
              <w:keepNext w:val="0"/>
              <w:keepLines/>
              <w:spacing w:after="40" w:before="40" w:line="252" w:lineRule="auto"/>
              <w:jc w:val="right"/>
            </w:pPr>
            <w:r>
              <w:rPr>
                <w:b w:val="0"/>
                <w:sz w:val="20"/>
              </w:rPr>
              <w:t xml:space="preserve">0.1</w:t>
            </w:r>
          </w:p>
        </w:tc>
        <w:tc>
          <w:tcPr>
            <w:tcW w:type="dxa" w:w="2866"/>
            <w:vAlign w:val="center"/>
          </w:tcPr>
          <w:p>
            <w:pPr>
              <w:pStyle w:val="Compact"/>
              <w:keepNext w:val="0"/>
              <w:keepLines/>
              <w:spacing w:after="40" w:before="40" w:line="252" w:lineRule="auto"/>
              <w:jc w:val="left"/>
            </w:pPr>
            <w:r>
              <w:rPr>
                <w:b w:val="0"/>
                <w:sz w:val="20"/>
              </w:rPr>
              <w:t xml:space="preserve">Original 81</w:t>
            </w:r>
          </w:p>
        </w:tc>
        <w:tc>
          <w:tcPr>
            <w:tcW w:type="dxa" w:w="2579"/>
            <w:vAlign w:val="center"/>
          </w:tcPr>
          <w:p>
            <w:pPr>
              <w:pStyle w:val="Compact"/>
              <w:keepNext w:val="0"/>
              <w:keepLines/>
              <w:spacing w:after="40" w:before="40" w:line="252" w:lineRule="auto"/>
              <w:jc w:val="right"/>
            </w:pPr>
            <w:r>
              <w:rPr>
                <w:b w:val="0"/>
                <w:sz w:val="20"/>
              </w:rPr>
              <w:t xml:space="preserve">0.0307 (4.2e-05)</w:t>
            </w:r>
          </w:p>
        </w:tc>
        <w:tc>
          <w:tcPr>
            <w:tcW w:type="dxa" w:w="2579"/>
            <w:vAlign w:val="center"/>
          </w:tcPr>
          <w:p>
            <w:pPr>
              <w:pStyle w:val="Compact"/>
              <w:keepNext w:val="0"/>
              <w:keepLines/>
              <w:spacing w:after="40" w:before="40" w:line="252" w:lineRule="auto"/>
              <w:jc w:val="right"/>
            </w:pPr>
            <w:r>
              <w:rPr>
                <w:b w:val="0"/>
                <w:sz w:val="20"/>
              </w:rPr>
              <w:t xml:space="preserve">0.1146 (0.0036)</w:t>
            </w:r>
          </w:p>
        </w:tc>
      </w:tr>
      <w:tr>
        <w:trPr>
          <w:cantSplit/>
        </w:trPr>
        <w:tc>
          <w:tcPr>
            <w:tcW w:type="dxa" w:w="3152"/>
            <w:vAlign w:val="center"/>
          </w:tcPr>
          <w:p>
            <w:pPr>
              <w:pStyle w:val="Compact"/>
              <w:keepNext w:val="0"/>
              <w:keepLines/>
              <w:spacing w:after="40" w:before="40" w:line="252" w:lineRule="auto"/>
              <w:jc w:val="left"/>
            </w:pPr>
            <w:r>
              <w:rPr>
                <w:b w:val="0"/>
                <w:sz w:val="20"/>
              </w:rPr>
              <w:t xml:space="preserve">Single lognormal</w:t>
            </w:r>
          </w:p>
        </w:tc>
        <w:tc>
          <w:tcPr>
            <w:tcW w:type="dxa" w:w="3152"/>
            <w:vAlign w:val="center"/>
          </w:tcPr>
          <w:p>
            <w:pPr>
              <w:pStyle w:val="Compact"/>
              <w:keepNext w:val="0"/>
              <w:keepLines/>
              <w:spacing w:after="40" w:before="40" w:line="252" w:lineRule="auto"/>
              <w:jc w:val="right"/>
            </w:pPr>
            <w:r>
              <w:rPr>
                <w:b w:val="0"/>
                <w:sz w:val="20"/>
              </w:rPr>
              <w:t xml:space="preserve">0.1</w:t>
            </w:r>
          </w:p>
        </w:tc>
        <w:tc>
          <w:tcPr>
            <w:tcW w:type="dxa" w:w="2866"/>
            <w:vAlign w:val="center"/>
          </w:tcPr>
          <w:p>
            <w:pPr>
              <w:pStyle w:val="Compact"/>
              <w:keepNext w:val="0"/>
              <w:keepLines/>
              <w:spacing w:after="40" w:before="40" w:line="252" w:lineRule="auto"/>
              <w:jc w:val="left"/>
            </w:pPr>
            <w:r>
              <w:rPr>
                <w:b w:val="0"/>
                <w:sz w:val="20"/>
              </w:rPr>
              <w:t xml:space="preserve">Sparse 41</w:t>
            </w:r>
          </w:p>
        </w:tc>
        <w:tc>
          <w:tcPr>
            <w:tcW w:type="dxa" w:w="2579"/>
            <w:vAlign w:val="center"/>
          </w:tcPr>
          <w:p>
            <w:pPr>
              <w:pStyle w:val="Compact"/>
              <w:keepNext w:val="0"/>
              <w:keepLines/>
              <w:spacing w:after="40" w:before="40" w:line="252" w:lineRule="auto"/>
              <w:jc w:val="right"/>
            </w:pPr>
            <w:r>
              <w:rPr>
                <w:b w:val="0"/>
                <w:sz w:val="20"/>
              </w:rPr>
              <w:t xml:space="preserve">0.0311 (4.6e-05)</w:t>
            </w:r>
          </w:p>
        </w:tc>
        <w:tc>
          <w:tcPr>
            <w:tcW w:type="dxa" w:w="2579"/>
            <w:vAlign w:val="center"/>
          </w:tcPr>
          <w:p>
            <w:pPr>
              <w:pStyle w:val="Compact"/>
              <w:keepNext w:val="0"/>
              <w:keepLines/>
              <w:spacing w:after="40" w:before="40" w:line="252" w:lineRule="auto"/>
              <w:jc w:val="right"/>
            </w:pPr>
            <w:r>
              <w:rPr>
                <w:b w:val="0"/>
                <w:sz w:val="20"/>
              </w:rPr>
              <w:t xml:space="preserve">0.1238 (0.0041)</w:t>
            </w:r>
          </w:p>
        </w:tc>
      </w:tr>
      <w:tr>
        <w:trPr>
          <w:cantSplit/>
        </w:trPr>
        <w:tc>
          <w:tcPr>
            <w:tcW w:type="dxa" w:w="3152"/>
            <w:vAlign w:val="center"/>
          </w:tcPr>
          <w:p>
            <w:pPr>
              <w:pStyle w:val="Compact"/>
              <w:keepNext w:val="0"/>
              <w:keepLines/>
              <w:spacing w:after="40" w:before="40" w:line="252" w:lineRule="auto"/>
              <w:jc w:val="left"/>
            </w:pPr>
            <w:r>
              <w:rPr>
                <w:b w:val="0"/>
                <w:sz w:val="20"/>
              </w:rPr>
              <w:t xml:space="preserve">Single lognormal</w:t>
            </w:r>
          </w:p>
        </w:tc>
        <w:tc>
          <w:tcPr>
            <w:tcW w:type="dxa" w:w="3152"/>
            <w:vAlign w:val="center"/>
          </w:tcPr>
          <w:p>
            <w:pPr>
              <w:pStyle w:val="Compact"/>
              <w:keepNext w:val="0"/>
              <w:keepLines/>
              <w:spacing w:after="40" w:before="40" w:line="252" w:lineRule="auto"/>
              <w:jc w:val="right"/>
            </w:pPr>
            <w:r>
              <w:rPr>
                <w:b w:val="0"/>
                <w:sz w:val="20"/>
              </w:rPr>
              <w:t xml:space="preserve">0.1</w:t>
            </w:r>
          </w:p>
        </w:tc>
        <w:tc>
          <w:tcPr>
            <w:tcW w:type="dxa" w:w="2866"/>
            <w:vAlign w:val="center"/>
          </w:tcPr>
          <w:p>
            <w:pPr>
              <w:pStyle w:val="Compact"/>
              <w:keepNext w:val="0"/>
              <w:keepLines/>
              <w:spacing w:after="40" w:before="40" w:line="252" w:lineRule="auto"/>
              <w:jc w:val="left"/>
            </w:pPr>
            <w:r>
              <w:rPr>
                <w:b w:val="0"/>
                <w:sz w:val="20"/>
              </w:rPr>
              <w:t xml:space="preserve">Central 41</w:t>
            </w:r>
          </w:p>
        </w:tc>
        <w:tc>
          <w:tcPr>
            <w:tcW w:type="dxa" w:w="2579"/>
            <w:vAlign w:val="center"/>
          </w:tcPr>
          <w:p>
            <w:pPr>
              <w:pStyle w:val="Compact"/>
              <w:keepNext w:val="0"/>
              <w:keepLines/>
              <w:spacing w:after="40" w:before="40" w:line="252" w:lineRule="auto"/>
              <w:jc w:val="right"/>
            </w:pPr>
            <w:r>
              <w:rPr>
                <w:b w:val="0"/>
                <w:sz w:val="20"/>
              </w:rPr>
              <w:t xml:space="preserve">0.0364 (0.0001)</w:t>
            </w:r>
          </w:p>
        </w:tc>
        <w:tc>
          <w:tcPr>
            <w:tcW w:type="dxa" w:w="2579"/>
            <w:vAlign w:val="center"/>
          </w:tcPr>
          <w:p>
            <w:pPr>
              <w:pStyle w:val="Compact"/>
              <w:keepNext w:val="0"/>
              <w:keepLines/>
              <w:spacing w:after="40" w:before="40" w:line="252" w:lineRule="auto"/>
              <w:jc w:val="right"/>
            </w:pPr>
            <w:r>
              <w:rPr>
                <w:b w:val="0"/>
                <w:sz w:val="20"/>
              </w:rPr>
              <w:t xml:space="preserve">1.0844 (0.0150)</w:t>
            </w:r>
          </w:p>
        </w:tc>
      </w:tr>
      <w:tr>
        <w:trPr>
          <w:cantSplit/>
        </w:trPr>
        <w:tc>
          <w:tcPr>
            <w:tcW w:type="dxa" w:w="3152"/>
            <w:vAlign w:val="center"/>
          </w:tcPr>
          <w:p>
            <w:pPr>
              <w:pStyle w:val="Compact"/>
              <w:keepNext w:val="0"/>
              <w:keepLines/>
              <w:spacing w:after="40" w:before="40" w:line="252" w:lineRule="auto"/>
              <w:jc w:val="left"/>
            </w:pPr>
            <w:r>
              <w:rPr>
                <w:b w:val="0"/>
                <w:sz w:val="20"/>
              </w:rPr>
              <w:t xml:space="preserve">Single lognormal</w:t>
            </w:r>
          </w:p>
        </w:tc>
        <w:tc>
          <w:tcPr>
            <w:tcW w:type="dxa" w:w="3152"/>
            <w:vAlign w:val="center"/>
          </w:tcPr>
          <w:p>
            <w:pPr>
              <w:pStyle w:val="Compact"/>
              <w:keepNext w:val="0"/>
              <w:keepLines/>
              <w:spacing w:after="40" w:before="40" w:line="252" w:lineRule="auto"/>
              <w:jc w:val="right"/>
            </w:pPr>
            <w:r>
              <w:rPr>
                <w:b w:val="0"/>
                <w:sz w:val="20"/>
              </w:rPr>
              <w:t xml:space="preserve">0.1</w:t>
            </w:r>
          </w:p>
        </w:tc>
        <w:tc>
          <w:tcPr>
            <w:tcW w:type="dxa" w:w="2866"/>
            <w:vAlign w:val="center"/>
          </w:tcPr>
          <w:p>
            <w:pPr>
              <w:pStyle w:val="Compact"/>
              <w:keepNext w:val="0"/>
              <w:keepLines/>
              <w:spacing w:after="40" w:before="40" w:line="252" w:lineRule="auto"/>
              <w:jc w:val="left"/>
            </w:pPr>
            <w:r>
              <w:rPr>
                <w:b w:val="0"/>
                <w:sz w:val="20"/>
              </w:rPr>
              <w:t xml:space="preserve">Extended 121</w:t>
            </w:r>
          </w:p>
        </w:tc>
        <w:tc>
          <w:tcPr>
            <w:tcW w:type="dxa" w:w="2579"/>
            <w:vAlign w:val="center"/>
          </w:tcPr>
          <w:p>
            <w:pPr>
              <w:pStyle w:val="Compact"/>
              <w:keepNext w:val="0"/>
              <w:keepLines/>
              <w:spacing w:after="40" w:before="40" w:line="252" w:lineRule="auto"/>
              <w:jc w:val="right"/>
            </w:pPr>
            <w:r>
              <w:rPr>
                <w:b w:val="0"/>
                <w:sz w:val="20"/>
              </w:rPr>
              <w:t xml:space="preserve">0.0298 (1e-05)</w:t>
            </w:r>
          </w:p>
        </w:tc>
        <w:tc>
          <w:tcPr>
            <w:tcW w:type="dxa" w:w="2579"/>
            <w:vAlign w:val="center"/>
          </w:tcPr>
          <w:p>
            <w:pPr>
              <w:pStyle w:val="Compact"/>
              <w:keepNext w:val="0"/>
              <w:keepLines/>
              <w:spacing w:after="40" w:before="40" w:line="252" w:lineRule="auto"/>
              <w:jc w:val="right"/>
            </w:pPr>
            <w:r>
              <w:rPr>
                <w:b w:val="0"/>
                <w:sz w:val="20"/>
              </w:rPr>
              <w:t xml:space="preserve">0.0374 (0.0002)</w:t>
            </w:r>
          </w:p>
        </w:tc>
      </w:tr>
      <w:tr>
        <w:trPr>
          <w:cantSplit/>
        </w:trPr>
        <w:tc>
          <w:tcPr>
            <w:tcW w:type="dxa" w:w="3152"/>
            <w:vAlign w:val="center"/>
          </w:tcPr>
          <w:p>
            <w:pPr>
              <w:pStyle w:val="Compact"/>
              <w:keepNext w:val="0"/>
              <w:keepLines/>
              <w:spacing w:after="40" w:before="40" w:line="252" w:lineRule="auto"/>
              <w:jc w:val="left"/>
            </w:pPr>
            <w:r>
              <w:rPr>
                <w:b w:val="0"/>
                <w:sz w:val="20"/>
              </w:rPr>
              <w:t xml:space="preserve">Single lognormal</w:t>
            </w:r>
          </w:p>
        </w:tc>
        <w:tc>
          <w:tcPr>
            <w:tcW w:type="dxa" w:w="3152"/>
            <w:vAlign w:val="center"/>
          </w:tcPr>
          <w:p>
            <w:pPr>
              <w:pStyle w:val="Compact"/>
              <w:keepNext w:val="0"/>
              <w:keepLines/>
              <w:spacing w:after="40" w:before="40" w:line="252" w:lineRule="auto"/>
              <w:jc w:val="right"/>
            </w:pPr>
            <w:r>
              <w:rPr>
                <w:b w:val="0"/>
                <w:sz w:val="20"/>
              </w:rPr>
              <w:t xml:space="preserve">0.5</w:t>
            </w:r>
          </w:p>
        </w:tc>
        <w:tc>
          <w:tcPr>
            <w:tcW w:type="dxa" w:w="2866"/>
            <w:vAlign w:val="center"/>
          </w:tcPr>
          <w:p>
            <w:pPr>
              <w:pStyle w:val="Compact"/>
              <w:keepNext w:val="0"/>
              <w:keepLines/>
              <w:spacing w:after="40" w:before="40" w:line="252" w:lineRule="auto"/>
              <w:jc w:val="left"/>
            </w:pPr>
            <w:r>
              <w:rPr>
                <w:b w:val="0"/>
                <w:sz w:val="20"/>
              </w:rPr>
              <w:t xml:space="preserve">Original 81</w:t>
            </w:r>
          </w:p>
        </w:tc>
        <w:tc>
          <w:tcPr>
            <w:tcW w:type="dxa" w:w="2579"/>
            <w:vAlign w:val="center"/>
          </w:tcPr>
          <w:p>
            <w:pPr>
              <w:pStyle w:val="Compact"/>
              <w:keepNext w:val="0"/>
              <w:keepLines/>
              <w:spacing w:after="40" w:before="40" w:line="252" w:lineRule="auto"/>
              <w:jc w:val="right"/>
            </w:pPr>
            <w:r>
              <w:rPr>
                <w:b w:val="0"/>
                <w:sz w:val="20"/>
              </w:rPr>
              <w:t xml:space="preserve">0.0357 (0.0001)</w:t>
            </w:r>
          </w:p>
        </w:tc>
        <w:tc>
          <w:tcPr>
            <w:tcW w:type="dxa" w:w="2579"/>
            <w:vAlign w:val="center"/>
          </w:tcPr>
          <w:p>
            <w:pPr>
              <w:pStyle w:val="Compact"/>
              <w:keepNext w:val="0"/>
              <w:keepLines/>
              <w:spacing w:after="40" w:before="40" w:line="252" w:lineRule="auto"/>
              <w:jc w:val="right"/>
            </w:pPr>
            <w:r>
              <w:rPr>
                <w:b w:val="0"/>
                <w:sz w:val="20"/>
              </w:rPr>
              <w:t xml:space="preserve">0.2251 (0.0072)</w:t>
            </w:r>
          </w:p>
        </w:tc>
      </w:tr>
      <w:tr>
        <w:trPr>
          <w:cantSplit/>
        </w:trPr>
        <w:tc>
          <w:tcPr>
            <w:tcW w:type="dxa" w:w="3152"/>
            <w:vAlign w:val="center"/>
          </w:tcPr>
          <w:p>
            <w:pPr>
              <w:pStyle w:val="Compact"/>
              <w:keepNext w:val="0"/>
              <w:keepLines/>
              <w:spacing w:after="40" w:before="40" w:line="252" w:lineRule="auto"/>
              <w:jc w:val="left"/>
            </w:pPr>
            <w:r>
              <w:rPr>
                <w:b w:val="0"/>
                <w:sz w:val="20"/>
              </w:rPr>
              <w:t xml:space="preserve">Single lognormal</w:t>
            </w:r>
          </w:p>
        </w:tc>
        <w:tc>
          <w:tcPr>
            <w:tcW w:type="dxa" w:w="3152"/>
            <w:vAlign w:val="center"/>
          </w:tcPr>
          <w:p>
            <w:pPr>
              <w:pStyle w:val="Compact"/>
              <w:keepNext w:val="0"/>
              <w:keepLines/>
              <w:spacing w:after="40" w:before="40" w:line="252" w:lineRule="auto"/>
              <w:jc w:val="right"/>
            </w:pPr>
            <w:r>
              <w:rPr>
                <w:b w:val="0"/>
                <w:sz w:val="20"/>
              </w:rPr>
              <w:t xml:space="preserve">0.5</w:t>
            </w:r>
          </w:p>
        </w:tc>
        <w:tc>
          <w:tcPr>
            <w:tcW w:type="dxa" w:w="2866"/>
            <w:vAlign w:val="center"/>
          </w:tcPr>
          <w:p>
            <w:pPr>
              <w:pStyle w:val="Compact"/>
              <w:keepNext w:val="0"/>
              <w:keepLines/>
              <w:spacing w:after="40" w:before="40" w:line="252" w:lineRule="auto"/>
              <w:jc w:val="left"/>
            </w:pPr>
            <w:r>
              <w:rPr>
                <w:b w:val="0"/>
                <w:sz w:val="20"/>
              </w:rPr>
              <w:t xml:space="preserve">Sparse 41</w:t>
            </w:r>
          </w:p>
        </w:tc>
        <w:tc>
          <w:tcPr>
            <w:tcW w:type="dxa" w:w="2579"/>
            <w:vAlign w:val="center"/>
          </w:tcPr>
          <w:p>
            <w:pPr>
              <w:pStyle w:val="Compact"/>
              <w:keepNext w:val="0"/>
              <w:keepLines/>
              <w:spacing w:after="40" w:before="40" w:line="252" w:lineRule="auto"/>
              <w:jc w:val="right"/>
            </w:pPr>
            <w:r>
              <w:rPr>
                <w:b w:val="0"/>
                <w:sz w:val="20"/>
              </w:rPr>
              <w:t xml:space="preserve">0.0386 (0.0002)</w:t>
            </w:r>
          </w:p>
        </w:tc>
        <w:tc>
          <w:tcPr>
            <w:tcW w:type="dxa" w:w="2579"/>
            <w:vAlign w:val="center"/>
          </w:tcPr>
          <w:p>
            <w:pPr>
              <w:pStyle w:val="Compact"/>
              <w:keepNext w:val="0"/>
              <w:keepLines/>
              <w:spacing w:after="40" w:before="40" w:line="252" w:lineRule="auto"/>
              <w:jc w:val="right"/>
            </w:pPr>
            <w:r>
              <w:rPr>
                <w:b w:val="0"/>
                <w:sz w:val="20"/>
              </w:rPr>
              <w:t xml:space="preserve">0.2535 (0.0070)</w:t>
            </w:r>
          </w:p>
        </w:tc>
      </w:tr>
      <w:tr>
        <w:trPr>
          <w:cantSplit/>
        </w:trPr>
        <w:tc>
          <w:tcPr>
            <w:tcW w:type="dxa" w:w="3152"/>
            <w:vAlign w:val="center"/>
          </w:tcPr>
          <w:p>
            <w:pPr>
              <w:pStyle w:val="Compact"/>
              <w:keepNext w:val="0"/>
              <w:keepLines/>
              <w:spacing w:after="40" w:before="40" w:line="252" w:lineRule="auto"/>
              <w:jc w:val="left"/>
            </w:pPr>
            <w:r>
              <w:rPr>
                <w:b w:val="0"/>
                <w:sz w:val="20"/>
              </w:rPr>
              <w:t xml:space="preserve">Single lognormal</w:t>
            </w:r>
          </w:p>
        </w:tc>
        <w:tc>
          <w:tcPr>
            <w:tcW w:type="dxa" w:w="3152"/>
            <w:vAlign w:val="center"/>
          </w:tcPr>
          <w:p>
            <w:pPr>
              <w:pStyle w:val="Compact"/>
              <w:keepNext w:val="0"/>
              <w:keepLines/>
              <w:spacing w:after="40" w:before="40" w:line="252" w:lineRule="auto"/>
              <w:jc w:val="right"/>
            </w:pPr>
            <w:r>
              <w:rPr>
                <w:b w:val="0"/>
                <w:sz w:val="20"/>
              </w:rPr>
              <w:t xml:space="preserve">0.5</w:t>
            </w:r>
          </w:p>
        </w:tc>
        <w:tc>
          <w:tcPr>
            <w:tcW w:type="dxa" w:w="2866"/>
            <w:vAlign w:val="center"/>
          </w:tcPr>
          <w:p>
            <w:pPr>
              <w:pStyle w:val="Compact"/>
              <w:keepNext w:val="0"/>
              <w:keepLines/>
              <w:spacing w:after="40" w:before="40" w:line="252" w:lineRule="auto"/>
              <w:jc w:val="left"/>
            </w:pPr>
            <w:r>
              <w:rPr>
                <w:b w:val="0"/>
                <w:sz w:val="20"/>
              </w:rPr>
              <w:t xml:space="preserve">Central 41</w:t>
            </w:r>
          </w:p>
        </w:tc>
        <w:tc>
          <w:tcPr>
            <w:tcW w:type="dxa" w:w="2579"/>
            <w:vAlign w:val="center"/>
          </w:tcPr>
          <w:p>
            <w:pPr>
              <w:pStyle w:val="Compact"/>
              <w:keepNext w:val="0"/>
              <w:keepLines/>
              <w:spacing w:after="40" w:before="40" w:line="252" w:lineRule="auto"/>
              <w:jc w:val="right"/>
            </w:pPr>
            <w:r>
              <w:rPr>
                <w:b w:val="0"/>
                <w:sz w:val="20"/>
              </w:rPr>
              <w:t xml:space="preserve">0.0448 (0.0003)</w:t>
            </w:r>
          </w:p>
        </w:tc>
        <w:tc>
          <w:tcPr>
            <w:tcW w:type="dxa" w:w="2579"/>
            <w:vAlign w:val="center"/>
          </w:tcPr>
          <w:p>
            <w:pPr>
              <w:pStyle w:val="Compact"/>
              <w:keepNext w:val="0"/>
              <w:keepLines/>
              <w:spacing w:after="40" w:before="40" w:line="252" w:lineRule="auto"/>
              <w:jc w:val="right"/>
            </w:pPr>
            <w:r>
              <w:rPr>
                <w:b w:val="0"/>
                <w:sz w:val="20"/>
              </w:rPr>
              <w:t xml:space="preserve">1.7134 (0.0626)</w:t>
            </w:r>
          </w:p>
        </w:tc>
      </w:tr>
      <w:tr>
        <w:trPr>
          <w:cantSplit/>
        </w:trPr>
        <w:tc>
          <w:tcPr>
            <w:tcW w:type="dxa" w:w="3152"/>
            <w:vAlign w:val="center"/>
          </w:tcPr>
          <w:p>
            <w:pPr>
              <w:pStyle w:val="Compact"/>
              <w:keepNext w:val="0"/>
              <w:keepLines/>
              <w:spacing w:after="40" w:before="40" w:line="252" w:lineRule="auto"/>
              <w:jc w:val="left"/>
            </w:pPr>
            <w:r>
              <w:rPr>
                <w:b w:val="0"/>
                <w:sz w:val="20"/>
              </w:rPr>
              <w:t xml:space="preserve">Single lognormal</w:t>
            </w:r>
          </w:p>
        </w:tc>
        <w:tc>
          <w:tcPr>
            <w:tcW w:type="dxa" w:w="3152"/>
            <w:vAlign w:val="center"/>
          </w:tcPr>
          <w:p>
            <w:pPr>
              <w:pStyle w:val="Compact"/>
              <w:keepNext w:val="0"/>
              <w:keepLines/>
              <w:spacing w:after="40" w:before="40" w:line="252" w:lineRule="auto"/>
              <w:jc w:val="right"/>
            </w:pPr>
            <w:r>
              <w:rPr>
                <w:b w:val="0"/>
                <w:sz w:val="20"/>
              </w:rPr>
              <w:t xml:space="preserve">0.5</w:t>
            </w:r>
          </w:p>
        </w:tc>
        <w:tc>
          <w:tcPr>
            <w:tcW w:type="dxa" w:w="2866"/>
            <w:vAlign w:val="center"/>
          </w:tcPr>
          <w:p>
            <w:pPr>
              <w:pStyle w:val="Compact"/>
              <w:keepNext w:val="0"/>
              <w:keepLines/>
              <w:spacing w:after="40" w:before="40" w:line="252" w:lineRule="auto"/>
              <w:jc w:val="left"/>
            </w:pPr>
            <w:r>
              <w:rPr>
                <w:b w:val="0"/>
                <w:sz w:val="20"/>
              </w:rPr>
              <w:t xml:space="preserve">Extended 121</w:t>
            </w:r>
          </w:p>
        </w:tc>
        <w:tc>
          <w:tcPr>
            <w:tcW w:type="dxa" w:w="2579"/>
            <w:vAlign w:val="center"/>
          </w:tcPr>
          <w:p>
            <w:pPr>
              <w:pStyle w:val="Compact"/>
              <w:keepNext w:val="0"/>
              <w:keepLines/>
              <w:spacing w:after="40" w:before="40" w:line="252" w:lineRule="auto"/>
              <w:jc w:val="right"/>
            </w:pPr>
            <w:r>
              <w:rPr>
                <w:b w:val="0"/>
                <w:sz w:val="20"/>
              </w:rPr>
              <w:t xml:space="preserve">0.0335 (0.0001)</w:t>
            </w:r>
          </w:p>
        </w:tc>
        <w:tc>
          <w:tcPr>
            <w:tcW w:type="dxa" w:w="2579"/>
            <w:vAlign w:val="center"/>
          </w:tcPr>
          <w:p>
            <w:pPr>
              <w:pStyle w:val="Compact"/>
              <w:keepNext w:val="0"/>
              <w:keepLines/>
              <w:spacing w:after="40" w:before="40" w:line="252" w:lineRule="auto"/>
              <w:jc w:val="right"/>
            </w:pPr>
            <w:r>
              <w:rPr>
                <w:b w:val="0"/>
                <w:sz w:val="20"/>
              </w:rPr>
              <w:t xml:space="preserve">0.0931 (0.0008)</w:t>
            </w:r>
          </w:p>
        </w:tc>
      </w:tr>
      <w:tr>
        <w:trPr>
          <w:cantSplit/>
        </w:trPr>
        <w:tc>
          <w:tcPr>
            <w:tcW w:type="dxa" w:w="3152"/>
            <w:vAlign w:val="center"/>
          </w:tcPr>
          <w:p>
            <w:pPr>
              <w:pStyle w:val="Compact"/>
              <w:keepNext w:val="0"/>
              <w:keepLines/>
              <w:spacing w:after="40" w:before="40" w:line="252" w:lineRule="auto"/>
              <w:jc w:val="left"/>
            </w:pPr>
            <w:r>
              <w:rPr>
                <w:b w:val="0"/>
                <w:sz w:val="20"/>
              </w:rPr>
              <w:t xml:space="preserve">Two-lognormal mixture</w:t>
            </w:r>
          </w:p>
        </w:tc>
        <w:tc>
          <w:tcPr>
            <w:tcW w:type="dxa" w:w="3152"/>
            <w:vAlign w:val="center"/>
          </w:tcPr>
          <w:p>
            <w:pPr>
              <w:pStyle w:val="Compact"/>
              <w:keepNext w:val="0"/>
              <w:keepLines/>
              <w:spacing w:after="40" w:before="40" w:line="252" w:lineRule="auto"/>
              <w:jc w:val="right"/>
            </w:pPr>
            <w:r>
              <w:rPr>
                <w:b w:val="0"/>
                <w:sz w:val="20"/>
              </w:rPr>
              <w:t xml:space="preserve">0.1</w:t>
            </w:r>
          </w:p>
        </w:tc>
        <w:tc>
          <w:tcPr>
            <w:tcW w:type="dxa" w:w="2866"/>
            <w:vAlign w:val="center"/>
          </w:tcPr>
          <w:p>
            <w:pPr>
              <w:pStyle w:val="Compact"/>
              <w:keepNext w:val="0"/>
              <w:keepLines/>
              <w:spacing w:after="40" w:before="40" w:line="252" w:lineRule="auto"/>
              <w:jc w:val="left"/>
            </w:pPr>
            <w:r>
              <w:rPr>
                <w:b w:val="0"/>
                <w:sz w:val="20"/>
              </w:rPr>
              <w:t xml:space="preserve">Original 81</w:t>
            </w:r>
          </w:p>
        </w:tc>
        <w:tc>
          <w:tcPr>
            <w:tcW w:type="dxa" w:w="2579"/>
            <w:vAlign w:val="center"/>
          </w:tcPr>
          <w:p>
            <w:pPr>
              <w:pStyle w:val="Compact"/>
              <w:keepNext w:val="0"/>
              <w:keepLines/>
              <w:spacing w:after="40" w:before="40" w:line="252" w:lineRule="auto"/>
              <w:jc w:val="right"/>
            </w:pPr>
            <w:r>
              <w:rPr>
                <w:b w:val="0"/>
                <w:sz w:val="20"/>
              </w:rPr>
              <w:t xml:space="preserve">0.0470 (0.0001)</w:t>
            </w:r>
          </w:p>
        </w:tc>
        <w:tc>
          <w:tcPr>
            <w:tcW w:type="dxa" w:w="2579"/>
            <w:vAlign w:val="center"/>
          </w:tcPr>
          <w:p>
            <w:pPr>
              <w:pStyle w:val="Compact"/>
              <w:keepNext w:val="0"/>
              <w:keepLines/>
              <w:spacing w:after="40" w:before="40" w:line="252" w:lineRule="auto"/>
              <w:jc w:val="right"/>
            </w:pPr>
            <w:r>
              <w:rPr>
                <w:b w:val="0"/>
                <w:sz w:val="20"/>
              </w:rPr>
              <w:t xml:space="preserve">0.4459 (0.0114)</w:t>
            </w:r>
          </w:p>
        </w:tc>
      </w:tr>
      <w:tr>
        <w:trPr>
          <w:cantSplit/>
        </w:trPr>
        <w:tc>
          <w:tcPr>
            <w:tcW w:type="dxa" w:w="3152"/>
            <w:vAlign w:val="center"/>
          </w:tcPr>
          <w:p>
            <w:pPr>
              <w:pStyle w:val="Compact"/>
              <w:keepNext w:val="0"/>
              <w:keepLines/>
              <w:spacing w:after="40" w:before="40" w:line="252" w:lineRule="auto"/>
              <w:jc w:val="left"/>
            </w:pPr>
            <w:r>
              <w:rPr>
                <w:b w:val="0"/>
                <w:sz w:val="20"/>
              </w:rPr>
              <w:t xml:space="preserve">Two-lognormal mixture</w:t>
            </w:r>
          </w:p>
        </w:tc>
        <w:tc>
          <w:tcPr>
            <w:tcW w:type="dxa" w:w="3152"/>
            <w:vAlign w:val="center"/>
          </w:tcPr>
          <w:p>
            <w:pPr>
              <w:pStyle w:val="Compact"/>
              <w:keepNext w:val="0"/>
              <w:keepLines/>
              <w:spacing w:after="40" w:before="40" w:line="252" w:lineRule="auto"/>
              <w:jc w:val="right"/>
            </w:pPr>
            <w:r>
              <w:rPr>
                <w:b w:val="0"/>
                <w:sz w:val="20"/>
              </w:rPr>
              <w:t xml:space="preserve">0.1</w:t>
            </w:r>
          </w:p>
        </w:tc>
        <w:tc>
          <w:tcPr>
            <w:tcW w:type="dxa" w:w="2866"/>
            <w:vAlign w:val="center"/>
          </w:tcPr>
          <w:p>
            <w:pPr>
              <w:pStyle w:val="Compact"/>
              <w:keepNext w:val="0"/>
              <w:keepLines/>
              <w:spacing w:after="40" w:before="40" w:line="252" w:lineRule="auto"/>
              <w:jc w:val="left"/>
            </w:pPr>
            <w:r>
              <w:rPr>
                <w:b w:val="0"/>
                <w:sz w:val="20"/>
              </w:rPr>
              <w:t xml:space="preserve">Sparse 41</w:t>
            </w:r>
          </w:p>
        </w:tc>
        <w:tc>
          <w:tcPr>
            <w:tcW w:type="dxa" w:w="2579"/>
            <w:vAlign w:val="center"/>
          </w:tcPr>
          <w:p>
            <w:pPr>
              <w:pStyle w:val="Compact"/>
              <w:keepNext w:val="0"/>
              <w:keepLines/>
              <w:spacing w:after="40" w:before="40" w:line="252" w:lineRule="auto"/>
              <w:jc w:val="right"/>
            </w:pPr>
            <w:r>
              <w:rPr>
                <w:b w:val="0"/>
                <w:sz w:val="20"/>
              </w:rPr>
              <w:t xml:space="preserve">0.0479 (0.0001)</w:t>
            </w:r>
          </w:p>
        </w:tc>
        <w:tc>
          <w:tcPr>
            <w:tcW w:type="dxa" w:w="2579"/>
            <w:vAlign w:val="center"/>
          </w:tcPr>
          <w:p>
            <w:pPr>
              <w:pStyle w:val="Compact"/>
              <w:keepNext w:val="0"/>
              <w:keepLines/>
              <w:spacing w:after="40" w:before="40" w:line="252" w:lineRule="auto"/>
              <w:jc w:val="right"/>
            </w:pPr>
            <w:r>
              <w:rPr>
                <w:b w:val="0"/>
                <w:sz w:val="20"/>
              </w:rPr>
              <w:t xml:space="preserve">0.4962 (0.0144)</w:t>
            </w:r>
          </w:p>
        </w:tc>
      </w:tr>
      <w:tr>
        <w:trPr>
          <w:cantSplit/>
        </w:trPr>
        <w:tc>
          <w:tcPr>
            <w:tcW w:type="dxa" w:w="3152"/>
            <w:vAlign w:val="center"/>
          </w:tcPr>
          <w:p>
            <w:pPr>
              <w:pStyle w:val="Compact"/>
              <w:keepNext w:val="0"/>
              <w:keepLines/>
              <w:spacing w:after="40" w:before="40" w:line="252" w:lineRule="auto"/>
              <w:jc w:val="left"/>
            </w:pPr>
            <w:r>
              <w:rPr>
                <w:b w:val="0"/>
                <w:sz w:val="20"/>
              </w:rPr>
              <w:t xml:space="preserve">Two-lognormal mixture</w:t>
            </w:r>
          </w:p>
        </w:tc>
        <w:tc>
          <w:tcPr>
            <w:tcW w:type="dxa" w:w="3152"/>
            <w:vAlign w:val="center"/>
          </w:tcPr>
          <w:p>
            <w:pPr>
              <w:pStyle w:val="Compact"/>
              <w:keepNext w:val="0"/>
              <w:keepLines/>
              <w:spacing w:after="40" w:before="40" w:line="252" w:lineRule="auto"/>
              <w:jc w:val="right"/>
            </w:pPr>
            <w:r>
              <w:rPr>
                <w:b w:val="0"/>
                <w:sz w:val="20"/>
              </w:rPr>
              <w:t xml:space="preserve">0.1</w:t>
            </w:r>
          </w:p>
        </w:tc>
        <w:tc>
          <w:tcPr>
            <w:tcW w:type="dxa" w:w="2866"/>
            <w:vAlign w:val="center"/>
          </w:tcPr>
          <w:p>
            <w:pPr>
              <w:pStyle w:val="Compact"/>
              <w:keepNext w:val="0"/>
              <w:keepLines/>
              <w:spacing w:after="40" w:before="40" w:line="252" w:lineRule="auto"/>
              <w:jc w:val="left"/>
            </w:pPr>
            <w:r>
              <w:rPr>
                <w:b w:val="0"/>
                <w:sz w:val="20"/>
              </w:rPr>
              <w:t xml:space="preserve">Central 41</w:t>
            </w:r>
          </w:p>
        </w:tc>
        <w:tc>
          <w:tcPr>
            <w:tcW w:type="dxa" w:w="2579"/>
            <w:vAlign w:val="center"/>
          </w:tcPr>
          <w:p>
            <w:pPr>
              <w:pStyle w:val="Compact"/>
              <w:keepNext w:val="0"/>
              <w:keepLines/>
              <w:spacing w:after="40" w:before="40" w:line="252" w:lineRule="auto"/>
              <w:jc w:val="right"/>
            </w:pPr>
            <w:r>
              <w:rPr>
                <w:b w:val="0"/>
                <w:sz w:val="20"/>
              </w:rPr>
              <w:t xml:space="preserve">0.1134 (0.0001)</w:t>
            </w:r>
          </w:p>
        </w:tc>
        <w:tc>
          <w:tcPr>
            <w:tcW w:type="dxa" w:w="2579"/>
            <w:vAlign w:val="center"/>
          </w:tcPr>
          <w:p>
            <w:pPr>
              <w:pStyle w:val="Compact"/>
              <w:keepNext w:val="0"/>
              <w:keepLines/>
              <w:spacing w:after="40" w:before="40" w:line="252" w:lineRule="auto"/>
              <w:jc w:val="right"/>
            </w:pPr>
            <w:r>
              <w:rPr>
                <w:b w:val="0"/>
                <w:sz w:val="20"/>
              </w:rPr>
              <w:t xml:space="preserve">7.8641 (0.0208)</w:t>
            </w:r>
          </w:p>
        </w:tc>
      </w:tr>
      <w:tr>
        <w:trPr>
          <w:cantSplit/>
        </w:trPr>
        <w:tc>
          <w:tcPr>
            <w:tcW w:type="dxa" w:w="3152"/>
            <w:vAlign w:val="center"/>
          </w:tcPr>
          <w:p>
            <w:pPr>
              <w:pStyle w:val="Compact"/>
              <w:keepNext w:val="0"/>
              <w:keepLines/>
              <w:spacing w:after="40" w:before="40" w:line="252" w:lineRule="auto"/>
              <w:jc w:val="left"/>
            </w:pPr>
            <w:r>
              <w:rPr>
                <w:b w:val="0"/>
                <w:sz w:val="20"/>
              </w:rPr>
              <w:t xml:space="preserve">Two-lognormal mixture</w:t>
            </w:r>
          </w:p>
        </w:tc>
        <w:tc>
          <w:tcPr>
            <w:tcW w:type="dxa" w:w="3152"/>
            <w:vAlign w:val="center"/>
          </w:tcPr>
          <w:p>
            <w:pPr>
              <w:pStyle w:val="Compact"/>
              <w:keepNext w:val="0"/>
              <w:keepLines/>
              <w:spacing w:after="40" w:before="40" w:line="252" w:lineRule="auto"/>
              <w:jc w:val="right"/>
            </w:pPr>
            <w:r>
              <w:rPr>
                <w:b w:val="0"/>
                <w:sz w:val="20"/>
              </w:rPr>
              <w:t xml:space="preserve">0.1</w:t>
            </w:r>
          </w:p>
        </w:tc>
        <w:tc>
          <w:tcPr>
            <w:tcW w:type="dxa" w:w="2866"/>
            <w:vAlign w:val="center"/>
          </w:tcPr>
          <w:p>
            <w:pPr>
              <w:pStyle w:val="Compact"/>
              <w:keepNext w:val="0"/>
              <w:keepLines/>
              <w:spacing w:after="40" w:before="40" w:line="252" w:lineRule="auto"/>
              <w:jc w:val="left"/>
            </w:pPr>
            <w:r>
              <w:rPr>
                <w:b w:val="0"/>
                <w:sz w:val="20"/>
              </w:rPr>
              <w:t xml:space="preserve">Extended 121</w:t>
            </w:r>
          </w:p>
        </w:tc>
        <w:tc>
          <w:tcPr>
            <w:tcW w:type="dxa" w:w="2579"/>
            <w:vAlign w:val="center"/>
          </w:tcPr>
          <w:p>
            <w:pPr>
              <w:pStyle w:val="Compact"/>
              <w:keepNext w:val="0"/>
              <w:keepLines/>
              <w:spacing w:after="40" w:before="40" w:line="252" w:lineRule="auto"/>
              <w:jc w:val="right"/>
            </w:pPr>
            <w:r>
              <w:rPr>
                <w:b w:val="0"/>
                <w:sz w:val="20"/>
              </w:rPr>
              <w:t xml:space="preserve">0.0443 (0.0001)</w:t>
            </w:r>
          </w:p>
        </w:tc>
        <w:tc>
          <w:tcPr>
            <w:tcW w:type="dxa" w:w="2579"/>
            <w:vAlign w:val="center"/>
          </w:tcPr>
          <w:p>
            <w:pPr>
              <w:pStyle w:val="Compact"/>
              <w:keepNext w:val="0"/>
              <w:keepLines/>
              <w:spacing w:after="40" w:before="40" w:line="252" w:lineRule="auto"/>
              <w:jc w:val="right"/>
            </w:pPr>
            <w:r>
              <w:rPr>
                <w:b w:val="0"/>
                <w:sz w:val="20"/>
              </w:rPr>
              <w:t xml:space="preserve">0.1254 (0.0002)</w:t>
            </w:r>
          </w:p>
        </w:tc>
      </w:tr>
      <w:tr>
        <w:trPr>
          <w:cantSplit/>
        </w:trPr>
        <w:tc>
          <w:tcPr>
            <w:tcW w:type="dxa" w:w="3152"/>
            <w:vAlign w:val="center"/>
          </w:tcPr>
          <w:p>
            <w:pPr>
              <w:pStyle w:val="Compact"/>
              <w:keepNext w:val="0"/>
              <w:keepLines/>
              <w:spacing w:after="40" w:before="40" w:line="252" w:lineRule="auto"/>
              <w:jc w:val="left"/>
            </w:pPr>
            <w:r>
              <w:rPr>
                <w:b w:val="0"/>
                <w:sz w:val="20"/>
              </w:rPr>
              <w:t xml:space="preserve">Two-lognormal mixture</w:t>
            </w:r>
          </w:p>
        </w:tc>
        <w:tc>
          <w:tcPr>
            <w:tcW w:type="dxa" w:w="3152"/>
            <w:vAlign w:val="center"/>
          </w:tcPr>
          <w:p>
            <w:pPr>
              <w:pStyle w:val="Compact"/>
              <w:keepNext w:val="0"/>
              <w:keepLines/>
              <w:spacing w:after="40" w:before="40" w:line="252" w:lineRule="auto"/>
              <w:jc w:val="right"/>
            </w:pPr>
            <w:r>
              <w:rPr>
                <w:b w:val="0"/>
                <w:sz w:val="20"/>
              </w:rPr>
              <w:t xml:space="preserve">0.5</w:t>
            </w:r>
          </w:p>
        </w:tc>
        <w:tc>
          <w:tcPr>
            <w:tcW w:type="dxa" w:w="2866"/>
            <w:vAlign w:val="center"/>
          </w:tcPr>
          <w:p>
            <w:pPr>
              <w:pStyle w:val="Compact"/>
              <w:keepNext w:val="0"/>
              <w:keepLines/>
              <w:spacing w:after="40" w:before="40" w:line="252" w:lineRule="auto"/>
              <w:jc w:val="left"/>
            </w:pPr>
            <w:r>
              <w:rPr>
                <w:b w:val="0"/>
                <w:sz w:val="20"/>
              </w:rPr>
              <w:t xml:space="preserve">Original 81</w:t>
            </w:r>
          </w:p>
        </w:tc>
        <w:tc>
          <w:tcPr>
            <w:tcW w:type="dxa" w:w="2579"/>
            <w:vAlign w:val="center"/>
          </w:tcPr>
          <w:p>
            <w:pPr>
              <w:pStyle w:val="Compact"/>
              <w:keepNext w:val="0"/>
              <w:keepLines/>
              <w:spacing w:after="40" w:before="40" w:line="252" w:lineRule="auto"/>
              <w:jc w:val="right"/>
            </w:pPr>
            <w:r>
              <w:rPr>
                <w:b w:val="0"/>
                <w:sz w:val="20"/>
              </w:rPr>
              <w:t xml:space="preserve">0.0575 (0.0003)</w:t>
            </w:r>
          </w:p>
        </w:tc>
        <w:tc>
          <w:tcPr>
            <w:tcW w:type="dxa" w:w="2579"/>
            <w:vAlign w:val="center"/>
          </w:tcPr>
          <w:p>
            <w:pPr>
              <w:pStyle w:val="Compact"/>
              <w:keepNext w:val="0"/>
              <w:keepLines/>
              <w:spacing w:after="40" w:before="40" w:line="252" w:lineRule="auto"/>
              <w:jc w:val="right"/>
            </w:pPr>
            <w:r>
              <w:rPr>
                <w:b w:val="0"/>
                <w:sz w:val="20"/>
              </w:rPr>
              <w:t xml:space="preserve">0.9229 (0.0211)</w:t>
            </w:r>
          </w:p>
        </w:tc>
      </w:tr>
      <w:tr>
        <w:trPr>
          <w:cantSplit/>
        </w:trPr>
        <w:tc>
          <w:tcPr>
            <w:tcW w:type="dxa" w:w="3152"/>
            <w:vAlign w:val="center"/>
          </w:tcPr>
          <w:p>
            <w:pPr>
              <w:pStyle w:val="Compact"/>
              <w:keepNext w:val="0"/>
              <w:keepLines/>
              <w:spacing w:after="40" w:before="40" w:line="252" w:lineRule="auto"/>
              <w:jc w:val="left"/>
            </w:pPr>
            <w:r>
              <w:rPr>
                <w:b w:val="0"/>
                <w:sz w:val="20"/>
              </w:rPr>
              <w:t xml:space="preserve">Two-lognormal mixture</w:t>
            </w:r>
          </w:p>
        </w:tc>
        <w:tc>
          <w:tcPr>
            <w:tcW w:type="dxa" w:w="3152"/>
            <w:vAlign w:val="center"/>
          </w:tcPr>
          <w:p>
            <w:pPr>
              <w:pStyle w:val="Compact"/>
              <w:keepNext w:val="0"/>
              <w:keepLines/>
              <w:spacing w:after="40" w:before="40" w:line="252" w:lineRule="auto"/>
              <w:jc w:val="right"/>
            </w:pPr>
            <w:r>
              <w:rPr>
                <w:b w:val="0"/>
                <w:sz w:val="20"/>
              </w:rPr>
              <w:t xml:space="preserve">0.5</w:t>
            </w:r>
          </w:p>
        </w:tc>
        <w:tc>
          <w:tcPr>
            <w:tcW w:type="dxa" w:w="2866"/>
            <w:vAlign w:val="center"/>
          </w:tcPr>
          <w:p>
            <w:pPr>
              <w:pStyle w:val="Compact"/>
              <w:keepNext w:val="0"/>
              <w:keepLines/>
              <w:spacing w:after="40" w:before="40" w:line="252" w:lineRule="auto"/>
              <w:jc w:val="left"/>
            </w:pPr>
            <w:r>
              <w:rPr>
                <w:b w:val="0"/>
                <w:sz w:val="20"/>
              </w:rPr>
              <w:t xml:space="preserve">Sparse 41</w:t>
            </w:r>
          </w:p>
        </w:tc>
        <w:tc>
          <w:tcPr>
            <w:tcW w:type="dxa" w:w="2579"/>
            <w:vAlign w:val="center"/>
          </w:tcPr>
          <w:p>
            <w:pPr>
              <w:pStyle w:val="Compact"/>
              <w:keepNext w:val="0"/>
              <w:keepLines/>
              <w:spacing w:after="40" w:before="40" w:line="252" w:lineRule="auto"/>
              <w:jc w:val="right"/>
            </w:pPr>
            <w:r>
              <w:rPr>
                <w:b w:val="0"/>
                <w:sz w:val="20"/>
              </w:rPr>
              <w:t xml:space="preserve">0.0623 (0.0003)</w:t>
            </w:r>
          </w:p>
        </w:tc>
        <w:tc>
          <w:tcPr>
            <w:tcW w:type="dxa" w:w="2579"/>
            <w:vAlign w:val="center"/>
          </w:tcPr>
          <w:p>
            <w:pPr>
              <w:pStyle w:val="Compact"/>
              <w:keepNext w:val="0"/>
              <w:keepLines/>
              <w:spacing w:after="40" w:before="40" w:line="252" w:lineRule="auto"/>
              <w:jc w:val="right"/>
            </w:pPr>
            <w:r>
              <w:rPr>
                <w:b w:val="0"/>
                <w:sz w:val="20"/>
              </w:rPr>
              <w:t xml:space="preserve">1.0044 (0.0206)</w:t>
            </w:r>
          </w:p>
        </w:tc>
      </w:tr>
      <w:tr>
        <w:trPr>
          <w:cantSplit/>
        </w:trPr>
        <w:tc>
          <w:tcPr>
            <w:tcW w:type="dxa" w:w="3152"/>
            <w:vAlign w:val="center"/>
          </w:tcPr>
          <w:p>
            <w:pPr>
              <w:pStyle w:val="Compact"/>
              <w:keepNext w:val="0"/>
              <w:keepLines/>
              <w:spacing w:after="40" w:before="40" w:line="252" w:lineRule="auto"/>
              <w:jc w:val="left"/>
            </w:pPr>
            <w:r>
              <w:rPr>
                <w:b w:val="0"/>
                <w:sz w:val="20"/>
              </w:rPr>
              <w:t xml:space="preserve">Two-lognormal mixture</w:t>
            </w:r>
          </w:p>
        </w:tc>
        <w:tc>
          <w:tcPr>
            <w:tcW w:type="dxa" w:w="3152"/>
            <w:vAlign w:val="center"/>
          </w:tcPr>
          <w:p>
            <w:pPr>
              <w:pStyle w:val="Compact"/>
              <w:keepNext w:val="0"/>
              <w:keepLines/>
              <w:spacing w:after="40" w:before="40" w:line="252" w:lineRule="auto"/>
              <w:jc w:val="right"/>
            </w:pPr>
            <w:r>
              <w:rPr>
                <w:b w:val="0"/>
                <w:sz w:val="20"/>
              </w:rPr>
              <w:t xml:space="preserve">0.5</w:t>
            </w:r>
          </w:p>
        </w:tc>
        <w:tc>
          <w:tcPr>
            <w:tcW w:type="dxa" w:w="2866"/>
            <w:vAlign w:val="center"/>
          </w:tcPr>
          <w:p>
            <w:pPr>
              <w:pStyle w:val="Compact"/>
              <w:keepNext w:val="0"/>
              <w:keepLines/>
              <w:spacing w:after="40" w:before="40" w:line="252" w:lineRule="auto"/>
              <w:jc w:val="left"/>
            </w:pPr>
            <w:r>
              <w:rPr>
                <w:b w:val="0"/>
                <w:sz w:val="20"/>
              </w:rPr>
              <w:t xml:space="preserve">Central 41</w:t>
            </w:r>
          </w:p>
        </w:tc>
        <w:tc>
          <w:tcPr>
            <w:tcW w:type="dxa" w:w="2579"/>
            <w:vAlign w:val="center"/>
          </w:tcPr>
          <w:p>
            <w:pPr>
              <w:pStyle w:val="Compact"/>
              <w:keepNext w:val="0"/>
              <w:keepLines/>
              <w:spacing w:after="40" w:before="40" w:line="252" w:lineRule="auto"/>
              <w:jc w:val="right"/>
            </w:pPr>
            <w:r>
              <w:rPr>
                <w:b w:val="0"/>
                <w:sz w:val="20"/>
              </w:rPr>
              <w:t xml:space="preserve">0.1223 (0.0005)</w:t>
            </w:r>
          </w:p>
        </w:tc>
        <w:tc>
          <w:tcPr>
            <w:tcW w:type="dxa" w:w="2579"/>
            <w:vAlign w:val="center"/>
          </w:tcPr>
          <w:p>
            <w:pPr>
              <w:pStyle w:val="Compact"/>
              <w:keepNext w:val="0"/>
              <w:keepLines/>
              <w:spacing w:after="40" w:before="40" w:line="252" w:lineRule="auto"/>
              <w:jc w:val="right"/>
            </w:pPr>
            <w:r>
              <w:rPr>
                <w:b w:val="0"/>
                <w:sz w:val="20"/>
              </w:rPr>
              <w:t xml:space="preserve">8.3539 (0.0789)</w:t>
            </w:r>
          </w:p>
        </w:tc>
      </w:tr>
      <w:tr>
        <w:trPr>
          <w:cantSplit/>
        </w:trPr>
        <w:tc>
          <w:tcPr>
            <w:tcW w:type="dxa" w:w="3152"/>
            <w:vAlign w:val="center"/>
          </w:tcPr>
          <w:p>
            <w:pPr>
              <w:pStyle w:val="Compact"/>
              <w:keepNext/>
              <w:keepLines/>
              <w:spacing w:after="40" w:before="40" w:line="252" w:lineRule="auto"/>
              <w:jc w:val="left"/>
            </w:pPr>
            <w:r>
              <w:rPr>
                <w:b w:val="0"/>
                <w:sz w:val="20"/>
              </w:rPr>
              <w:t xml:space="preserve">Two-lognormal mixture</w:t>
            </w:r>
          </w:p>
        </w:tc>
        <w:tc>
          <w:tcPr>
            <w:tcW w:type="dxa" w:w="3152"/>
            <w:vAlign w:val="center"/>
          </w:tcPr>
          <w:p>
            <w:pPr>
              <w:pStyle w:val="Compact"/>
              <w:keepNext/>
              <w:keepLines/>
              <w:spacing w:after="40" w:before="40" w:line="252" w:lineRule="auto"/>
              <w:jc w:val="right"/>
            </w:pPr>
            <w:r>
              <w:rPr>
                <w:b w:val="0"/>
                <w:sz w:val="20"/>
              </w:rPr>
              <w:t xml:space="preserve">0.5</w:t>
            </w:r>
          </w:p>
        </w:tc>
        <w:tc>
          <w:tcPr>
            <w:tcW w:type="dxa" w:w="2866"/>
            <w:vAlign w:val="center"/>
          </w:tcPr>
          <w:p>
            <w:pPr>
              <w:pStyle w:val="Compact"/>
              <w:keepNext/>
              <w:keepLines/>
              <w:spacing w:after="40" w:before="40" w:line="252" w:lineRule="auto"/>
              <w:jc w:val="left"/>
            </w:pPr>
            <w:r>
              <w:rPr>
                <w:b w:val="0"/>
                <w:sz w:val="20"/>
              </w:rPr>
              <w:t xml:space="preserve">Extended 121</w:t>
            </w:r>
          </w:p>
        </w:tc>
        <w:tc>
          <w:tcPr>
            <w:tcW w:type="dxa" w:w="2579"/>
            <w:vAlign w:val="center"/>
          </w:tcPr>
          <w:p>
            <w:pPr>
              <w:pStyle w:val="Compact"/>
              <w:keepNext/>
              <w:keepLines/>
              <w:spacing w:after="40" w:before="40" w:line="252" w:lineRule="auto"/>
              <w:jc w:val="right"/>
            </w:pPr>
            <w:r>
              <w:rPr>
                <w:b w:val="0"/>
                <w:sz w:val="20"/>
              </w:rPr>
              <w:t xml:space="preserve">0.0521 (0.0001)</w:t>
            </w:r>
          </w:p>
        </w:tc>
        <w:tc>
          <w:tcPr>
            <w:tcW w:type="dxa" w:w="2579"/>
            <w:vAlign w:val="center"/>
          </w:tcPr>
          <w:p>
            <w:pPr>
              <w:pStyle w:val="Compact"/>
              <w:keepNext/>
              <w:keepLines/>
              <w:spacing w:after="40" w:before="40" w:line="252" w:lineRule="auto"/>
              <w:jc w:val="right"/>
            </w:pPr>
            <w:r>
              <w:rPr>
                <w:b w:val="0"/>
                <w:sz w:val="20"/>
              </w:rPr>
              <w:t xml:space="preserve">0.1596 (0.0010)</w:t>
            </w:r>
          </w:p>
        </w:tc>
      </w:tr>
    </w:tbl>
    <w:p>
      <w:bookmarkStart w:id="593" w:name="table15"/>
      <w:pPr>
        <w:pStyle w:val="TableCaption"/>
      </w:pPr>
      <w:r>
        <w:t xml:space="preserve">Table 15. Average recovery errors across 50 repetitions per scenario. Parentheses contain one Monte Carlo standard error of the mean. Each repetition aggregates eight horizons; the common validation grid contains 960 withheld clean prices. Density L1 is dimensionless and price RMSE is in index points.</w:t>
      </w:r>
      <w:bookmarkEnd w:id="593"/>
    </w:p>
    <w:p>
      <w:pPr>
        <w:sectPr>
          <w:type w:val="nextPage"/>
          <w:pgSz w:w="16838" w:h="11906" w:orient="landscape"/>
          <w:pgMar w:top="1008" w:bottom="1008" w:left="1152" w:right="1152" w:header="432" w:footer="432" w:gutter="0"/>
          <w:pgNumType w:fmt="decimal"/>
        </w:sectPr>
        <w:spacing w:before="0" w:after="0" w:line="1" w:lineRule="exact"/>
      </w:pPr>
      <w:r>
        <w:rPr>
          <w:sz w:val="2"/>
        </w:rPr>
      </w:r>
    </w:p>
    <w:p>
      <w:pPr>
        <w:pStyle w:val="BodyText"/>
        <w:keepNext/>
        <w:spacing w:after="40"/>
        <w:jc w:val="center"/>
      </w:pPr>
      <w:r>
        <w:drawing>
          <wp:inline>
            <wp:extent cx="5334000" cy="3654777"/>
            <wp:effectExtent b="0" l="0" r="0" t="0"/>
            <wp:docPr descr="Repeated recovery errors and Monte Carlo precision" title="" id="104" name="Picture"/>
            <a:graphic>
              <a:graphicData uri="http://schemas.openxmlformats.org/drawingml/2006/picture">
                <pic:pic>
                  <pic:nvPicPr>
                    <pic:cNvPr descr="/workspace/scratch/62b9274b9d7e/spx-density-research/figures/figure_19_repeated_recovery_errors.png" id="105" name="Picture"/>
                    <pic:cNvPicPr>
                      <a:picLocks noChangeArrowheads="1" noChangeAspect="1"/>
                    </pic:cNvPicPr>
                  </pic:nvPicPr>
                  <pic:blipFill>
                    <a:blip r:embed="rId103"/>
                    <a:stretch>
                      <a:fillRect/>
                    </a:stretch>
                  </pic:blipFill>
                  <pic:spPr bwMode="auto">
                    <a:xfrm>
                      <a:off x="0" y="0"/>
                      <a:ext cx="5334000" cy="3654777"/>
                    </a:xfrm>
                    <a:prstGeom prst="rect">
                      <a:avLst/>
                    </a:prstGeom>
                    <a:noFill/>
                    <a:ln w="9525">
                      <a:noFill/>
                      <a:headEnd/>
                      <a:tailEnd/>
                    </a:ln>
                  </pic:spPr>
                </pic:pic>
              </a:graphicData>
            </a:graphic>
          </wp:inline>
        </w:drawing>
      </w:r>
    </w:p>
    <w:p>
      <w:bookmarkStart w:id="594" w:name="figure19"/>
      <w:pPr>
        <w:pStyle w:val="FigureCaption"/>
      </w:pPr>
      <w:r>
        <w:t xml:space="preserve">Figure 19. Mean full-domain density error and mean validation-price RMSE across 50 repetitions per scenario. Bars show the mean plus or minus two Monte Carlo standard errors, describing the precision of the simulation mean. They are not the spread of individual estimates or confidence intervals for a density. Price panels use logarithmic horizontal scales; density panels use linear scales.</w:t>
      </w:r>
      <w:bookmarkEnd w:id="594"/>
    </w:p>
    <w:p>
      <w:pPr>
        <w:sectPr>
          <w:type w:val="nextPage"/>
          <w:pgSz w:w="16838" w:h="11906" w:orient="landscape"/>
          <w:pgMar w:top="1008" w:bottom="1008" w:left="1152" w:right="1152" w:header="432" w:footer="432" w:gutter="0"/>
          <w:pgNumType w:fmt="decimal"/>
        </w:sectPr>
        <w:spacing w:before="0" w:after="0" w:line="1" w:lineRule="exact"/>
      </w:pPr>
      <w:r>
        <w:rPr>
          <w:sz w:val="2"/>
        </w:rPr>
      </w:r>
    </w:p>
    <w:p>
      <w:pPr>
        <w:pStyle w:val="BodyText"/>
      </w:pPr>
      <w:r>
        <w:t xml:space="preserve">At amplitude 0.5 points, Central 41 minus Sparse 41 increases mean density error by 0.00614 for the single lognormal, with MCSE 0.00038, and by 0.06001 for the mixture, with MCSE 0.00064. The narrower span is materially worse despite having the same number of observations. Even with clean mixture prices, Central 41 gives a within-range price RMSE of 0.1186 points but 7.7981 points on the common validation grid. This exposes extrapolation error without attributing it to random noise.</w:t>
      </w:r>
    </w:p>
    <w:p>
      <w:pPr>
        <w:sectPr>
          <w:type w:val="nextPage"/>
          <w:pgSz w:w="11906" w:h="16838" w:orient="portrait"/>
          <w:pgMar w:top="1008" w:bottom="1008" w:left="1152" w:right="1152" w:header="432" w:footer="432" w:gutter="0"/>
          <w:pgNumType w:fmt="decimal"/>
        </w:sectPr>
        <w:spacing w:before="0" w:after="0" w:line="1" w:lineRule="exact"/>
      </w:pPr>
      <w:r>
        <w:rPr>
          <w:sz w:val="2"/>
        </w:rPr>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009"/>
        <w:gridCol w:w="2292"/>
        <w:gridCol w:w="2292"/>
        <w:gridCol w:w="2292"/>
        <w:gridCol w:w="2292"/>
        <w:gridCol w:w="2149"/>
      </w:tblGrid>
      <w:tr>
        <w:trPr>
          <w:tblHeader w:val="true"/>
          <w:cantSplit/>
          <w:tblHeader/>
        </w:trPr>
        <w:tc>
          <w:tcPr>
            <w:tcW w:type="dxa" w:w="3009"/>
            <w:vAlign w:val="center"/>
            <w:shd w:fill="E9EEF3"/>
          </w:tcPr>
          <w:p>
            <w:pPr>
              <w:pStyle w:val="Compact"/>
              <w:keepNext/>
              <w:keepLines/>
              <w:spacing w:after="40" w:before="40" w:line="252" w:lineRule="auto"/>
              <w:jc w:val="left"/>
            </w:pPr>
            <w:r>
              <w:rPr>
                <w:b/>
                <w:sz w:val="20"/>
              </w:rPr>
              <w:t xml:space="preserve">Benchmark</w:t>
            </w:r>
          </w:p>
        </w:tc>
        <w:tc>
          <w:tcPr>
            <w:tcW w:type="dxa" w:w="2292"/>
            <w:vAlign w:val="center"/>
            <w:shd w:fill="E9EEF3"/>
          </w:tcPr>
          <w:p>
            <w:pPr>
              <w:pStyle w:val="Compact"/>
              <w:keepNext/>
              <w:keepLines/>
              <w:spacing w:after="40" w:before="40" w:line="252" w:lineRule="auto"/>
              <w:jc w:val="left"/>
            </w:pPr>
            <w:r>
              <w:rPr>
                <w:b/>
                <w:sz w:val="20"/>
              </w:rPr>
              <w:t xml:space="preserve">Pattern</w:t>
            </w:r>
          </w:p>
        </w:tc>
        <w:tc>
          <w:tcPr>
            <w:tcW w:type="dxa" w:w="2292"/>
            <w:vAlign w:val="center"/>
            <w:shd w:fill="E9EEF3"/>
          </w:tcPr>
          <w:p>
            <w:pPr>
              <w:pStyle w:val="Compact"/>
              <w:keepNext/>
              <w:keepLines/>
              <w:spacing w:after="40" w:before="40" w:line="252" w:lineRule="auto"/>
              <w:jc w:val="right"/>
            </w:pPr>
            <w:r>
              <w:rPr>
                <w:b/>
                <w:sz w:val="20"/>
              </w:rPr>
              <w:t xml:space="preserve">Clean-input error</w:t>
            </w:r>
          </w:p>
        </w:tc>
        <w:tc>
          <w:tcPr>
            <w:tcW w:type="dxa" w:w="2292"/>
            <w:vAlign w:val="center"/>
            <w:shd w:fill="E9EEF3"/>
          </w:tcPr>
          <w:p>
            <w:pPr>
              <w:pStyle w:val="Compact"/>
              <w:keepNext/>
              <w:keepLines/>
              <w:spacing w:after="40" w:before="40" w:line="252" w:lineRule="auto"/>
              <w:jc w:val="right"/>
            </w:pPr>
            <w:r>
              <w:rPr>
                <w:b/>
                <w:sz w:val="20"/>
              </w:rPr>
              <w:t xml:space="preserve">Mean error (MCSE)</w:t>
            </w:r>
          </w:p>
        </w:tc>
        <w:tc>
          <w:tcPr>
            <w:tcW w:type="dxa" w:w="2292"/>
            <w:vAlign w:val="center"/>
            <w:shd w:fill="E9EEF3"/>
          </w:tcPr>
          <w:p>
            <w:pPr>
              <w:pStyle w:val="Compact"/>
              <w:keepNext/>
              <w:keepLines/>
              <w:spacing w:after="40" w:before="40" w:line="252" w:lineRule="auto"/>
              <w:jc w:val="right"/>
            </w:pPr>
            <w:r>
              <w:rPr>
                <w:b/>
                <w:sz w:val="20"/>
              </w:rPr>
              <w:t xml:space="preserve">Empirical SD</w:t>
            </w:r>
          </w:p>
        </w:tc>
        <w:tc>
          <w:tcPr>
            <w:tcW w:type="dxa" w:w="2149"/>
            <w:vAlign w:val="center"/>
            <w:shd w:fill="E9EEF3"/>
          </w:tcPr>
          <w:p>
            <w:pPr>
              <w:pStyle w:val="Compact"/>
              <w:keepNext/>
              <w:keepLines/>
              <w:spacing w:after="40" w:before="40" w:line="252" w:lineRule="auto"/>
              <w:jc w:val="right"/>
            </w:pPr>
            <w:r>
              <w:rPr>
                <w:b/>
                <w:sz w:val="20"/>
              </w:rPr>
              <w:t xml:space="preserve">Root MSE</w:t>
            </w:r>
          </w:p>
        </w:tc>
      </w:tr>
      <w:tr>
        <w:trPr>
          <w:cantSplit/>
        </w:trPr>
        <w:tc>
          <w:tcPr>
            <w:tcW w:type="dxa" w:w="3009"/>
            <w:vAlign w:val="center"/>
          </w:tcPr>
          <w:p>
            <w:pPr>
              <w:pStyle w:val="Compact"/>
              <w:keepNext/>
              <w:keepLines/>
              <w:spacing w:after="40" w:before="40" w:line="252" w:lineRule="auto"/>
              <w:jc w:val="left"/>
            </w:pPr>
            <w:r>
              <w:rPr>
                <w:b w:val="0"/>
                <w:sz w:val="20"/>
              </w:rPr>
              <w:t xml:space="preserve">Single lognormal</w:t>
            </w:r>
          </w:p>
        </w:tc>
        <w:tc>
          <w:tcPr>
            <w:tcW w:type="dxa" w:w="2292"/>
            <w:vAlign w:val="center"/>
          </w:tcPr>
          <w:p>
            <w:pPr>
              <w:pStyle w:val="Compact"/>
              <w:keepNext/>
              <w:keepLines/>
              <w:spacing w:after="40" w:before="40" w:line="252" w:lineRule="auto"/>
              <w:jc w:val="left"/>
            </w:pPr>
            <w:r>
              <w:rPr>
                <w:b w:val="0"/>
                <w:sz w:val="20"/>
              </w:rPr>
              <w:t xml:space="preserve">Original 81</w:t>
            </w:r>
          </w:p>
        </w:tc>
        <w:tc>
          <w:tcPr>
            <w:tcW w:type="dxa" w:w="2292"/>
            <w:vAlign w:val="center"/>
          </w:tcPr>
          <w:p>
            <w:pPr>
              <w:pStyle w:val="Compact"/>
              <w:keepNext/>
              <w:keepLines/>
              <w:spacing w:after="40" w:before="40" w:line="252" w:lineRule="auto"/>
              <w:jc w:val="right"/>
            </w:pPr>
            <w:r>
              <w:rPr>
                <w:b w:val="0"/>
                <w:sz w:val="20"/>
              </w:rPr>
              <w:t xml:space="preserve">+0.0044</w:t>
            </w:r>
          </w:p>
        </w:tc>
        <w:tc>
          <w:tcPr>
            <w:tcW w:type="dxa" w:w="2292"/>
            <w:vAlign w:val="center"/>
          </w:tcPr>
          <w:p>
            <w:pPr>
              <w:pStyle w:val="Compact"/>
              <w:keepNext/>
              <w:keepLines/>
              <w:spacing w:after="40" w:before="40" w:line="252" w:lineRule="auto"/>
              <w:jc w:val="right"/>
            </w:pPr>
            <w:r>
              <w:rPr>
                <w:b w:val="0"/>
                <w:sz w:val="20"/>
              </w:rPr>
              <w:t xml:space="preserve">-0.0443 (0.0047)</w:t>
            </w:r>
          </w:p>
        </w:tc>
        <w:tc>
          <w:tcPr>
            <w:tcW w:type="dxa" w:w="2292"/>
            <w:vAlign w:val="center"/>
          </w:tcPr>
          <w:p>
            <w:pPr>
              <w:pStyle w:val="Compact"/>
              <w:keepNext/>
              <w:keepLines/>
              <w:spacing w:after="40" w:before="40" w:line="252" w:lineRule="auto"/>
              <w:jc w:val="right"/>
            </w:pPr>
            <w:r>
              <w:rPr>
                <w:b w:val="0"/>
                <w:sz w:val="20"/>
              </w:rPr>
              <w:t xml:space="preserve">0.0332</w:t>
            </w:r>
          </w:p>
        </w:tc>
        <w:tc>
          <w:tcPr>
            <w:tcW w:type="dxa" w:w="2149"/>
            <w:vAlign w:val="center"/>
          </w:tcPr>
          <w:p>
            <w:pPr>
              <w:pStyle w:val="Compact"/>
              <w:keepNext/>
              <w:keepLines/>
              <w:spacing w:after="40" w:before="40" w:line="252" w:lineRule="auto"/>
              <w:jc w:val="right"/>
            </w:pPr>
            <w:r>
              <w:rPr>
                <w:b w:val="0"/>
                <w:sz w:val="20"/>
              </w:rPr>
              <w:t xml:space="preserve">0.0552</w:t>
            </w:r>
          </w:p>
        </w:tc>
      </w:tr>
      <w:tr>
        <w:trPr>
          <w:cantSplit/>
        </w:trPr>
        <w:tc>
          <w:tcPr>
            <w:tcW w:type="dxa" w:w="3009"/>
            <w:vAlign w:val="center"/>
          </w:tcPr>
          <w:p>
            <w:pPr>
              <w:pStyle w:val="Compact"/>
              <w:keepNext/>
              <w:keepLines/>
              <w:spacing w:after="40" w:before="40" w:line="252" w:lineRule="auto"/>
              <w:jc w:val="left"/>
            </w:pPr>
            <w:r>
              <w:rPr>
                <w:b w:val="0"/>
                <w:sz w:val="20"/>
              </w:rPr>
              <w:t xml:space="preserve">Single lognormal</w:t>
            </w:r>
          </w:p>
        </w:tc>
        <w:tc>
          <w:tcPr>
            <w:tcW w:type="dxa" w:w="2292"/>
            <w:vAlign w:val="center"/>
          </w:tcPr>
          <w:p>
            <w:pPr>
              <w:pStyle w:val="Compact"/>
              <w:keepNext/>
              <w:keepLines/>
              <w:spacing w:after="40" w:before="40" w:line="252" w:lineRule="auto"/>
              <w:jc w:val="left"/>
            </w:pPr>
            <w:r>
              <w:rPr>
                <w:b w:val="0"/>
                <w:sz w:val="20"/>
              </w:rPr>
              <w:t xml:space="preserve">Sparse 41</w:t>
            </w:r>
          </w:p>
        </w:tc>
        <w:tc>
          <w:tcPr>
            <w:tcW w:type="dxa" w:w="2292"/>
            <w:vAlign w:val="center"/>
          </w:tcPr>
          <w:p>
            <w:pPr>
              <w:pStyle w:val="Compact"/>
              <w:keepNext/>
              <w:keepLines/>
              <w:spacing w:after="40" w:before="40" w:line="252" w:lineRule="auto"/>
              <w:jc w:val="right"/>
            </w:pPr>
            <w:r>
              <w:rPr>
                <w:b w:val="0"/>
                <w:sz w:val="20"/>
              </w:rPr>
              <w:t xml:space="preserve">+0.0044</w:t>
            </w:r>
          </w:p>
        </w:tc>
        <w:tc>
          <w:tcPr>
            <w:tcW w:type="dxa" w:w="2292"/>
            <w:vAlign w:val="center"/>
          </w:tcPr>
          <w:p>
            <w:pPr>
              <w:pStyle w:val="Compact"/>
              <w:keepNext/>
              <w:keepLines/>
              <w:spacing w:after="40" w:before="40" w:line="252" w:lineRule="auto"/>
              <w:jc w:val="right"/>
            </w:pPr>
            <w:r>
              <w:rPr>
                <w:b w:val="0"/>
                <w:sz w:val="20"/>
              </w:rPr>
              <w:t xml:space="preserve">-0.0438 (0.0058)</w:t>
            </w:r>
          </w:p>
        </w:tc>
        <w:tc>
          <w:tcPr>
            <w:tcW w:type="dxa" w:w="2292"/>
            <w:vAlign w:val="center"/>
          </w:tcPr>
          <w:p>
            <w:pPr>
              <w:pStyle w:val="Compact"/>
              <w:keepNext/>
              <w:keepLines/>
              <w:spacing w:after="40" w:before="40" w:line="252" w:lineRule="auto"/>
              <w:jc w:val="right"/>
            </w:pPr>
            <w:r>
              <w:rPr>
                <w:b w:val="0"/>
                <w:sz w:val="20"/>
              </w:rPr>
              <w:t xml:space="preserve">0.0408</w:t>
            </w:r>
          </w:p>
        </w:tc>
        <w:tc>
          <w:tcPr>
            <w:tcW w:type="dxa" w:w="2149"/>
            <w:vAlign w:val="center"/>
          </w:tcPr>
          <w:p>
            <w:pPr>
              <w:pStyle w:val="Compact"/>
              <w:keepNext/>
              <w:keepLines/>
              <w:spacing w:after="40" w:before="40" w:line="252" w:lineRule="auto"/>
              <w:jc w:val="right"/>
            </w:pPr>
            <w:r>
              <w:rPr>
                <w:b w:val="0"/>
                <w:sz w:val="20"/>
              </w:rPr>
              <w:t xml:space="preserve">0.0595</w:t>
            </w:r>
          </w:p>
        </w:tc>
      </w:tr>
      <w:tr>
        <w:trPr>
          <w:cantSplit/>
        </w:trPr>
        <w:tc>
          <w:tcPr>
            <w:tcW w:type="dxa" w:w="3009"/>
            <w:vAlign w:val="center"/>
          </w:tcPr>
          <w:p>
            <w:pPr>
              <w:pStyle w:val="Compact"/>
              <w:keepNext/>
              <w:keepLines/>
              <w:spacing w:after="40" w:before="40" w:line="252" w:lineRule="auto"/>
              <w:jc w:val="left"/>
            </w:pPr>
            <w:r>
              <w:rPr>
                <w:b w:val="0"/>
                <w:sz w:val="20"/>
              </w:rPr>
              <w:t xml:space="preserve">Single lognormal</w:t>
            </w:r>
          </w:p>
        </w:tc>
        <w:tc>
          <w:tcPr>
            <w:tcW w:type="dxa" w:w="2292"/>
            <w:vAlign w:val="center"/>
          </w:tcPr>
          <w:p>
            <w:pPr>
              <w:pStyle w:val="Compact"/>
              <w:keepNext/>
              <w:keepLines/>
              <w:spacing w:after="40" w:before="40" w:line="252" w:lineRule="auto"/>
              <w:jc w:val="left"/>
            </w:pPr>
            <w:r>
              <w:rPr>
                <w:b w:val="0"/>
                <w:sz w:val="20"/>
              </w:rPr>
              <w:t xml:space="preserve">Central 41</w:t>
            </w:r>
          </w:p>
        </w:tc>
        <w:tc>
          <w:tcPr>
            <w:tcW w:type="dxa" w:w="2292"/>
            <w:vAlign w:val="center"/>
          </w:tcPr>
          <w:p>
            <w:pPr>
              <w:pStyle w:val="Compact"/>
              <w:keepNext/>
              <w:keepLines/>
              <w:spacing w:after="40" w:before="40" w:line="252" w:lineRule="auto"/>
              <w:jc w:val="right"/>
            </w:pPr>
            <w:r>
              <w:rPr>
                <w:b w:val="0"/>
                <w:sz w:val="20"/>
              </w:rPr>
              <w:t xml:space="preserve">-0.0130</w:t>
            </w:r>
          </w:p>
        </w:tc>
        <w:tc>
          <w:tcPr>
            <w:tcW w:type="dxa" w:w="2292"/>
            <w:vAlign w:val="center"/>
          </w:tcPr>
          <w:p>
            <w:pPr>
              <w:pStyle w:val="Compact"/>
              <w:keepNext/>
              <w:keepLines/>
              <w:spacing w:after="40" w:before="40" w:line="252" w:lineRule="auto"/>
              <w:jc w:val="right"/>
            </w:pPr>
            <w:r>
              <w:rPr>
                <w:b w:val="0"/>
                <w:sz w:val="20"/>
              </w:rPr>
              <w:t xml:space="preserve">+0.0688 (0.0175)</w:t>
            </w:r>
          </w:p>
        </w:tc>
        <w:tc>
          <w:tcPr>
            <w:tcW w:type="dxa" w:w="2292"/>
            <w:vAlign w:val="center"/>
          </w:tcPr>
          <w:p>
            <w:pPr>
              <w:pStyle w:val="Compact"/>
              <w:keepNext/>
              <w:keepLines/>
              <w:spacing w:after="40" w:before="40" w:line="252" w:lineRule="auto"/>
              <w:jc w:val="right"/>
            </w:pPr>
            <w:r>
              <w:rPr>
                <w:b w:val="0"/>
                <w:sz w:val="20"/>
              </w:rPr>
              <w:t xml:space="preserve">0.1238</w:t>
            </w:r>
          </w:p>
        </w:tc>
        <w:tc>
          <w:tcPr>
            <w:tcW w:type="dxa" w:w="2149"/>
            <w:vAlign w:val="center"/>
          </w:tcPr>
          <w:p>
            <w:pPr>
              <w:pStyle w:val="Compact"/>
              <w:keepNext/>
              <w:keepLines/>
              <w:spacing w:after="40" w:before="40" w:line="252" w:lineRule="auto"/>
              <w:jc w:val="right"/>
            </w:pPr>
            <w:r>
              <w:rPr>
                <w:b w:val="0"/>
                <w:sz w:val="20"/>
              </w:rPr>
              <w:t xml:space="preserve">0.1405</w:t>
            </w:r>
          </w:p>
        </w:tc>
      </w:tr>
      <w:tr>
        <w:trPr>
          <w:cantSplit/>
        </w:trPr>
        <w:tc>
          <w:tcPr>
            <w:tcW w:type="dxa" w:w="3009"/>
            <w:vAlign w:val="center"/>
          </w:tcPr>
          <w:p>
            <w:pPr>
              <w:pStyle w:val="Compact"/>
              <w:keepNext/>
              <w:keepLines/>
              <w:spacing w:after="40" w:before="40" w:line="252" w:lineRule="auto"/>
              <w:jc w:val="left"/>
            </w:pPr>
            <w:r>
              <w:rPr>
                <w:b w:val="0"/>
                <w:sz w:val="20"/>
              </w:rPr>
              <w:t xml:space="preserve">Single lognormal</w:t>
            </w:r>
          </w:p>
        </w:tc>
        <w:tc>
          <w:tcPr>
            <w:tcW w:type="dxa" w:w="2292"/>
            <w:vAlign w:val="center"/>
          </w:tcPr>
          <w:p>
            <w:pPr>
              <w:pStyle w:val="Compact"/>
              <w:keepNext/>
              <w:keepLines/>
              <w:spacing w:after="40" w:before="40" w:line="252" w:lineRule="auto"/>
              <w:jc w:val="left"/>
            </w:pPr>
            <w:r>
              <w:rPr>
                <w:b w:val="0"/>
                <w:sz w:val="20"/>
              </w:rPr>
              <w:t xml:space="preserve">Extended 121</w:t>
            </w:r>
          </w:p>
        </w:tc>
        <w:tc>
          <w:tcPr>
            <w:tcW w:type="dxa" w:w="2292"/>
            <w:vAlign w:val="center"/>
          </w:tcPr>
          <w:p>
            <w:pPr>
              <w:pStyle w:val="Compact"/>
              <w:keepNext/>
              <w:keepLines/>
              <w:spacing w:after="40" w:before="40" w:line="252" w:lineRule="auto"/>
              <w:jc w:val="right"/>
            </w:pPr>
            <w:r>
              <w:rPr>
                <w:b w:val="0"/>
                <w:sz w:val="20"/>
              </w:rPr>
              <w:t xml:space="preserve">+4.69e-05</w:t>
            </w:r>
          </w:p>
        </w:tc>
        <w:tc>
          <w:tcPr>
            <w:tcW w:type="dxa" w:w="2292"/>
            <w:vAlign w:val="center"/>
          </w:tcPr>
          <w:p>
            <w:pPr>
              <w:pStyle w:val="Compact"/>
              <w:keepNext/>
              <w:keepLines/>
              <w:spacing w:after="40" w:before="40" w:line="252" w:lineRule="auto"/>
              <w:jc w:val="right"/>
            </w:pPr>
            <w:r>
              <w:rPr>
                <w:b w:val="0"/>
                <w:sz w:val="20"/>
              </w:rPr>
              <w:t xml:space="preserve">-0.0026 (0.0041)</w:t>
            </w:r>
          </w:p>
        </w:tc>
        <w:tc>
          <w:tcPr>
            <w:tcW w:type="dxa" w:w="2292"/>
            <w:vAlign w:val="center"/>
          </w:tcPr>
          <w:p>
            <w:pPr>
              <w:pStyle w:val="Compact"/>
              <w:keepNext/>
              <w:keepLines/>
              <w:spacing w:after="40" w:before="40" w:line="252" w:lineRule="auto"/>
              <w:jc w:val="right"/>
            </w:pPr>
            <w:r>
              <w:rPr>
                <w:b w:val="0"/>
                <w:sz w:val="20"/>
              </w:rPr>
              <w:t xml:space="preserve">0.0289</w:t>
            </w:r>
          </w:p>
        </w:tc>
        <w:tc>
          <w:tcPr>
            <w:tcW w:type="dxa" w:w="2149"/>
            <w:vAlign w:val="center"/>
          </w:tcPr>
          <w:p>
            <w:pPr>
              <w:pStyle w:val="Compact"/>
              <w:keepNext/>
              <w:keepLines/>
              <w:spacing w:after="40" w:before="40" w:line="252" w:lineRule="auto"/>
              <w:jc w:val="right"/>
            </w:pPr>
            <w:r>
              <w:rPr>
                <w:b w:val="0"/>
                <w:sz w:val="20"/>
              </w:rPr>
              <w:t xml:space="preserve">0.0287</w:t>
            </w:r>
          </w:p>
        </w:tc>
      </w:tr>
      <w:tr>
        <w:trPr>
          <w:cantSplit/>
        </w:trPr>
        <w:tc>
          <w:tcPr>
            <w:tcW w:type="dxa" w:w="3009"/>
            <w:vAlign w:val="center"/>
          </w:tcPr>
          <w:p>
            <w:pPr>
              <w:pStyle w:val="Compact"/>
              <w:keepNext/>
              <w:keepLines/>
              <w:spacing w:after="40" w:before="40" w:line="252" w:lineRule="auto"/>
              <w:jc w:val="left"/>
            </w:pPr>
            <w:r>
              <w:rPr>
                <w:b w:val="0"/>
                <w:sz w:val="20"/>
              </w:rPr>
              <w:t xml:space="preserve">Two-lognormal mixture</w:t>
            </w:r>
          </w:p>
        </w:tc>
        <w:tc>
          <w:tcPr>
            <w:tcW w:type="dxa" w:w="2292"/>
            <w:vAlign w:val="center"/>
          </w:tcPr>
          <w:p>
            <w:pPr>
              <w:pStyle w:val="Compact"/>
              <w:keepNext/>
              <w:keepLines/>
              <w:spacing w:after="40" w:before="40" w:line="252" w:lineRule="auto"/>
              <w:jc w:val="left"/>
            </w:pPr>
            <w:r>
              <w:rPr>
                <w:b w:val="0"/>
                <w:sz w:val="20"/>
              </w:rPr>
              <w:t xml:space="preserve">Original 81</w:t>
            </w:r>
          </w:p>
        </w:tc>
        <w:tc>
          <w:tcPr>
            <w:tcW w:type="dxa" w:w="2292"/>
            <w:vAlign w:val="center"/>
          </w:tcPr>
          <w:p>
            <w:pPr>
              <w:pStyle w:val="Compact"/>
              <w:keepNext/>
              <w:keepLines/>
              <w:spacing w:after="40" w:before="40" w:line="252" w:lineRule="auto"/>
              <w:jc w:val="right"/>
            </w:pPr>
            <w:r>
              <w:rPr>
                <w:b w:val="0"/>
                <w:sz w:val="20"/>
              </w:rPr>
              <w:t xml:space="preserve">+0.2265</w:t>
            </w:r>
          </w:p>
        </w:tc>
        <w:tc>
          <w:tcPr>
            <w:tcW w:type="dxa" w:w="2292"/>
            <w:vAlign w:val="center"/>
          </w:tcPr>
          <w:p>
            <w:pPr>
              <w:pStyle w:val="Compact"/>
              <w:keepNext/>
              <w:keepLines/>
              <w:spacing w:after="40" w:before="40" w:line="252" w:lineRule="auto"/>
              <w:jc w:val="right"/>
            </w:pPr>
            <w:r>
              <w:rPr>
                <w:b w:val="0"/>
                <w:sz w:val="20"/>
              </w:rPr>
              <w:t xml:space="preserve">+0.3108 (0.0330)</w:t>
            </w:r>
          </w:p>
        </w:tc>
        <w:tc>
          <w:tcPr>
            <w:tcW w:type="dxa" w:w="2292"/>
            <w:vAlign w:val="center"/>
          </w:tcPr>
          <w:p>
            <w:pPr>
              <w:pStyle w:val="Compact"/>
              <w:keepNext/>
              <w:keepLines/>
              <w:spacing w:after="40" w:before="40" w:line="252" w:lineRule="auto"/>
              <w:jc w:val="right"/>
            </w:pPr>
            <w:r>
              <w:rPr>
                <w:b w:val="0"/>
                <w:sz w:val="20"/>
              </w:rPr>
              <w:t xml:space="preserve">0.2333</w:t>
            </w:r>
          </w:p>
        </w:tc>
        <w:tc>
          <w:tcPr>
            <w:tcW w:type="dxa" w:w="2149"/>
            <w:vAlign w:val="center"/>
          </w:tcPr>
          <w:p>
            <w:pPr>
              <w:pStyle w:val="Compact"/>
              <w:keepNext/>
              <w:keepLines/>
              <w:spacing w:after="40" w:before="40" w:line="252" w:lineRule="auto"/>
              <w:jc w:val="right"/>
            </w:pPr>
            <w:r>
              <w:rPr>
                <w:b w:val="0"/>
                <w:sz w:val="20"/>
              </w:rPr>
              <w:t xml:space="preserve">0.3873</w:t>
            </w:r>
          </w:p>
        </w:tc>
      </w:tr>
      <w:tr>
        <w:trPr>
          <w:cantSplit/>
        </w:trPr>
        <w:tc>
          <w:tcPr>
            <w:tcW w:type="dxa" w:w="3009"/>
            <w:vAlign w:val="center"/>
          </w:tcPr>
          <w:p>
            <w:pPr>
              <w:pStyle w:val="Compact"/>
              <w:keepNext/>
              <w:keepLines/>
              <w:spacing w:after="40" w:before="40" w:line="252" w:lineRule="auto"/>
              <w:jc w:val="left"/>
            </w:pPr>
            <w:r>
              <w:rPr>
                <w:b w:val="0"/>
                <w:sz w:val="20"/>
              </w:rPr>
              <w:t xml:space="preserve">Two-lognormal mixture</w:t>
            </w:r>
          </w:p>
        </w:tc>
        <w:tc>
          <w:tcPr>
            <w:tcW w:type="dxa" w:w="2292"/>
            <w:vAlign w:val="center"/>
          </w:tcPr>
          <w:p>
            <w:pPr>
              <w:pStyle w:val="Compact"/>
              <w:keepNext/>
              <w:keepLines/>
              <w:spacing w:after="40" w:before="40" w:line="252" w:lineRule="auto"/>
              <w:jc w:val="left"/>
            </w:pPr>
            <w:r>
              <w:rPr>
                <w:b w:val="0"/>
                <w:sz w:val="20"/>
              </w:rPr>
              <w:t xml:space="preserve">Sparse 41</w:t>
            </w:r>
          </w:p>
        </w:tc>
        <w:tc>
          <w:tcPr>
            <w:tcW w:type="dxa" w:w="2292"/>
            <w:vAlign w:val="center"/>
          </w:tcPr>
          <w:p>
            <w:pPr>
              <w:pStyle w:val="Compact"/>
              <w:keepNext/>
              <w:keepLines/>
              <w:spacing w:after="40" w:before="40" w:line="252" w:lineRule="auto"/>
              <w:jc w:val="right"/>
            </w:pPr>
            <w:r>
              <w:rPr>
                <w:b w:val="0"/>
                <w:sz w:val="20"/>
              </w:rPr>
              <w:t xml:space="preserve">+0.2241</w:t>
            </w:r>
          </w:p>
        </w:tc>
        <w:tc>
          <w:tcPr>
            <w:tcW w:type="dxa" w:w="2292"/>
            <w:vAlign w:val="center"/>
          </w:tcPr>
          <w:p>
            <w:pPr>
              <w:pStyle w:val="Compact"/>
              <w:keepNext/>
              <w:keepLines/>
              <w:spacing w:after="40" w:before="40" w:line="252" w:lineRule="auto"/>
              <w:jc w:val="right"/>
            </w:pPr>
            <w:r>
              <w:rPr>
                <w:b w:val="0"/>
                <w:sz w:val="20"/>
              </w:rPr>
              <w:t xml:space="preserve">+0.3159 (0.0306)</w:t>
            </w:r>
          </w:p>
        </w:tc>
        <w:tc>
          <w:tcPr>
            <w:tcW w:type="dxa" w:w="2292"/>
            <w:vAlign w:val="center"/>
          </w:tcPr>
          <w:p>
            <w:pPr>
              <w:pStyle w:val="Compact"/>
              <w:keepNext/>
              <w:keepLines/>
              <w:spacing w:after="40" w:before="40" w:line="252" w:lineRule="auto"/>
              <w:jc w:val="right"/>
            </w:pPr>
            <w:r>
              <w:rPr>
                <w:b w:val="0"/>
                <w:sz w:val="20"/>
              </w:rPr>
              <w:t xml:space="preserve">0.2164</w:t>
            </w:r>
          </w:p>
        </w:tc>
        <w:tc>
          <w:tcPr>
            <w:tcW w:type="dxa" w:w="2149"/>
            <w:vAlign w:val="center"/>
          </w:tcPr>
          <w:p>
            <w:pPr>
              <w:pStyle w:val="Compact"/>
              <w:keepNext/>
              <w:keepLines/>
              <w:spacing w:after="40" w:before="40" w:line="252" w:lineRule="auto"/>
              <w:jc w:val="right"/>
            </w:pPr>
            <w:r>
              <w:rPr>
                <w:b w:val="0"/>
                <w:sz w:val="20"/>
              </w:rPr>
              <w:t xml:space="preserve">0.3817</w:t>
            </w:r>
          </w:p>
        </w:tc>
      </w:tr>
      <w:tr>
        <w:trPr>
          <w:cantSplit/>
        </w:trPr>
        <w:tc>
          <w:tcPr>
            <w:tcW w:type="dxa" w:w="3009"/>
            <w:vAlign w:val="center"/>
          </w:tcPr>
          <w:p>
            <w:pPr>
              <w:pStyle w:val="Compact"/>
              <w:keepNext/>
              <w:keepLines/>
              <w:spacing w:after="40" w:before="40" w:line="252" w:lineRule="auto"/>
              <w:jc w:val="left"/>
            </w:pPr>
            <w:r>
              <w:rPr>
                <w:b w:val="0"/>
                <w:sz w:val="20"/>
              </w:rPr>
              <w:t xml:space="preserve">Two-lognormal mixture</w:t>
            </w:r>
          </w:p>
        </w:tc>
        <w:tc>
          <w:tcPr>
            <w:tcW w:type="dxa" w:w="2292"/>
            <w:vAlign w:val="center"/>
          </w:tcPr>
          <w:p>
            <w:pPr>
              <w:pStyle w:val="Compact"/>
              <w:keepNext/>
              <w:keepLines/>
              <w:spacing w:after="40" w:before="40" w:line="252" w:lineRule="auto"/>
              <w:jc w:val="left"/>
            </w:pPr>
            <w:r>
              <w:rPr>
                <w:b w:val="0"/>
                <w:sz w:val="20"/>
              </w:rPr>
              <w:t xml:space="preserve">Central 41</w:t>
            </w:r>
          </w:p>
        </w:tc>
        <w:tc>
          <w:tcPr>
            <w:tcW w:type="dxa" w:w="2292"/>
            <w:vAlign w:val="center"/>
          </w:tcPr>
          <w:p>
            <w:pPr>
              <w:pStyle w:val="Compact"/>
              <w:keepNext/>
              <w:keepLines/>
              <w:spacing w:after="40" w:before="40" w:line="252" w:lineRule="auto"/>
              <w:jc w:val="right"/>
            </w:pPr>
            <w:r>
              <w:rPr>
                <w:b w:val="0"/>
                <w:sz w:val="20"/>
              </w:rPr>
              <w:t xml:space="preserve">+0.4398</w:t>
            </w:r>
          </w:p>
        </w:tc>
        <w:tc>
          <w:tcPr>
            <w:tcW w:type="dxa" w:w="2292"/>
            <w:vAlign w:val="center"/>
          </w:tcPr>
          <w:p>
            <w:pPr>
              <w:pStyle w:val="Compact"/>
              <w:keepNext/>
              <w:keepLines/>
              <w:spacing w:after="40" w:before="40" w:line="252" w:lineRule="auto"/>
              <w:jc w:val="right"/>
            </w:pPr>
            <w:r>
              <w:rPr>
                <w:b w:val="0"/>
                <w:sz w:val="20"/>
              </w:rPr>
              <w:t xml:space="preserve">+0.1061 (0.0537)</w:t>
            </w:r>
          </w:p>
        </w:tc>
        <w:tc>
          <w:tcPr>
            <w:tcW w:type="dxa" w:w="2292"/>
            <w:vAlign w:val="center"/>
          </w:tcPr>
          <w:p>
            <w:pPr>
              <w:pStyle w:val="Compact"/>
              <w:keepNext/>
              <w:keepLines/>
              <w:spacing w:after="40" w:before="40" w:line="252" w:lineRule="auto"/>
              <w:jc w:val="right"/>
            </w:pPr>
            <w:r>
              <w:rPr>
                <w:b w:val="0"/>
                <w:sz w:val="20"/>
              </w:rPr>
              <w:t xml:space="preserve">0.3794</w:t>
            </w:r>
          </w:p>
        </w:tc>
        <w:tc>
          <w:tcPr>
            <w:tcW w:type="dxa" w:w="2149"/>
            <w:vAlign w:val="center"/>
          </w:tcPr>
          <w:p>
            <w:pPr>
              <w:pStyle w:val="Compact"/>
              <w:keepNext/>
              <w:keepLines/>
              <w:spacing w:after="40" w:before="40" w:line="252" w:lineRule="auto"/>
              <w:jc w:val="right"/>
            </w:pPr>
            <w:r>
              <w:rPr>
                <w:b w:val="0"/>
                <w:sz w:val="20"/>
              </w:rPr>
              <w:t xml:space="preserve">0.3903</w:t>
            </w:r>
          </w:p>
        </w:tc>
      </w:tr>
      <w:tr>
        <w:trPr>
          <w:cantSplit/>
        </w:trPr>
        <w:tc>
          <w:tcPr>
            <w:tcW w:type="dxa" w:w="3009"/>
            <w:vAlign w:val="center"/>
          </w:tcPr>
          <w:p>
            <w:pPr>
              <w:pStyle w:val="Compact"/>
              <w:keepNext/>
              <w:keepLines/>
              <w:spacing w:after="40" w:before="40" w:line="252" w:lineRule="auto"/>
              <w:jc w:val="left"/>
            </w:pPr>
            <w:r>
              <w:rPr>
                <w:b w:val="0"/>
                <w:sz w:val="20"/>
              </w:rPr>
              <w:t xml:space="preserve">Two-lognormal mixture</w:t>
            </w:r>
          </w:p>
        </w:tc>
        <w:tc>
          <w:tcPr>
            <w:tcW w:type="dxa" w:w="2292"/>
            <w:vAlign w:val="center"/>
          </w:tcPr>
          <w:p>
            <w:pPr>
              <w:pStyle w:val="Compact"/>
              <w:keepNext/>
              <w:keepLines/>
              <w:spacing w:after="40" w:before="40" w:line="252" w:lineRule="auto"/>
              <w:jc w:val="left"/>
            </w:pPr>
            <w:r>
              <w:rPr>
                <w:b w:val="0"/>
                <w:sz w:val="20"/>
              </w:rPr>
              <w:t xml:space="preserve">Extended 121</w:t>
            </w:r>
          </w:p>
        </w:tc>
        <w:tc>
          <w:tcPr>
            <w:tcW w:type="dxa" w:w="2292"/>
            <w:vAlign w:val="center"/>
          </w:tcPr>
          <w:p>
            <w:pPr>
              <w:pStyle w:val="Compact"/>
              <w:keepNext/>
              <w:keepLines/>
              <w:spacing w:after="40" w:before="40" w:line="252" w:lineRule="auto"/>
              <w:jc w:val="right"/>
            </w:pPr>
            <w:r>
              <w:rPr>
                <w:b w:val="0"/>
                <w:sz w:val="20"/>
              </w:rPr>
              <w:t xml:space="preserve">-0.0503</w:t>
            </w:r>
          </w:p>
        </w:tc>
        <w:tc>
          <w:tcPr>
            <w:tcW w:type="dxa" w:w="2292"/>
            <w:vAlign w:val="center"/>
          </w:tcPr>
          <w:p>
            <w:pPr>
              <w:pStyle w:val="Compact"/>
              <w:keepNext/>
              <w:keepLines/>
              <w:spacing w:after="40" w:before="40" w:line="252" w:lineRule="auto"/>
              <w:jc w:val="right"/>
            </w:pPr>
            <w:r>
              <w:rPr>
                <w:b w:val="0"/>
                <w:sz w:val="20"/>
              </w:rPr>
              <w:t xml:space="preserve">-0.0436 (0.0043)</w:t>
            </w:r>
          </w:p>
        </w:tc>
        <w:tc>
          <w:tcPr>
            <w:tcW w:type="dxa" w:w="2292"/>
            <w:vAlign w:val="center"/>
          </w:tcPr>
          <w:p>
            <w:pPr>
              <w:pStyle w:val="Compact"/>
              <w:keepNext/>
              <w:keepLines/>
              <w:spacing w:after="40" w:before="40" w:line="252" w:lineRule="auto"/>
              <w:jc w:val="right"/>
            </w:pPr>
            <w:r>
              <w:rPr>
                <w:b w:val="0"/>
                <w:sz w:val="20"/>
              </w:rPr>
              <w:t xml:space="preserve">0.0304</w:t>
            </w:r>
          </w:p>
        </w:tc>
        <w:tc>
          <w:tcPr>
            <w:tcW w:type="dxa" w:w="2149"/>
            <w:vAlign w:val="center"/>
          </w:tcPr>
          <w:p>
            <w:pPr>
              <w:pStyle w:val="Compact"/>
              <w:keepNext/>
              <w:keepLines/>
              <w:spacing w:after="40" w:before="40" w:line="252" w:lineRule="auto"/>
              <w:jc w:val="right"/>
            </w:pPr>
            <w:r>
              <w:rPr>
                <w:b w:val="0"/>
                <w:sz w:val="20"/>
              </w:rPr>
              <w:t xml:space="preserve">0.0530</w:t>
            </w:r>
          </w:p>
        </w:tc>
      </w:tr>
    </w:tbl>
    <w:p>
      <w:bookmarkStart w:id="595" w:name="table16"/>
      <w:pPr>
        <w:pStyle w:val="TableCaption"/>
      </w:pPr>
      <w:r>
        <w:t xml:space="preserve">Table 16. Error in the 365-day probability above 1.8F with a = 0.5 points. The known probabilities are 0.1187% (single lognormal) and 1.1885% (mixture). All errors and SDs are percentage points. The clean column uses exact input prices once, without a Monte Carlo error bar.</w:t>
      </w:r>
      <w:bookmarkEnd w:id="595"/>
    </w:p>
    <w:p>
      <w:pPr>
        <w:sectPr>
          <w:type w:val="nextPage"/>
          <w:pgSz w:w="16838" w:h="11906" w:orient="landscape"/>
          <w:pgMar w:top="1008" w:bottom="1008" w:left="1152" w:right="1152" w:header="432" w:footer="432" w:gutter="0"/>
          <w:pgNumType w:fmt="decimal"/>
        </w:sectPr>
        <w:spacing w:before="0" w:after="0" w:line="1" w:lineRule="exact"/>
      </w:pPr>
      <w:r>
        <w:rPr>
          <w:sz w:val="2"/>
        </w:rPr>
      </w:r>
    </w:p>
    <w:p>
      <w:pPr>
        <w:pStyle w:val="BodyText"/>
        <w:keepNext/>
        <w:spacing w:after="40"/>
        <w:jc w:val="center"/>
      </w:pPr>
      <w:r>
        <w:drawing>
          <wp:inline>
            <wp:extent cx="5334000" cy="3753555"/>
            <wp:effectExtent b="0" l="0" r="0" t="0"/>
            <wp:docPr descr="Repeated upper-tail errors and clean-input controls" title="" id="107" name="Picture"/>
            <a:graphic>
              <a:graphicData uri="http://schemas.openxmlformats.org/drawingml/2006/picture">
                <pic:pic>
                  <pic:nvPicPr>
                    <pic:cNvPr descr="/workspace/scratch/62b9274b9d7e/spx-density-research/figures/figure_20_repeated_tail_errors.png" id="108" name="Picture"/>
                    <pic:cNvPicPr>
                      <a:picLocks noChangeArrowheads="1" noChangeAspect="1"/>
                    </pic:cNvPicPr>
                  </pic:nvPicPr>
                  <pic:blipFill>
                    <a:blip r:embed="rId106"/>
                    <a:stretch>
                      <a:fillRect/>
                    </a:stretch>
                  </pic:blipFill>
                  <pic:spPr bwMode="auto">
                    <a:xfrm>
                      <a:off x="0" y="0"/>
                      <a:ext cx="5334000" cy="3753555"/>
                    </a:xfrm>
                    <a:prstGeom prst="rect">
                      <a:avLst/>
                    </a:prstGeom>
                    <a:noFill/>
                    <a:ln w="9525">
                      <a:noFill/>
                      <a:headEnd/>
                      <a:tailEnd/>
                    </a:ln>
                  </pic:spPr>
                </pic:pic>
              </a:graphicData>
            </a:graphic>
          </wp:inline>
        </w:drawing>
      </w:r>
    </w:p>
    <w:p>
      <w:bookmarkStart w:id="596" w:name="figure20"/>
      <w:pPr>
        <w:pStyle w:val="FigureCaption"/>
      </w:pPr>
      <w:r>
        <w:t xml:space="preserve">Figure 20. Errors in the 365-day risk-neutral probability above 1.8F, in percentage points. Each row displays all 50 noisy fits, their mean plus or minus one empirical SD, and the corresponding clean-input control. Vertical offsets separate points for visibility and carry no numerical meaning. The spread shown here differs from the Monte Carlo mean-error bars in Figure 19. Horizontal scales may differ between panels.</w:t>
      </w:r>
      <w:bookmarkEnd w:id="596"/>
    </w:p>
    <w:p>
      <w:pPr>
        <w:sectPr>
          <w:type w:val="nextPage"/>
          <w:pgSz w:w="16838" w:h="11906" w:orient="landscape"/>
          <w:pgMar w:top="1008" w:bottom="1008" w:left="1152" w:right="1152" w:header="432" w:footer="432" w:gutter="0"/>
          <w:pgNumType w:fmt="decimal"/>
        </w:sectPr>
        <w:spacing w:before="0" w:after="0" w:line="1" w:lineRule="exact"/>
      </w:pPr>
      <w:r>
        <w:rPr>
          <w:sz w:val="2"/>
        </w:rPr>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586"/>
        <w:gridCol w:w="2394"/>
        <w:gridCol w:w="2394"/>
        <w:gridCol w:w="2202"/>
      </w:tblGrid>
      <w:tr>
        <w:trPr>
          <w:tblHeader w:val="true"/>
          <w:cantSplit/>
          <w:tblHeader/>
        </w:trPr>
        <w:tc>
          <w:tcPr>
            <w:tcW w:type="dxa" w:w="2586"/>
            <w:vAlign w:val="center"/>
            <w:shd w:fill="E9EEF3"/>
          </w:tcPr>
          <w:p>
            <w:pPr>
              <w:pStyle w:val="Compact"/>
              <w:keepNext/>
              <w:keepLines/>
              <w:spacing w:after="40" w:before="40" w:line="252" w:lineRule="auto"/>
              <w:jc w:val="left"/>
            </w:pPr>
            <w:r>
              <w:rPr>
                <w:b/>
                <w:sz w:val="21"/>
              </w:rPr>
              <w:t xml:space="preserve">Benchmark</w:t>
            </w:r>
          </w:p>
        </w:tc>
        <w:tc>
          <w:tcPr>
            <w:tcW w:type="dxa" w:w="2394"/>
            <w:vAlign w:val="center"/>
            <w:shd w:fill="E9EEF3"/>
          </w:tcPr>
          <w:p>
            <w:pPr>
              <w:pStyle w:val="Compact"/>
              <w:keepNext/>
              <w:keepLines/>
              <w:spacing w:after="40" w:before="40" w:line="252" w:lineRule="auto"/>
              <w:jc w:val="left"/>
            </w:pPr>
            <w:r>
              <w:rPr>
                <w:b/>
                <w:sz w:val="21"/>
              </w:rPr>
              <w:t xml:space="preserve">First pattern − second pattern</w:t>
            </w:r>
          </w:p>
        </w:tc>
        <w:tc>
          <w:tcPr>
            <w:tcW w:type="dxa" w:w="2394"/>
            <w:vAlign w:val="center"/>
            <w:shd w:fill="E9EEF3"/>
          </w:tcPr>
          <w:p>
            <w:pPr>
              <w:pStyle w:val="Compact"/>
              <w:keepNext/>
              <w:keepLines/>
              <w:spacing w:after="40" w:before="40" w:line="252" w:lineRule="auto"/>
              <w:jc w:val="right"/>
            </w:pPr>
            <w:r>
              <w:rPr>
                <w:b/>
                <w:sz w:val="21"/>
              </w:rPr>
              <w:t xml:space="preserve">Change in density L1</w:t>
            </w:r>
          </w:p>
        </w:tc>
        <w:tc>
          <w:tcPr>
            <w:tcW w:type="dxa" w:w="2202"/>
            <w:vAlign w:val="center"/>
            <w:shd w:fill="E9EEF3"/>
          </w:tcPr>
          <w:p>
            <w:pPr>
              <w:pStyle w:val="Compact"/>
              <w:keepNext/>
              <w:keepLines/>
              <w:spacing w:after="40" w:before="40" w:line="252" w:lineRule="auto"/>
              <w:jc w:val="right"/>
            </w:pPr>
            <w:r>
              <w:rPr>
                <w:b/>
                <w:sz w:val="21"/>
              </w:rPr>
              <w:t xml:space="preserve">Change in mean absolute tail error (pp)</w:t>
            </w:r>
          </w:p>
        </w:tc>
      </w:tr>
      <w:tr>
        <w:trPr>
          <w:cantSplit/>
        </w:trPr>
        <w:tc>
          <w:tcPr>
            <w:tcW w:type="dxa" w:w="2586"/>
            <w:vAlign w:val="center"/>
          </w:tcPr>
          <w:p>
            <w:pPr>
              <w:pStyle w:val="Compact"/>
              <w:keepNext/>
              <w:keepLines/>
              <w:spacing w:after="40" w:before="40" w:line="252" w:lineRule="auto"/>
              <w:jc w:val="left"/>
            </w:pPr>
            <w:r>
              <w:rPr>
                <w:b w:val="0"/>
                <w:sz w:val="21"/>
              </w:rPr>
              <w:t xml:space="preserve">Single lognormal</w:t>
            </w:r>
          </w:p>
        </w:tc>
        <w:tc>
          <w:tcPr>
            <w:tcW w:type="dxa" w:w="2394"/>
            <w:vAlign w:val="center"/>
          </w:tcPr>
          <w:p>
            <w:pPr>
              <w:pStyle w:val="Compact"/>
              <w:keepNext/>
              <w:keepLines/>
              <w:spacing w:after="40" w:before="40" w:line="252" w:lineRule="auto"/>
              <w:jc w:val="left"/>
            </w:pPr>
            <w:r>
              <w:rPr>
                <w:b w:val="0"/>
                <w:sz w:val="21"/>
              </w:rPr>
              <w:t xml:space="preserve">Sparse 41 − Original 81</w:t>
            </w:r>
          </w:p>
        </w:tc>
        <w:tc>
          <w:tcPr>
            <w:tcW w:type="dxa" w:w="2394"/>
            <w:vAlign w:val="center"/>
          </w:tcPr>
          <w:p>
            <w:pPr>
              <w:pStyle w:val="Compact"/>
              <w:keepNext/>
              <w:keepLines/>
              <w:spacing w:after="40" w:before="40" w:line="252" w:lineRule="auto"/>
              <w:jc w:val="right"/>
            </w:pPr>
            <w:r>
              <w:rPr>
                <w:b w:val="0"/>
                <w:sz w:val="21"/>
              </w:rPr>
              <w:t xml:space="preserve">+0.0030 (0.0001)</w:t>
            </w:r>
          </w:p>
        </w:tc>
        <w:tc>
          <w:tcPr>
            <w:tcW w:type="dxa" w:w="2202"/>
            <w:vAlign w:val="center"/>
          </w:tcPr>
          <w:p>
            <w:pPr>
              <w:pStyle w:val="Compact"/>
              <w:keepNext/>
              <w:keepLines/>
              <w:spacing w:after="40" w:before="40" w:line="252" w:lineRule="auto"/>
              <w:jc w:val="right"/>
            </w:pPr>
            <w:r>
              <w:rPr>
                <w:b w:val="0"/>
                <w:sz w:val="21"/>
              </w:rPr>
              <w:t xml:space="preserve">+0.0042 (0.0030)</w:t>
            </w:r>
          </w:p>
        </w:tc>
      </w:tr>
      <w:tr>
        <w:trPr>
          <w:cantSplit/>
        </w:trPr>
        <w:tc>
          <w:tcPr>
            <w:tcW w:type="dxa" w:w="2586"/>
            <w:vAlign w:val="center"/>
          </w:tcPr>
          <w:p>
            <w:pPr>
              <w:pStyle w:val="Compact"/>
              <w:keepNext/>
              <w:keepLines/>
              <w:spacing w:after="40" w:before="40" w:line="252" w:lineRule="auto"/>
              <w:jc w:val="left"/>
            </w:pPr>
            <w:r>
              <w:rPr>
                <w:b w:val="0"/>
                <w:sz w:val="21"/>
              </w:rPr>
              <w:t xml:space="preserve">Single lognormal</w:t>
            </w:r>
          </w:p>
        </w:tc>
        <w:tc>
          <w:tcPr>
            <w:tcW w:type="dxa" w:w="2394"/>
            <w:vAlign w:val="center"/>
          </w:tcPr>
          <w:p>
            <w:pPr>
              <w:pStyle w:val="Compact"/>
              <w:keepNext/>
              <w:keepLines/>
              <w:spacing w:after="40" w:before="40" w:line="252" w:lineRule="auto"/>
              <w:jc w:val="left"/>
            </w:pPr>
            <w:r>
              <w:rPr>
                <w:b w:val="0"/>
                <w:sz w:val="21"/>
              </w:rPr>
              <w:t xml:space="preserve">Central 41 − Original 81</w:t>
            </w:r>
          </w:p>
        </w:tc>
        <w:tc>
          <w:tcPr>
            <w:tcW w:type="dxa" w:w="2394"/>
            <w:vAlign w:val="center"/>
          </w:tcPr>
          <w:p>
            <w:pPr>
              <w:pStyle w:val="Compact"/>
              <w:keepNext/>
              <w:keepLines/>
              <w:spacing w:after="40" w:before="40" w:line="252" w:lineRule="auto"/>
              <w:jc w:val="right"/>
            </w:pPr>
            <w:r>
              <w:rPr>
                <w:b w:val="0"/>
                <w:sz w:val="21"/>
              </w:rPr>
              <w:t xml:space="preserve">+0.0091 (0.0004)</w:t>
            </w:r>
          </w:p>
        </w:tc>
        <w:tc>
          <w:tcPr>
            <w:tcW w:type="dxa" w:w="2202"/>
            <w:vAlign w:val="center"/>
          </w:tcPr>
          <w:p>
            <w:pPr>
              <w:pStyle w:val="Compact"/>
              <w:keepNext/>
              <w:keepLines/>
              <w:spacing w:after="40" w:before="40" w:line="252" w:lineRule="auto"/>
              <w:jc w:val="right"/>
            </w:pPr>
            <w:r>
              <w:rPr>
                <w:b w:val="0"/>
                <w:sz w:val="21"/>
              </w:rPr>
              <w:t xml:space="preserve">+0.0661 (0.0129)</w:t>
            </w:r>
          </w:p>
        </w:tc>
      </w:tr>
      <w:tr>
        <w:trPr>
          <w:cantSplit/>
        </w:trPr>
        <w:tc>
          <w:tcPr>
            <w:tcW w:type="dxa" w:w="2586"/>
            <w:vAlign w:val="center"/>
          </w:tcPr>
          <w:p>
            <w:pPr>
              <w:pStyle w:val="Compact"/>
              <w:keepNext/>
              <w:keepLines/>
              <w:spacing w:after="40" w:before="40" w:line="252" w:lineRule="auto"/>
              <w:jc w:val="left"/>
            </w:pPr>
            <w:r>
              <w:rPr>
                <w:b w:val="0"/>
                <w:sz w:val="21"/>
              </w:rPr>
              <w:t xml:space="preserve">Single lognormal</w:t>
            </w:r>
          </w:p>
        </w:tc>
        <w:tc>
          <w:tcPr>
            <w:tcW w:type="dxa" w:w="2394"/>
            <w:vAlign w:val="center"/>
          </w:tcPr>
          <w:p>
            <w:pPr>
              <w:pStyle w:val="Compact"/>
              <w:keepNext/>
              <w:keepLines/>
              <w:spacing w:after="40" w:before="40" w:line="252" w:lineRule="auto"/>
              <w:jc w:val="left"/>
            </w:pPr>
            <w:r>
              <w:rPr>
                <w:b w:val="0"/>
                <w:sz w:val="21"/>
              </w:rPr>
              <w:t xml:space="preserve">Extended 121 − Original 81</w:t>
            </w:r>
          </w:p>
        </w:tc>
        <w:tc>
          <w:tcPr>
            <w:tcW w:type="dxa" w:w="2394"/>
            <w:vAlign w:val="center"/>
          </w:tcPr>
          <w:p>
            <w:pPr>
              <w:pStyle w:val="Compact"/>
              <w:keepNext/>
              <w:keepLines/>
              <w:spacing w:after="40" w:before="40" w:line="252" w:lineRule="auto"/>
              <w:jc w:val="right"/>
            </w:pPr>
            <w:r>
              <w:rPr>
                <w:b w:val="0"/>
                <w:sz w:val="21"/>
              </w:rPr>
              <w:t xml:space="preserve">-0.0022 (0.0001)</w:t>
            </w:r>
          </w:p>
        </w:tc>
        <w:tc>
          <w:tcPr>
            <w:tcW w:type="dxa" w:w="2202"/>
            <w:vAlign w:val="center"/>
          </w:tcPr>
          <w:p>
            <w:pPr>
              <w:pStyle w:val="Compact"/>
              <w:keepNext/>
              <w:keepLines/>
              <w:spacing w:after="40" w:before="40" w:line="252" w:lineRule="auto"/>
              <w:jc w:val="right"/>
            </w:pPr>
            <w:r>
              <w:rPr>
                <w:b w:val="0"/>
                <w:sz w:val="21"/>
              </w:rPr>
              <w:t xml:space="preserve">-0.0231 (0.0050)</w:t>
            </w:r>
          </w:p>
        </w:tc>
      </w:tr>
      <w:tr>
        <w:trPr>
          <w:cantSplit/>
        </w:trPr>
        <w:tc>
          <w:tcPr>
            <w:tcW w:type="dxa" w:w="2586"/>
            <w:vAlign w:val="center"/>
          </w:tcPr>
          <w:p>
            <w:pPr>
              <w:pStyle w:val="Compact"/>
              <w:keepNext/>
              <w:keepLines/>
              <w:spacing w:after="40" w:before="40" w:line="252" w:lineRule="auto"/>
              <w:jc w:val="left"/>
            </w:pPr>
            <w:r>
              <w:rPr>
                <w:b w:val="0"/>
                <w:sz w:val="21"/>
              </w:rPr>
              <w:t xml:space="preserve">Single lognormal</w:t>
            </w:r>
          </w:p>
        </w:tc>
        <w:tc>
          <w:tcPr>
            <w:tcW w:type="dxa" w:w="2394"/>
            <w:vAlign w:val="center"/>
          </w:tcPr>
          <w:p>
            <w:pPr>
              <w:pStyle w:val="Compact"/>
              <w:keepNext/>
              <w:keepLines/>
              <w:spacing w:after="40" w:before="40" w:line="252" w:lineRule="auto"/>
              <w:jc w:val="left"/>
            </w:pPr>
            <w:r>
              <w:rPr>
                <w:b w:val="0"/>
                <w:sz w:val="21"/>
              </w:rPr>
              <w:t xml:space="preserve">Central 41 − Sparse 41</w:t>
            </w:r>
          </w:p>
        </w:tc>
        <w:tc>
          <w:tcPr>
            <w:tcW w:type="dxa" w:w="2394"/>
            <w:vAlign w:val="center"/>
          </w:tcPr>
          <w:p>
            <w:pPr>
              <w:pStyle w:val="Compact"/>
              <w:keepNext/>
              <w:keepLines/>
              <w:spacing w:after="40" w:before="40" w:line="252" w:lineRule="auto"/>
              <w:jc w:val="right"/>
            </w:pPr>
            <w:r>
              <w:rPr>
                <w:b w:val="0"/>
                <w:sz w:val="21"/>
              </w:rPr>
              <w:t xml:space="preserve">+0.0061 (0.0004)</w:t>
            </w:r>
          </w:p>
        </w:tc>
        <w:tc>
          <w:tcPr>
            <w:tcW w:type="dxa" w:w="2202"/>
            <w:vAlign w:val="center"/>
          </w:tcPr>
          <w:p>
            <w:pPr>
              <w:pStyle w:val="Compact"/>
              <w:keepNext/>
              <w:keepLines/>
              <w:spacing w:after="40" w:before="40" w:line="252" w:lineRule="auto"/>
              <w:jc w:val="right"/>
            </w:pPr>
            <w:r>
              <w:rPr>
                <w:b w:val="0"/>
                <w:sz w:val="21"/>
              </w:rPr>
              <w:t xml:space="preserve">+0.0618 (0.0132)</w:t>
            </w:r>
          </w:p>
        </w:tc>
      </w:tr>
      <w:tr>
        <w:trPr>
          <w:cantSplit/>
        </w:trPr>
        <w:tc>
          <w:tcPr>
            <w:tcW w:type="dxa" w:w="2586"/>
            <w:vAlign w:val="center"/>
          </w:tcPr>
          <w:p>
            <w:pPr>
              <w:pStyle w:val="Compact"/>
              <w:keepNext/>
              <w:keepLines/>
              <w:spacing w:after="40" w:before="40" w:line="252" w:lineRule="auto"/>
              <w:jc w:val="left"/>
            </w:pPr>
            <w:r>
              <w:rPr>
                <w:b w:val="0"/>
                <w:sz w:val="21"/>
              </w:rPr>
              <w:t xml:space="preserve">Two-lognormal mixture</w:t>
            </w:r>
          </w:p>
        </w:tc>
        <w:tc>
          <w:tcPr>
            <w:tcW w:type="dxa" w:w="2394"/>
            <w:vAlign w:val="center"/>
          </w:tcPr>
          <w:p>
            <w:pPr>
              <w:pStyle w:val="Compact"/>
              <w:keepNext/>
              <w:keepLines/>
              <w:spacing w:after="40" w:before="40" w:line="252" w:lineRule="auto"/>
              <w:jc w:val="left"/>
            </w:pPr>
            <w:r>
              <w:rPr>
                <w:b w:val="0"/>
                <w:sz w:val="21"/>
              </w:rPr>
              <w:t xml:space="preserve">Sparse 41 − Original 81</w:t>
            </w:r>
          </w:p>
        </w:tc>
        <w:tc>
          <w:tcPr>
            <w:tcW w:type="dxa" w:w="2394"/>
            <w:vAlign w:val="center"/>
          </w:tcPr>
          <w:p>
            <w:pPr>
              <w:pStyle w:val="Compact"/>
              <w:keepNext/>
              <w:keepLines/>
              <w:spacing w:after="40" w:before="40" w:line="252" w:lineRule="auto"/>
              <w:jc w:val="right"/>
            </w:pPr>
            <w:r>
              <w:rPr>
                <w:b w:val="0"/>
                <w:sz w:val="21"/>
              </w:rPr>
              <w:t xml:space="preserve">+0.0048 (0.0003)</w:t>
            </w:r>
          </w:p>
        </w:tc>
        <w:tc>
          <w:tcPr>
            <w:tcW w:type="dxa" w:w="2202"/>
            <w:vAlign w:val="center"/>
          </w:tcPr>
          <w:p>
            <w:pPr>
              <w:pStyle w:val="Compact"/>
              <w:keepNext/>
              <w:keepLines/>
              <w:spacing w:after="40" w:before="40" w:line="252" w:lineRule="auto"/>
              <w:jc w:val="right"/>
            </w:pPr>
            <w:r>
              <w:rPr>
                <w:b w:val="0"/>
                <w:sz w:val="21"/>
              </w:rPr>
              <w:t xml:space="preserve">+0.0050 (0.0196)</w:t>
            </w:r>
          </w:p>
        </w:tc>
      </w:tr>
      <w:tr>
        <w:trPr>
          <w:cantSplit/>
        </w:trPr>
        <w:tc>
          <w:tcPr>
            <w:tcW w:type="dxa" w:w="2586"/>
            <w:vAlign w:val="center"/>
          </w:tcPr>
          <w:p>
            <w:pPr>
              <w:pStyle w:val="Compact"/>
              <w:keepNext/>
              <w:keepLines/>
              <w:spacing w:after="40" w:before="40" w:line="252" w:lineRule="auto"/>
              <w:jc w:val="left"/>
            </w:pPr>
            <w:r>
              <w:rPr>
                <w:b w:val="0"/>
                <w:sz w:val="21"/>
              </w:rPr>
              <w:t xml:space="preserve">Two-lognormal mixture</w:t>
            </w:r>
          </w:p>
        </w:tc>
        <w:tc>
          <w:tcPr>
            <w:tcW w:type="dxa" w:w="2394"/>
            <w:vAlign w:val="center"/>
          </w:tcPr>
          <w:p>
            <w:pPr>
              <w:pStyle w:val="Compact"/>
              <w:keepNext/>
              <w:keepLines/>
              <w:spacing w:after="40" w:before="40" w:line="252" w:lineRule="auto"/>
              <w:jc w:val="left"/>
            </w:pPr>
            <w:r>
              <w:rPr>
                <w:b w:val="0"/>
                <w:sz w:val="21"/>
              </w:rPr>
              <w:t xml:space="preserve">Central 41 − Original 81</w:t>
            </w:r>
          </w:p>
        </w:tc>
        <w:tc>
          <w:tcPr>
            <w:tcW w:type="dxa" w:w="2394"/>
            <w:vAlign w:val="center"/>
          </w:tcPr>
          <w:p>
            <w:pPr>
              <w:pStyle w:val="Compact"/>
              <w:keepNext/>
              <w:keepLines/>
              <w:spacing w:after="40" w:before="40" w:line="252" w:lineRule="auto"/>
              <w:jc w:val="right"/>
            </w:pPr>
            <w:r>
              <w:rPr>
                <w:b w:val="0"/>
                <w:sz w:val="21"/>
              </w:rPr>
              <w:t xml:space="preserve">+0.0648 (0.0007)</w:t>
            </w:r>
          </w:p>
        </w:tc>
        <w:tc>
          <w:tcPr>
            <w:tcW w:type="dxa" w:w="2202"/>
            <w:vAlign w:val="center"/>
          </w:tcPr>
          <w:p>
            <w:pPr>
              <w:pStyle w:val="Compact"/>
              <w:keepNext/>
              <w:keepLines/>
              <w:spacing w:after="40" w:before="40" w:line="252" w:lineRule="auto"/>
              <w:jc w:val="right"/>
            </w:pPr>
            <w:r>
              <w:rPr>
                <w:b w:val="0"/>
                <w:sz w:val="21"/>
              </w:rPr>
              <w:t xml:space="preserve">+0.0475 (0.0425)</w:t>
            </w:r>
          </w:p>
        </w:tc>
      </w:tr>
      <w:tr>
        <w:trPr>
          <w:cantSplit/>
        </w:trPr>
        <w:tc>
          <w:tcPr>
            <w:tcW w:type="dxa" w:w="2586"/>
            <w:vAlign w:val="center"/>
          </w:tcPr>
          <w:p>
            <w:pPr>
              <w:pStyle w:val="Compact"/>
              <w:keepNext/>
              <w:keepLines/>
              <w:spacing w:after="40" w:before="40" w:line="252" w:lineRule="auto"/>
              <w:jc w:val="left"/>
            </w:pPr>
            <w:r>
              <w:rPr>
                <w:b w:val="0"/>
                <w:sz w:val="21"/>
              </w:rPr>
              <w:t xml:space="preserve">Two-lognormal mixture</w:t>
            </w:r>
          </w:p>
        </w:tc>
        <w:tc>
          <w:tcPr>
            <w:tcW w:type="dxa" w:w="2394"/>
            <w:vAlign w:val="center"/>
          </w:tcPr>
          <w:p>
            <w:pPr>
              <w:pStyle w:val="Compact"/>
              <w:keepNext/>
              <w:keepLines/>
              <w:spacing w:after="40" w:before="40" w:line="252" w:lineRule="auto"/>
              <w:jc w:val="left"/>
            </w:pPr>
            <w:r>
              <w:rPr>
                <w:b w:val="0"/>
                <w:sz w:val="21"/>
              </w:rPr>
              <w:t xml:space="preserve">Extended 121 − Original 81</w:t>
            </w:r>
          </w:p>
        </w:tc>
        <w:tc>
          <w:tcPr>
            <w:tcW w:type="dxa" w:w="2394"/>
            <w:vAlign w:val="center"/>
          </w:tcPr>
          <w:p>
            <w:pPr>
              <w:pStyle w:val="Compact"/>
              <w:keepNext/>
              <w:keepLines/>
              <w:spacing w:after="40" w:before="40" w:line="252" w:lineRule="auto"/>
              <w:jc w:val="right"/>
            </w:pPr>
            <w:r>
              <w:rPr>
                <w:b w:val="0"/>
                <w:sz w:val="21"/>
              </w:rPr>
              <w:t xml:space="preserve">-0.0053 (0.0004)</w:t>
            </w:r>
          </w:p>
        </w:tc>
        <w:tc>
          <w:tcPr>
            <w:tcW w:type="dxa" w:w="2202"/>
            <w:vAlign w:val="center"/>
          </w:tcPr>
          <w:p>
            <w:pPr>
              <w:pStyle w:val="Compact"/>
              <w:keepNext/>
              <w:keepLines/>
              <w:spacing w:after="40" w:before="40" w:line="252" w:lineRule="auto"/>
              <w:jc w:val="right"/>
            </w:pPr>
            <w:r>
              <w:rPr>
                <w:b w:val="0"/>
                <w:sz w:val="21"/>
              </w:rPr>
              <w:t xml:space="preserve">-0.2632 (0.0338)</w:t>
            </w:r>
          </w:p>
        </w:tc>
      </w:tr>
      <w:tr>
        <w:trPr>
          <w:cantSplit/>
        </w:trPr>
        <w:tc>
          <w:tcPr>
            <w:tcW w:type="dxa" w:w="2586"/>
            <w:vAlign w:val="center"/>
          </w:tcPr>
          <w:p>
            <w:pPr>
              <w:pStyle w:val="Compact"/>
              <w:keepNext/>
              <w:keepLines/>
              <w:spacing w:after="40" w:before="40" w:line="252" w:lineRule="auto"/>
              <w:jc w:val="left"/>
            </w:pPr>
            <w:r>
              <w:rPr>
                <w:b w:val="0"/>
                <w:sz w:val="21"/>
              </w:rPr>
              <w:t xml:space="preserve">Two-lognormal mixture</w:t>
            </w:r>
          </w:p>
        </w:tc>
        <w:tc>
          <w:tcPr>
            <w:tcW w:type="dxa" w:w="2394"/>
            <w:vAlign w:val="center"/>
          </w:tcPr>
          <w:p>
            <w:pPr>
              <w:pStyle w:val="Compact"/>
              <w:keepNext/>
              <w:keepLines/>
              <w:spacing w:after="40" w:before="40" w:line="252" w:lineRule="auto"/>
              <w:jc w:val="left"/>
            </w:pPr>
            <w:r>
              <w:rPr>
                <w:b w:val="0"/>
                <w:sz w:val="21"/>
              </w:rPr>
              <w:t xml:space="preserve">Central 41 − Sparse 41</w:t>
            </w:r>
          </w:p>
        </w:tc>
        <w:tc>
          <w:tcPr>
            <w:tcW w:type="dxa" w:w="2394"/>
            <w:vAlign w:val="center"/>
          </w:tcPr>
          <w:p>
            <w:pPr>
              <w:pStyle w:val="Compact"/>
              <w:keepNext/>
              <w:keepLines/>
              <w:spacing w:after="40" w:before="40" w:line="252" w:lineRule="auto"/>
              <w:jc w:val="right"/>
            </w:pPr>
            <w:r>
              <w:rPr>
                <w:b w:val="0"/>
                <w:sz w:val="21"/>
              </w:rPr>
              <w:t xml:space="preserve">+0.0600 (0.0006)</w:t>
            </w:r>
          </w:p>
        </w:tc>
        <w:tc>
          <w:tcPr>
            <w:tcW w:type="dxa" w:w="2202"/>
            <w:vAlign w:val="center"/>
          </w:tcPr>
          <w:p>
            <w:pPr>
              <w:pStyle w:val="Compact"/>
              <w:keepNext/>
              <w:keepLines/>
              <w:spacing w:after="40" w:before="40" w:line="252" w:lineRule="auto"/>
              <w:jc w:val="right"/>
            </w:pPr>
            <w:r>
              <w:rPr>
                <w:b w:val="0"/>
                <w:sz w:val="21"/>
              </w:rPr>
              <w:t xml:space="preserve">+0.0425 (0.0394)</w:t>
            </w:r>
          </w:p>
        </w:tc>
      </w:tr>
    </w:tbl>
    <w:p>
      <w:bookmarkStart w:id="597" w:name="table17"/>
      <w:pPr>
        <w:pStyle w:val="TableCaption"/>
      </w:pPr>
      <w:r>
        <w:t xml:space="preserve">Table 17. Paired changes at a = 0.5 points, with one MCSE in parentheses. Each difference uses matched repetitions. Negative values mean a smaller error for the first pattern. The tail measure is mean absolute probability error at 365 days, in percentage points.</w:t>
      </w:r>
      <w:bookmarkEnd w:id="597"/>
    </w:p>
    <w:p>
      <w:pPr>
        <w:pStyle w:val="BodyText"/>
      </w:pPr>
      <w:r>
        <w:t xml:space="preserve">For the single lognormal, the mean estimated probability above</w:t>
      </w:r>
      <w:r>
        <w:t xml:space="preserve"> </w:t>
      </w:r>
      <m:oMath>
        <m:r>
          <m:t>1.8</m:t>
        </m:r>
        <m:r>
          <m:t>F</m:t>
        </m:r>
      </m:oMath>
      <w:r>
        <w:t xml:space="preserve"> </w:t>
      </w:r>
      <w:r>
        <w:t xml:space="preserve">moves from 0.0744% under Original 81 to 0.1161% under Extended 121, against truth 0.1187%. The paired reduction in absolute probability error is 0.0231 percentage points, with MCSE 0.0050. For the mixture, the estimates move from 1.4994% to 1.1450%, against truth 1.1885%; the paired reduction in absolute error is 0.2632 percentage points, with MCSE 0.0338.</w:t>
      </w:r>
    </w:p>
    <w:p>
      <w:pPr>
        <w:pStyle w:val="BodyText"/>
      </w:pPr>
      <w:r>
        <w:t xml:space="preserve">The full batch contains 800 noisy and eight clean fits, or 6,464 marginal densities. All 808 joint fits meet the acceptance rule; the worst calendar gap is</w:t>
      </w:r>
      <w:r>
        <w:t xml:space="preserve"> </w:t>
      </w:r>
      <m:oMath>
        <m:r>
          <m:rPr>
            <m:sty m:val="p"/>
          </m:rPr>
          <m:t>−</m:t>
        </m:r>
        <m:r>
          <m:t>9.995</m:t>
        </m:r>
        <m:r>
          <m:rPr>
            <m:sty m:val="p"/>
          </m:rPr>
          <m:t>×</m:t>
        </m:r>
        <m:sSup>
          <m:e>
            <m:r>
              <m:t>10</m:t>
            </m:r>
          </m:e>
          <m:sup>
            <m:r>
              <m:rPr>
                <m:sty m:val="p"/>
              </m:rPr>
              <m:t>−</m:t>
            </m:r>
            <m:r>
              <m:t>10</m:t>
            </m:r>
          </m:sup>
        </m:sSup>
      </m:oMath>
      <w:r>
        <w:t xml:space="preserve">. These successes describe numerical completion. They do not remove the model, support or missing-information errors measured above.</w:t>
      </w:r>
    </w:p>
    <w:bookmarkEnd w:id="109"/>
    <w:bookmarkEnd w:id="110"/>
    <w:bookmarkStart w:id="123" w:name="Xf71a9aec8930197f29443183dcf85527952ff09"/>
    <w:p>
      <w:bookmarkStart w:id="598" w:name="h25"/>
      <w:pPr>
        <w:pStyle w:val="Heading1"/>
        <w:numPr>
          <w:ilvl w:val="0"/>
          <w:numId w:val="70"/>
        </w:numPr>
      </w:pPr>
      <w:bookmarkEnd w:id="598"/>
      <w:r>
        <w:t>Smoothing selection and forward sensitivity</w:t>
      </w:r>
    </w:p>
    <w:bookmarkStart w:id="114" w:name="X6316e98355577740eccfebb8fb0fc5570fcd0b8"/>
    <w:p>
      <w:bookmarkStart w:id="599" w:name="h26"/>
      <w:pPr>
        <w:pStyle w:val="Heading2"/>
        <w:numPr>
          <w:ilvl w:val="1"/>
          <w:numId w:val="70"/>
        </w:numPr>
      </w:pPr>
      <w:bookmarkEnd w:id="599"/>
      <w:r>
        <w:t>Evaluating a complete selection procedure</w:t>
      </w:r>
    </w:p>
    <w:p>
      <w:pPr>
        <w:pStyle w:val="FirstParagraph"/>
      </w:pPr>
      <w:r>
        <w:t xml:space="preserve">As Cawley and Talbot explain in</w:t>
      </w:r>
      <w:r>
        <w:t xml:space="preserve"> </w:t>
      </w:r>
      <w:r>
        <w:rPr>
          <w:iCs/>
          <w:i/>
        </w:rPr>
        <w:t xml:space="preserve">On Over-fitting in Model Selection and Subsequent Selection Bias in Performance Evaluation</w:t>
      </w:r>
      <w:r>
        <w:t xml:space="preserve">, tuning a method and assessing its performance are distinct operations [17]. This study therefore selects smoothing from noisy prices alone and reserves clean prices, densities and event probabilities for evaluation. It uses Original 81 and Extended 121, both benchmarks and twenty new paired realisations at amplitude 0.5 points.</w:t>
      </w:r>
    </w:p>
    <w:p>
      <w:pPr>
        <w:pStyle w:val="BodyText"/>
      </w:pPr>
      <w:r>
        <w:t xml:space="preserve">The declared candidates are</w:t>
      </w:r>
      <w:r>
        <w:t xml:space="preserve"> </w:t>
      </w:r>
      <m:oMath>
        <m:r>
          <m:t>Λ</m:t>
        </m:r>
        <m:r>
          <m:rPr>
            <m:sty m:val="p"/>
          </m:rPr>
          <m:t>=</m:t>
        </m:r>
        <m:r>
          <m:rPr>
            <m:sty m:val="p"/>
          </m:rPr>
          <m:t>{</m:t>
        </m:r>
        <m:sSup>
          <m:e>
            <m:r>
              <m:t>10</m:t>
            </m:r>
          </m:e>
          <m:sup>
            <m:r>
              <m:rPr>
                <m:sty m:val="p"/>
              </m:rPr>
              <m:t>−</m:t>
            </m:r>
            <m:r>
              <m:t>7</m:t>
            </m:r>
          </m:sup>
        </m:sSup>
        <m:r>
          <m:rPr>
            <m:sty m:val="p"/>
          </m:rPr>
          <m:t>,</m:t>
        </m:r>
        <m:sSup>
          <m:e>
            <m:r>
              <m:t>10</m:t>
            </m:r>
          </m:e>
          <m:sup>
            <m:r>
              <m:rPr>
                <m:sty m:val="p"/>
              </m:rPr>
              <m:t>−</m:t>
            </m:r>
            <m:r>
              <m:t>6</m:t>
            </m:r>
          </m:sup>
        </m:sSup>
        <m:r>
          <m:rPr>
            <m:sty m:val="p"/>
          </m:rPr>
          <m:t>,</m:t>
        </m:r>
        <m:sSup>
          <m:e>
            <m:r>
              <m:t>10</m:t>
            </m:r>
          </m:e>
          <m:sup>
            <m:r>
              <m:rPr>
                <m:sty m:val="p"/>
              </m:rPr>
              <m:t>−</m:t>
            </m:r>
            <m:r>
              <m:t>5</m:t>
            </m:r>
          </m:sup>
        </m:sSup>
        <m:r>
          <m:rPr>
            <m:sty m:val="p"/>
          </m:rPr>
          <m:t>}</m:t>
        </m:r>
      </m:oMath>
      <w:r>
        <w:t xml:space="preserve">. Interior strikes are assigned in order to three interlaced folds, while both endpoints remain in training. All eight maturities are fitted jointly in every fold. Equation (30) pools the individual held-out errors after forward scaling and resolves exact ties in favour of the larger coefficient.</w:t>
      </w:r>
    </w:p>
    <w:p>
      <w:pPr>
        <w:pStyle w:val="BodyText"/>
        <w:keepNext/>
        <w:spacing w:before="120" w:after="40"/>
        <w:jc w:val="center"/>
      </w:pPr>
      <m:oMathPara>
        <m:oMathParaPr>
          <m:jc m:val="center"/>
        </m:oMathParaPr>
        <m:oMath>
          <m:m>
            <m:mPr>
              <m:baseJc m:val="center"/>
              <m:plcHide m:val="on"/>
              <m:mcs>
                <m:mc>
                  <m:mcPr>
                    <m:mcJc m:val="center"/>
                    <m:count m:val="1"/>
                  </m:mcPr>
                </m:mc>
              </m:mcs>
            </m:mPr>
            <m:mr>
              <m:e>
                <m:r>
                  <m:rPr>
                    <m:sty m:val="p"/>
                  </m:rPr>
                  <m:t>CV</m:t>
                </m:r>
                <m:d>
                  <m:dPr>
                    <m:begChr m:val="("/>
                    <m:endChr m:val=")"/>
                    <m:sepChr m:val=""/>
                    <m:grow/>
                  </m:dPr>
                  <m:e>
                    <m:r>
                      <m:t>λ</m:t>
                    </m:r>
                  </m:e>
                </m:d>
                <m:r>
                  <m:rPr>
                    <m:sty m:val="p"/>
                  </m:rPr>
                  <m:t>=</m:t>
                </m:r>
                <m:f>
                  <m:fPr>
                    <m:type m:val="bar"/>
                  </m:fPr>
                  <m:num>
                    <m:nary>
                      <m:naryPr>
                        <m:chr m:val="∑"/>
                        <m:limLoc m:val="undOvr"/>
                        <m:subHide m:val="off"/>
                        <m:supHide m:val="off"/>
                      </m:naryPr>
                      <m:sub>
                        <m:r>
                          <m:t>k</m:t>
                        </m:r>
                        <m:r>
                          <m:rPr>
                            <m:sty m:val="p"/>
                          </m:rPr>
                          <m:t>=</m:t>
                        </m:r>
                        <m:r>
                          <m:t>1</m:t>
                        </m:r>
                      </m:sub>
                      <m:sup>
                        <m:r>
                          <m:t>3</m:t>
                        </m:r>
                      </m:sup>
                      <m:e>
                        <m:nary>
                          <m:naryPr>
                            <m:chr m:val="∑"/>
                            <m:limLoc m:val="undOvr"/>
                            <m:subHide m:val="off"/>
                            <m:supHide m:val="off"/>
                          </m:naryPr>
                          <m:sub>
                            <m:r>
                              <m:t>m</m:t>
                            </m:r>
                            <m:r>
                              <m:rPr>
                                <m:sty m:val="p"/>
                              </m:rPr>
                              <m:t>=</m:t>
                            </m:r>
                            <m:r>
                              <m:t>1</m:t>
                            </m:r>
                          </m:sub>
                          <m:sup>
                            <m:r>
                              <m:t>M</m:t>
                            </m:r>
                          </m:sup>
                          <m:e>
                            <m:nary>
                              <m:naryPr>
                                <m:chr m:val="∑"/>
                                <m:limLoc m:val="undOvr"/>
                                <m:subHide m:val="off"/>
                                <m:supHide m:val="on"/>
                              </m:naryPr>
                              <m:sub>
                                <m:r>
                                  <m:t>i</m:t>
                                </m:r>
                                <m:r>
                                  <m:rPr>
                                    <m:sty m:val="p"/>
                                  </m:rPr>
                                  <m:t>∈</m:t>
                                </m:r>
                                <m:sSub>
                                  <m:e>
                                    <m:r>
                                      <m:rPr>
                                        <m:sty m:val="p"/>
                                        <m:scr m:val="script"/>
                                      </m:rPr>
                                      <m:t>H</m:t>
                                    </m:r>
                                  </m:e>
                                  <m:sub>
                                    <m:r>
                                      <m:t>k</m:t>
                                    </m:r>
                                  </m:sub>
                                </m:sSub>
                              </m:sub>
                              <m:sup>
                                <m:r>
                                  <m:t>​</m:t>
                                </m:r>
                              </m:sup>
                              <m:e>
                                <m:sSup>
                                  <m:e>
                                    <m:d>
                                      <m:dPr>
                                        <m:begChr m:val="["/>
                                        <m:endChr m:val="]"/>
                                        <m:sepChr m:val=""/>
                                        <m:grow/>
                                      </m:dPr>
                                      <m:e>
                                        <m:f>
                                          <m:fPr>
                                            <m:type m:val="bar"/>
                                          </m:fPr>
                                          <m:num>
                                            <m:sSubSup>
                                              <m:e>
                                                <m:acc>
                                                  <m:accPr>
                                                    <m:chr m:val="̂"/>
                                                  </m:accPr>
                                                  <m:e>
                                                    <m:r>
                                                      <m:t>C</m:t>
                                                    </m:r>
                                                  </m:e>
                                                </m:acc>
                                              </m:e>
                                              <m:sub>
                                                <m:r>
                                                  <m:t>m</m:t>
                                                </m:r>
                                                <m:r>
                                                  <m:rPr>
                                                    <m:sty m:val="p"/>
                                                  </m:rPr>
                                                  <m:t>,</m:t>
                                                </m:r>
                                                <m:r>
                                                  <m:t>λ</m:t>
                                                </m:r>
                                              </m:sub>
                                              <m:sup>
                                                <m:d>
                                                  <m:dPr>
                                                    <m:begChr m:val="("/>
                                                    <m:endChr m:val=")"/>
                                                    <m:sepChr m:val=""/>
                                                    <m:grow/>
                                                  </m:dPr>
                                                  <m:e>
                                                    <m:r>
                                                      <m:rPr>
                                                        <m:sty m:val="p"/>
                                                      </m:rPr>
                                                      <m:t>−</m:t>
                                                    </m:r>
                                                    <m:r>
                                                      <m:t>k</m:t>
                                                    </m:r>
                                                  </m:e>
                                                </m:d>
                                              </m:sup>
                                            </m:sSubSup>
                                            <m:d>
                                              <m:dPr>
                                                <m:begChr m:val="("/>
                                                <m:endChr m:val=")"/>
                                                <m:sepChr m:val=""/>
                                                <m:grow/>
                                              </m:dPr>
                                              <m:e>
                                                <m:sSub>
                                                  <m:e>
                                                    <m:r>
                                                      <m:t>K</m:t>
                                                    </m:r>
                                                  </m:e>
                                                  <m:sub>
                                                    <m:r>
                                                      <m:t>m</m:t>
                                                    </m:r>
                                                    <m:r>
                                                      <m:t>i</m:t>
                                                    </m:r>
                                                  </m:sub>
                                                </m:sSub>
                                              </m:e>
                                            </m:d>
                                            <m:r>
                                              <m:rPr>
                                                <m:sty m:val="p"/>
                                              </m:rPr>
                                              <m:t>−</m:t>
                                            </m:r>
                                            <m:sSub>
                                              <m:e>
                                                <m:r>
                                                  <m:t>y</m:t>
                                                </m:r>
                                              </m:e>
                                              <m:sub>
                                                <m:r>
                                                  <m:t>m</m:t>
                                                </m:r>
                                                <m:r>
                                                  <m:t>i</m:t>
                                                </m:r>
                                              </m:sub>
                                            </m:sSub>
                                          </m:num>
                                          <m:den>
                                            <m:sSub>
                                              <m:e>
                                                <m:r>
                                                  <m:t>F</m:t>
                                                </m:r>
                                              </m:e>
                                              <m:sub>
                                                <m:r>
                                                  <m:t>m</m:t>
                                                </m:r>
                                              </m:sub>
                                            </m:sSub>
                                          </m:den>
                                        </m:f>
                                      </m:e>
                                    </m:d>
                                  </m:e>
                                  <m:sup>
                                    <m:r>
                                      <m:t>2</m:t>
                                    </m:r>
                                  </m:sup>
                                </m:sSup>
                              </m:e>
                            </m:nary>
                          </m:e>
                        </m:nary>
                      </m:e>
                    </m:nary>
                  </m:num>
                  <m:den>
                    <m:r>
                      <m:t>M</m:t>
                    </m:r>
                    <m:nary>
                      <m:naryPr>
                        <m:chr m:val="∑"/>
                        <m:limLoc m:val="undOvr"/>
                        <m:subHide m:val="off"/>
                        <m:supHide m:val="off"/>
                      </m:naryPr>
                      <m:sub>
                        <m:r>
                          <m:t>k</m:t>
                        </m:r>
                        <m:r>
                          <m:rPr>
                            <m:sty m:val="p"/>
                          </m:rPr>
                          <m:t>=</m:t>
                        </m:r>
                        <m:r>
                          <m:t>1</m:t>
                        </m:r>
                      </m:sub>
                      <m:sup>
                        <m:r>
                          <m:t>3</m:t>
                        </m:r>
                      </m:sup>
                      <m:e>
                        <m:d>
                          <m:dPr>
                            <m:begChr m:val="|"/>
                            <m:endChr m:val="|"/>
                            <m:sepChr m:val=""/>
                            <m:grow/>
                          </m:dPr>
                          <m:e>
                            <m:sSub>
                              <m:e>
                                <m:r>
                                  <m:rPr>
                                    <m:sty m:val="p"/>
                                    <m:scr m:val="script"/>
                                  </m:rPr>
                                  <m:t>H</m:t>
                                </m:r>
                              </m:e>
                              <m:sub>
                                <m:r>
                                  <m:t>k</m:t>
                                </m:r>
                              </m:sub>
                            </m:sSub>
                          </m:e>
                        </m:d>
                      </m:e>
                    </m:nary>
                  </m:den>
                </m:f>
              </m:e>
            </m:mr>
            <m:mr>
              <m:e>
                <m:acc>
                  <m:accPr>
                    <m:chr m:val="̂"/>
                  </m:accPr>
                  <m:e>
                    <m:r>
                      <m:t>λ</m:t>
                    </m:r>
                  </m:e>
                </m:acc>
                <m:r>
                  <m:rPr>
                    <m:sty m:val="p"/>
                  </m:rPr>
                  <m:t>=</m:t>
                </m:r>
                <m:r>
                  <m:rPr>
                    <m:sty m:val="p"/>
                  </m:rPr>
                  <m:t>max</m:t>
                </m:r>
                <m:r>
                  <m:t>​</m:t>
                </m:r>
                <m:d>
                  <m:dPr>
                    <m:begChr m:val="("/>
                    <m:endChr m:val=")"/>
                    <m:sepChr m:val=""/>
                    <m:grow/>
                  </m:dPr>
                  <m:e>
                    <m:limLow>
                      <m:e>
                        <m:r>
                          <m:rPr>
                            <m:sty m:val="p"/>
                          </m:rPr>
                          <m:t>arg min</m:t>
                        </m:r>
                      </m:e>
                      <m:lim>
                        <m:r>
                          <m:t>λ</m:t>
                        </m:r>
                        <m:r>
                          <m:rPr>
                            <m:sty m:val="p"/>
                          </m:rPr>
                          <m:t>∈</m:t>
                        </m:r>
                        <m:r>
                          <m:t>Λ</m:t>
                        </m:r>
                      </m:lim>
                    </m:limLow>
                    <m:r>
                      <m:rPr>
                        <m:sty m:val="p"/>
                      </m:rPr>
                      <m:t>CV</m:t>
                    </m:r>
                    <m:d>
                      <m:dPr>
                        <m:begChr m:val="("/>
                        <m:endChr m:val=")"/>
                        <m:sepChr m:val=""/>
                        <m:grow/>
                      </m:dPr>
                      <m:e>
                        <m:r>
                          <m:t>λ</m:t>
                        </m:r>
                      </m:e>
                    </m:d>
                  </m:e>
                </m:d>
                <m:r>
                  <m:rPr>
                    <m:sty m:val="p"/>
                  </m:rPr>
                  <m:t>.</m:t>
                </m:r>
              </m:e>
            </m:mr>
          </m:m>
        </m:oMath>
      </m:oMathPara>
    </w:p>
    <w:p>
      <w:bookmarkStart w:id="600" w:name="equation30"/>
      <w:pPr>
        <w:pStyle w:val="EquationCaption"/>
      </w:pPr>
      <w:r>
        <w:t xml:space="preserve">Equation 30. Pooled noisy-price validation score and penalty selection.</w:t>
      </w:r>
      <w:bookmarkEnd w:id="600"/>
    </w:p>
    <w:p>
      <w:pPr>
        <w:pStyle w:val="BodyText"/>
      </w:pPr>
      <w:r>
        <w:t xml:space="preserve">Pooling matters because the folds have different numbers of observations. Equal weighting of fold means would overweight smaller folds. The score targets interpolation at interior strikes; it does not directly target density recovery or unobserved tails. Every repetition reruns selection, then refits all observations at the selected coefficient. The fixed</w:t>
      </w:r>
      <w:r>
        <w:t xml:space="preserve"> </w:t>
      </w:r>
      <m:oMath>
        <m:sSup>
          <m:e>
            <m:r>
              <m:t>10</m:t>
            </m:r>
          </m:e>
          <m:sup>
            <m:r>
              <m:rPr>
                <m:sty m:val="p"/>
              </m:rPr>
              <m:t>−</m:t>
            </m:r>
            <m:r>
              <m:t>6</m:t>
            </m:r>
          </m:sup>
        </m:sSup>
      </m:oMath>
      <w:r>
        <w:t xml:space="preserve"> </w:t>
      </w:r>
      <w:r>
        <w:t xml:space="preserve">refit is a paired control using exactly the same quotes.</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107"/>
        <w:gridCol w:w="2107"/>
        <w:gridCol w:w="1915"/>
        <w:gridCol w:w="1724"/>
        <w:gridCol w:w="1724"/>
      </w:tblGrid>
      <w:tr>
        <w:trPr>
          <w:tblHeader w:val="true"/>
          <w:cantSplit/>
          <w:tblHeader/>
        </w:trPr>
        <w:tc>
          <w:tcPr>
            <w:tcW w:type="dxa" w:w="2107"/>
            <w:vAlign w:val="center"/>
            <w:shd w:fill="E9EEF3"/>
          </w:tcPr>
          <w:p>
            <w:pPr>
              <w:pStyle w:val="Compact"/>
              <w:keepNext/>
              <w:keepLines/>
              <w:spacing w:after="40" w:before="40" w:line="252" w:lineRule="auto"/>
              <w:jc w:val="left"/>
            </w:pPr>
            <w:r>
              <w:rPr>
                <w:b/>
                <w:sz w:val="21"/>
              </w:rPr>
              <w:t xml:space="preserve">Benchmark</w:t>
            </w:r>
          </w:p>
        </w:tc>
        <w:tc>
          <w:tcPr>
            <w:tcW w:type="dxa" w:w="2107"/>
            <w:vAlign w:val="center"/>
            <w:shd w:fill="E9EEF3"/>
          </w:tcPr>
          <w:p>
            <w:pPr>
              <w:pStyle w:val="Compact"/>
              <w:keepNext/>
              <w:keepLines/>
              <w:spacing w:after="40" w:before="40" w:line="252" w:lineRule="auto"/>
              <w:jc w:val="left"/>
            </w:pPr>
            <w:r>
              <w:rPr>
                <w:b/>
                <w:sz w:val="21"/>
              </w:rPr>
              <w:t xml:space="preserve">Strike pattern</w:t>
            </w:r>
          </w:p>
        </w:tc>
        <w:tc>
          <w:tcPr>
            <w:tcW w:type="dxa" w:w="1915"/>
            <w:vAlign w:val="center"/>
            <w:shd w:fill="E9EEF3"/>
          </w:tcPr>
          <w:p>
            <w:pPr>
              <w:pStyle w:val="Compact"/>
              <w:keepNext/>
              <w:keepLines/>
              <w:spacing w:after="40" w:before="40" w:line="252" w:lineRule="auto"/>
              <w:jc w:val="right"/>
            </w:pPr>
            <w:r>
              <w:rPr>
                <w:b/>
                <w:sz w:val="21"/>
              </w:rPr>
              <w:t xml:space="preserve">Selected 10⁻⁷</w:t>
            </w:r>
          </w:p>
        </w:tc>
        <w:tc>
          <w:tcPr>
            <w:tcW w:type="dxa" w:w="1724"/>
            <w:vAlign w:val="center"/>
            <w:shd w:fill="E9EEF3"/>
          </w:tcPr>
          <w:p>
            <w:pPr>
              <w:pStyle w:val="Compact"/>
              <w:keepNext/>
              <w:keepLines/>
              <w:spacing w:after="40" w:before="40" w:line="252" w:lineRule="auto"/>
              <w:jc w:val="right"/>
            </w:pPr>
            <w:r>
              <w:rPr>
                <w:b/>
                <w:sz w:val="21"/>
              </w:rPr>
              <w:t xml:space="preserve">Selected 10⁻⁶</w:t>
            </w:r>
          </w:p>
        </w:tc>
        <w:tc>
          <w:tcPr>
            <w:tcW w:type="dxa" w:w="1724"/>
            <w:vAlign w:val="center"/>
            <w:shd w:fill="E9EEF3"/>
          </w:tcPr>
          <w:p>
            <w:pPr>
              <w:pStyle w:val="Compact"/>
              <w:keepNext/>
              <w:keepLines/>
              <w:spacing w:after="40" w:before="40" w:line="252" w:lineRule="auto"/>
              <w:jc w:val="right"/>
            </w:pPr>
            <w:r>
              <w:rPr>
                <w:b/>
                <w:sz w:val="21"/>
              </w:rPr>
              <w:t xml:space="preserve">Selected 10⁻⁵</w:t>
            </w:r>
          </w:p>
        </w:tc>
      </w:tr>
      <w:tr>
        <w:trPr>
          <w:cantSplit/>
        </w:trPr>
        <w:tc>
          <w:tcPr>
            <w:tcW w:type="dxa" w:w="2107"/>
            <w:vAlign w:val="center"/>
          </w:tcPr>
          <w:p>
            <w:pPr>
              <w:pStyle w:val="Compact"/>
              <w:keepNext/>
              <w:keepLines/>
              <w:spacing w:after="40" w:before="40" w:line="252" w:lineRule="auto"/>
              <w:jc w:val="left"/>
            </w:pPr>
            <w:r>
              <w:rPr>
                <w:b w:val="0"/>
                <w:sz w:val="21"/>
              </w:rPr>
              <w:t xml:space="preserve">Single lognormal</w:t>
            </w:r>
          </w:p>
        </w:tc>
        <w:tc>
          <w:tcPr>
            <w:tcW w:type="dxa" w:w="2107"/>
            <w:vAlign w:val="center"/>
          </w:tcPr>
          <w:p>
            <w:pPr>
              <w:pStyle w:val="Compact"/>
              <w:keepNext/>
              <w:keepLines/>
              <w:spacing w:after="40" w:before="40" w:line="252" w:lineRule="auto"/>
              <w:jc w:val="left"/>
            </w:pPr>
            <w:r>
              <w:rPr>
                <w:b w:val="0"/>
                <w:sz w:val="21"/>
              </w:rPr>
              <w:t xml:space="preserve">Original 81</w:t>
            </w:r>
          </w:p>
        </w:tc>
        <w:tc>
          <w:tcPr>
            <w:tcW w:type="dxa" w:w="1915"/>
            <w:vAlign w:val="center"/>
          </w:tcPr>
          <w:p>
            <w:pPr>
              <w:pStyle w:val="Compact"/>
              <w:keepNext/>
              <w:keepLines/>
              <w:spacing w:after="40" w:before="40" w:line="252" w:lineRule="auto"/>
              <w:jc w:val="right"/>
            </w:pPr>
            <w:r>
              <w:rPr>
                <w:b w:val="0"/>
                <w:sz w:val="21"/>
              </w:rPr>
              <w:t xml:space="preserve">0</w:t>
            </w:r>
          </w:p>
        </w:tc>
        <w:tc>
          <w:tcPr>
            <w:tcW w:type="dxa" w:w="1724"/>
            <w:vAlign w:val="center"/>
          </w:tcPr>
          <w:p>
            <w:pPr>
              <w:pStyle w:val="Compact"/>
              <w:keepNext/>
              <w:keepLines/>
              <w:spacing w:after="40" w:before="40" w:line="252" w:lineRule="auto"/>
              <w:jc w:val="right"/>
            </w:pPr>
            <w:r>
              <w:rPr>
                <w:b w:val="0"/>
                <w:sz w:val="21"/>
              </w:rPr>
              <w:t xml:space="preserve">20</w:t>
            </w:r>
          </w:p>
        </w:tc>
        <w:tc>
          <w:tcPr>
            <w:tcW w:type="dxa" w:w="1724"/>
            <w:vAlign w:val="center"/>
          </w:tcPr>
          <w:p>
            <w:pPr>
              <w:pStyle w:val="Compact"/>
              <w:keepNext/>
              <w:keepLines/>
              <w:spacing w:after="40" w:before="40" w:line="252" w:lineRule="auto"/>
              <w:jc w:val="right"/>
            </w:pPr>
            <w:r>
              <w:rPr>
                <w:b w:val="0"/>
                <w:sz w:val="21"/>
              </w:rPr>
              <w:t xml:space="preserve">0</w:t>
            </w:r>
          </w:p>
        </w:tc>
      </w:tr>
      <w:tr>
        <w:trPr>
          <w:cantSplit/>
        </w:trPr>
        <w:tc>
          <w:tcPr>
            <w:tcW w:type="dxa" w:w="2107"/>
            <w:vAlign w:val="center"/>
          </w:tcPr>
          <w:p>
            <w:pPr>
              <w:pStyle w:val="Compact"/>
              <w:keepNext/>
              <w:keepLines/>
              <w:spacing w:after="40" w:before="40" w:line="252" w:lineRule="auto"/>
              <w:jc w:val="left"/>
            </w:pPr>
            <w:r>
              <w:rPr>
                <w:b w:val="0"/>
                <w:sz w:val="21"/>
              </w:rPr>
              <w:t xml:space="preserve">Single lognormal</w:t>
            </w:r>
          </w:p>
        </w:tc>
        <w:tc>
          <w:tcPr>
            <w:tcW w:type="dxa" w:w="2107"/>
            <w:vAlign w:val="center"/>
          </w:tcPr>
          <w:p>
            <w:pPr>
              <w:pStyle w:val="Compact"/>
              <w:keepNext/>
              <w:keepLines/>
              <w:spacing w:after="40" w:before="40" w:line="252" w:lineRule="auto"/>
              <w:jc w:val="left"/>
            </w:pPr>
            <w:r>
              <w:rPr>
                <w:b w:val="0"/>
                <w:sz w:val="21"/>
              </w:rPr>
              <w:t xml:space="preserve">Extended 121</w:t>
            </w:r>
          </w:p>
        </w:tc>
        <w:tc>
          <w:tcPr>
            <w:tcW w:type="dxa" w:w="1915"/>
            <w:vAlign w:val="center"/>
          </w:tcPr>
          <w:p>
            <w:pPr>
              <w:pStyle w:val="Compact"/>
              <w:keepNext/>
              <w:keepLines/>
              <w:spacing w:after="40" w:before="40" w:line="252" w:lineRule="auto"/>
              <w:jc w:val="right"/>
            </w:pPr>
            <w:r>
              <w:rPr>
                <w:b w:val="0"/>
                <w:sz w:val="21"/>
              </w:rPr>
              <w:t xml:space="preserve">0</w:t>
            </w:r>
          </w:p>
        </w:tc>
        <w:tc>
          <w:tcPr>
            <w:tcW w:type="dxa" w:w="1724"/>
            <w:vAlign w:val="center"/>
          </w:tcPr>
          <w:p>
            <w:pPr>
              <w:pStyle w:val="Compact"/>
              <w:keepNext/>
              <w:keepLines/>
              <w:spacing w:after="40" w:before="40" w:line="252" w:lineRule="auto"/>
              <w:jc w:val="right"/>
            </w:pPr>
            <w:r>
              <w:rPr>
                <w:b w:val="0"/>
                <w:sz w:val="21"/>
              </w:rPr>
              <w:t xml:space="preserve">20</w:t>
            </w:r>
          </w:p>
        </w:tc>
        <w:tc>
          <w:tcPr>
            <w:tcW w:type="dxa" w:w="1724"/>
            <w:vAlign w:val="center"/>
          </w:tcPr>
          <w:p>
            <w:pPr>
              <w:pStyle w:val="Compact"/>
              <w:keepNext/>
              <w:keepLines/>
              <w:spacing w:after="40" w:before="40" w:line="252" w:lineRule="auto"/>
              <w:jc w:val="right"/>
            </w:pPr>
            <w:r>
              <w:rPr>
                <w:b w:val="0"/>
                <w:sz w:val="21"/>
              </w:rPr>
              <w:t xml:space="preserve">0</w:t>
            </w:r>
          </w:p>
        </w:tc>
      </w:tr>
      <w:tr>
        <w:trPr>
          <w:cantSplit/>
        </w:trPr>
        <w:tc>
          <w:tcPr>
            <w:tcW w:type="dxa" w:w="2107"/>
            <w:vAlign w:val="center"/>
          </w:tcPr>
          <w:p>
            <w:pPr>
              <w:pStyle w:val="Compact"/>
              <w:keepNext/>
              <w:keepLines/>
              <w:spacing w:after="40" w:before="40" w:line="252" w:lineRule="auto"/>
              <w:jc w:val="left"/>
            </w:pPr>
            <w:r>
              <w:rPr>
                <w:b w:val="0"/>
                <w:sz w:val="21"/>
              </w:rPr>
              <w:t xml:space="preserve">Two-lognormal mixture</w:t>
            </w:r>
          </w:p>
        </w:tc>
        <w:tc>
          <w:tcPr>
            <w:tcW w:type="dxa" w:w="2107"/>
            <w:vAlign w:val="center"/>
          </w:tcPr>
          <w:p>
            <w:pPr>
              <w:pStyle w:val="Compact"/>
              <w:keepNext/>
              <w:keepLines/>
              <w:spacing w:after="40" w:before="40" w:line="252" w:lineRule="auto"/>
              <w:jc w:val="left"/>
            </w:pPr>
            <w:r>
              <w:rPr>
                <w:b w:val="0"/>
                <w:sz w:val="21"/>
              </w:rPr>
              <w:t xml:space="preserve">Original 81</w:t>
            </w:r>
          </w:p>
        </w:tc>
        <w:tc>
          <w:tcPr>
            <w:tcW w:type="dxa" w:w="1915"/>
            <w:vAlign w:val="center"/>
          </w:tcPr>
          <w:p>
            <w:pPr>
              <w:pStyle w:val="Compact"/>
              <w:keepNext/>
              <w:keepLines/>
              <w:spacing w:after="40" w:before="40" w:line="252" w:lineRule="auto"/>
              <w:jc w:val="right"/>
            </w:pPr>
            <w:r>
              <w:rPr>
                <w:b w:val="0"/>
                <w:sz w:val="21"/>
              </w:rPr>
              <w:t xml:space="preserve">20</w:t>
            </w:r>
          </w:p>
        </w:tc>
        <w:tc>
          <w:tcPr>
            <w:tcW w:type="dxa" w:w="1724"/>
            <w:vAlign w:val="center"/>
          </w:tcPr>
          <w:p>
            <w:pPr>
              <w:pStyle w:val="Compact"/>
              <w:keepNext/>
              <w:keepLines/>
              <w:spacing w:after="40" w:before="40" w:line="252" w:lineRule="auto"/>
              <w:jc w:val="right"/>
            </w:pPr>
            <w:r>
              <w:rPr>
                <w:b w:val="0"/>
                <w:sz w:val="21"/>
              </w:rPr>
              <w:t xml:space="preserve">0</w:t>
            </w:r>
          </w:p>
        </w:tc>
        <w:tc>
          <w:tcPr>
            <w:tcW w:type="dxa" w:w="1724"/>
            <w:vAlign w:val="center"/>
          </w:tcPr>
          <w:p>
            <w:pPr>
              <w:pStyle w:val="Compact"/>
              <w:keepNext/>
              <w:keepLines/>
              <w:spacing w:after="40" w:before="40" w:line="252" w:lineRule="auto"/>
              <w:jc w:val="right"/>
            </w:pPr>
            <w:r>
              <w:rPr>
                <w:b w:val="0"/>
                <w:sz w:val="21"/>
              </w:rPr>
              <w:t xml:space="preserve">0</w:t>
            </w:r>
          </w:p>
        </w:tc>
      </w:tr>
      <w:tr>
        <w:trPr>
          <w:cantSplit/>
        </w:trPr>
        <w:tc>
          <w:tcPr>
            <w:tcW w:type="dxa" w:w="2107"/>
            <w:vAlign w:val="center"/>
          </w:tcPr>
          <w:p>
            <w:pPr>
              <w:pStyle w:val="Compact"/>
              <w:keepNext/>
              <w:keepLines/>
              <w:spacing w:after="40" w:before="40" w:line="252" w:lineRule="auto"/>
              <w:jc w:val="left"/>
            </w:pPr>
            <w:r>
              <w:rPr>
                <w:b w:val="0"/>
                <w:sz w:val="21"/>
              </w:rPr>
              <w:t xml:space="preserve">Two-lognormal mixture</w:t>
            </w:r>
          </w:p>
        </w:tc>
        <w:tc>
          <w:tcPr>
            <w:tcW w:type="dxa" w:w="2107"/>
            <w:vAlign w:val="center"/>
          </w:tcPr>
          <w:p>
            <w:pPr>
              <w:pStyle w:val="Compact"/>
              <w:keepNext/>
              <w:keepLines/>
              <w:spacing w:after="40" w:before="40" w:line="252" w:lineRule="auto"/>
              <w:jc w:val="left"/>
            </w:pPr>
            <w:r>
              <w:rPr>
                <w:b w:val="0"/>
                <w:sz w:val="21"/>
              </w:rPr>
              <w:t xml:space="preserve">Extended 121</w:t>
            </w:r>
          </w:p>
        </w:tc>
        <w:tc>
          <w:tcPr>
            <w:tcW w:type="dxa" w:w="1915"/>
            <w:vAlign w:val="center"/>
          </w:tcPr>
          <w:p>
            <w:pPr>
              <w:pStyle w:val="Compact"/>
              <w:keepNext/>
              <w:keepLines/>
              <w:spacing w:after="40" w:before="40" w:line="252" w:lineRule="auto"/>
              <w:jc w:val="right"/>
            </w:pPr>
            <w:r>
              <w:rPr>
                <w:b w:val="0"/>
                <w:sz w:val="21"/>
              </w:rPr>
              <w:t xml:space="preserve">20</w:t>
            </w:r>
          </w:p>
        </w:tc>
        <w:tc>
          <w:tcPr>
            <w:tcW w:type="dxa" w:w="1724"/>
            <w:vAlign w:val="center"/>
          </w:tcPr>
          <w:p>
            <w:pPr>
              <w:pStyle w:val="Compact"/>
              <w:keepNext/>
              <w:keepLines/>
              <w:spacing w:after="40" w:before="40" w:line="252" w:lineRule="auto"/>
              <w:jc w:val="right"/>
            </w:pPr>
            <w:r>
              <w:rPr>
                <w:b w:val="0"/>
                <w:sz w:val="21"/>
              </w:rPr>
              <w:t xml:space="preserve">0</w:t>
            </w:r>
          </w:p>
        </w:tc>
        <w:tc>
          <w:tcPr>
            <w:tcW w:type="dxa" w:w="1724"/>
            <w:vAlign w:val="center"/>
          </w:tcPr>
          <w:p>
            <w:pPr>
              <w:pStyle w:val="Compact"/>
              <w:keepNext/>
              <w:keepLines/>
              <w:spacing w:after="40" w:before="40" w:line="252" w:lineRule="auto"/>
              <w:jc w:val="right"/>
            </w:pPr>
            <w:r>
              <w:rPr>
                <w:b w:val="0"/>
                <w:sz w:val="21"/>
              </w:rPr>
              <w:t xml:space="preserve">0</w:t>
            </w:r>
          </w:p>
        </w:tc>
      </w:tr>
    </w:tbl>
    <w:p>
      <w:bookmarkStart w:id="601" w:name="table18"/>
      <w:pPr>
        <w:pStyle w:val="TableCaption"/>
      </w:pPr>
      <w:r>
        <w:t xml:space="preserve">Table 18. Smoothing selections in 20 repetitions per benchmark and strike pattern. All columns refer to the declared candidate set; selecting an endpoint does not establish that it is optimal beyond this set.</w:t>
      </w:r>
      <w:bookmarkEnd w:id="601"/>
    </w:p>
    <w:p>
      <w:pPr>
        <w:sectPr>
          <w:type w:val="nextPage"/>
          <w:pgSz w:w="11906" w:h="16838" w:orient="portrait"/>
          <w:pgMar w:top="1008" w:bottom="1008" w:left="1152" w:right="1152" w:header="432" w:footer="432" w:gutter="0"/>
          <w:pgNumType w:fmt="decimal"/>
        </w:sectPr>
        <w:spacing w:before="0" w:after="0" w:line="1" w:lineRule="exact"/>
      </w:pPr>
      <w:r>
        <w:rPr>
          <w:sz w:val="2"/>
        </w:rPr>
      </w:r>
    </w:p>
    <w:p>
      <w:pPr>
        <w:pStyle w:val="BodyText"/>
        <w:keepNext/>
        <w:spacing w:after="40"/>
        <w:jc w:val="center"/>
      </w:pPr>
      <w:r>
        <w:drawing>
          <wp:inline>
            <wp:extent cx="5334000" cy="2092904"/>
            <wp:effectExtent b="0" l="0" r="0" t="0"/>
            <wp:docPr descr="Noisy held-out price scores for smoothing selection" title="" id="112" name="Picture"/>
            <a:graphic>
              <a:graphicData uri="http://schemas.openxmlformats.org/drawingml/2006/picture">
                <pic:pic>
                  <pic:nvPicPr>
                    <pic:cNvPr descr="/workspace/scratch/62b9274b9d7e/spx-density-research/figures/figure_21_smoothing_selection_scores.png" id="113" name="Picture"/>
                    <pic:cNvPicPr>
                      <a:picLocks noChangeArrowheads="1" noChangeAspect="1"/>
                    </pic:cNvPicPr>
                  </pic:nvPicPr>
                  <pic:blipFill>
                    <a:blip r:embed="rId111"/>
                    <a:stretch>
                      <a:fillRect/>
                    </a:stretch>
                  </pic:blipFill>
                  <pic:spPr bwMode="auto">
                    <a:xfrm>
                      <a:off x="0" y="0"/>
                      <a:ext cx="5334000" cy="2092904"/>
                    </a:xfrm>
                    <a:prstGeom prst="rect">
                      <a:avLst/>
                    </a:prstGeom>
                    <a:noFill/>
                    <a:ln w="9525">
                      <a:noFill/>
                      <a:headEnd/>
                      <a:tailEnd/>
                    </a:ln>
                  </pic:spPr>
                </pic:pic>
              </a:graphicData>
            </a:graphic>
          </wp:inline>
        </w:drawing>
      </w:r>
    </w:p>
    <w:p>
      <w:bookmarkStart w:id="602" w:name="figure21"/>
      <w:pPr>
        <w:pStyle w:val="FigureCaption"/>
      </w:pPr>
      <w:r>
        <w:t xml:space="preserve">Figure 21. Mean pooled noisy-price validation MSE for each smoothing coefficient, with ±2 Monte Carlo standard errors across the 20 repetitions. The dimensionless score is multiplied by</w:t>
      </w:r>
      <w:r>
        <w:t xml:space="preserve"> </w:t>
      </w:r>
      <m:oMath>
        <m:sSup>
          <m:e>
            <m:r>
              <m:t>10</m:t>
            </m:r>
          </m:e>
          <m:sup>
            <m:r>
              <m:t>9</m:t>
            </m:r>
          </m:sup>
        </m:sSup>
      </m:oMath>
      <w:r>
        <w:t xml:space="preserve"> </w:t>
      </w:r>
      <w:r>
        <w:t xml:space="preserve">for display and the vertical scale is logarithmic. Lines connect the three evaluated candidates. These scores select the coefficient; they are not the final recovery-performance estimates.</w:t>
      </w:r>
      <w:bookmarkEnd w:id="602"/>
    </w:p>
    <w:p>
      <w:pPr>
        <w:sectPr>
          <w:type w:val="nextPage"/>
          <w:pgSz w:w="16838" w:h="11906" w:orient="landscape"/>
          <w:pgMar w:top="1008" w:bottom="1008" w:left="1152" w:right="1152" w:header="432" w:footer="432" w:gutter="0"/>
          <w:pgNumType w:fmt="decimal"/>
        </w:sectPr>
        <w:spacing w:before="0" w:after="0" w:line="1" w:lineRule="exact"/>
      </w:pPr>
      <w:r>
        <w:rPr>
          <w:sz w:val="2"/>
        </w:rPr>
      </w:r>
    </w:p>
    <w:p>
      <w:pPr>
        <w:pStyle w:val="BodyText"/>
      </w:pPr>
      <w:r>
        <w:t xml:space="preserve">Across eighty selection experiments, the three coefficients are selected forty, forty and zero times. A boundary choice establishes only a preference within the declared grid. The grid is not extended after inspecting the synthetic evaluation results.</w:t>
      </w:r>
    </w:p>
    <w:bookmarkEnd w:id="114"/>
    <w:bookmarkStart w:id="118" w:name="X6c70786eaa2c13a19754cee99dce8f7f4fee435"/>
    <w:p>
      <w:bookmarkStart w:id="603" w:name="h27"/>
      <w:pPr>
        <w:pStyle w:val="Heading2"/>
        <w:numPr>
          <w:ilvl w:val="1"/>
          <w:numId w:val="70"/>
        </w:numPr>
      </w:pPr>
      <w:bookmarkEnd w:id="603"/>
      <w:r>
        <w:t>Price selection and density recovery are different targets</w:t>
      </w:r>
    </w:p>
    <w:p>
      <w:pPr>
        <w:pStyle w:val="FirstParagraph"/>
      </w:pPr>
      <w:r>
        <w:t xml:space="preserve">The selected rule is assessed against the fixed baseline on the same quote realisations. Tables 19–20 and Figure 22 retain price, density and tail measures separately, with paired differences used to assess the change.</w:t>
      </w:r>
    </w:p>
    <w:p>
      <w:pPr>
        <w:sectPr>
          <w:type w:val="nextPage"/>
          <w:pgSz w:w="11906" w:h="16838" w:orient="portrait"/>
          <w:pgMar w:top="1008" w:bottom="1008" w:left="1152" w:right="1152" w:header="432" w:footer="432" w:gutter="0"/>
          <w:pgNumType w:fmt="decimal"/>
        </w:sectPr>
        <w:spacing w:before="0" w:after="0" w:line="1" w:lineRule="exact"/>
      </w:pPr>
      <w:r>
        <w:rPr>
          <w:sz w:val="2"/>
        </w:rPr>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009"/>
        <w:gridCol w:w="2292"/>
        <w:gridCol w:w="2292"/>
        <w:gridCol w:w="2292"/>
        <w:gridCol w:w="2292"/>
        <w:gridCol w:w="2149"/>
      </w:tblGrid>
      <w:tr>
        <w:trPr>
          <w:tblHeader w:val="true"/>
          <w:cantSplit/>
          <w:tblHeader/>
        </w:trPr>
        <w:tc>
          <w:tcPr>
            <w:tcW w:type="dxa" w:w="3009"/>
            <w:vAlign w:val="center"/>
            <w:shd w:fill="E9EEF3"/>
          </w:tcPr>
          <w:p>
            <w:pPr>
              <w:pStyle w:val="Compact"/>
              <w:keepNext/>
              <w:keepLines/>
              <w:spacing w:after="40" w:before="40" w:line="252" w:lineRule="auto"/>
              <w:jc w:val="left"/>
            </w:pPr>
            <w:r>
              <w:rPr>
                <w:b/>
                <w:sz w:val="20"/>
              </w:rPr>
              <w:t xml:space="preserve">Benchmark</w:t>
            </w:r>
          </w:p>
        </w:tc>
        <w:tc>
          <w:tcPr>
            <w:tcW w:type="dxa" w:w="2292"/>
            <w:vAlign w:val="center"/>
            <w:shd w:fill="E9EEF3"/>
          </w:tcPr>
          <w:p>
            <w:pPr>
              <w:pStyle w:val="Compact"/>
              <w:keepNext/>
              <w:keepLines/>
              <w:spacing w:after="40" w:before="40" w:line="252" w:lineRule="auto"/>
              <w:jc w:val="left"/>
            </w:pPr>
            <w:r>
              <w:rPr>
                <w:b/>
                <w:sz w:val="20"/>
              </w:rPr>
              <w:t xml:space="preserve">Pattern</w:t>
            </w:r>
          </w:p>
        </w:tc>
        <w:tc>
          <w:tcPr>
            <w:tcW w:type="dxa" w:w="2292"/>
            <w:vAlign w:val="center"/>
            <w:shd w:fill="E9EEF3"/>
          </w:tcPr>
          <w:p>
            <w:pPr>
              <w:pStyle w:val="Compact"/>
              <w:keepNext/>
              <w:keepLines/>
              <w:spacing w:after="40" w:before="40" w:line="252" w:lineRule="auto"/>
              <w:jc w:val="left"/>
            </w:pPr>
            <w:r>
              <w:rPr>
                <w:b/>
                <w:sz w:val="20"/>
              </w:rPr>
              <w:t xml:space="preserve">Rule</w:t>
            </w:r>
          </w:p>
        </w:tc>
        <w:tc>
          <w:tcPr>
            <w:tcW w:type="dxa" w:w="2292"/>
            <w:vAlign w:val="center"/>
            <w:shd w:fill="E9EEF3"/>
          </w:tcPr>
          <w:p>
            <w:pPr>
              <w:pStyle w:val="Compact"/>
              <w:keepNext/>
              <w:keepLines/>
              <w:spacing w:after="40" w:before="40" w:line="252" w:lineRule="auto"/>
              <w:jc w:val="right"/>
            </w:pPr>
            <w:r>
              <w:rPr>
                <w:b/>
                <w:sz w:val="20"/>
              </w:rPr>
              <w:t xml:space="preserve">Clean-price RMSE (points)</w:t>
            </w:r>
          </w:p>
        </w:tc>
        <w:tc>
          <w:tcPr>
            <w:tcW w:type="dxa" w:w="2292"/>
            <w:vAlign w:val="center"/>
            <w:shd w:fill="E9EEF3"/>
          </w:tcPr>
          <w:p>
            <w:pPr>
              <w:pStyle w:val="Compact"/>
              <w:keepNext/>
              <w:keepLines/>
              <w:spacing w:after="40" w:before="40" w:line="252" w:lineRule="auto"/>
              <w:jc w:val="right"/>
            </w:pPr>
            <w:r>
              <w:rPr>
                <w:b/>
                <w:sz w:val="20"/>
              </w:rPr>
              <w:t xml:space="preserve">Full-density L1</w:t>
            </w:r>
          </w:p>
        </w:tc>
        <w:tc>
          <w:tcPr>
            <w:tcW w:type="dxa" w:w="2149"/>
            <w:vAlign w:val="center"/>
            <w:shd w:fill="E9EEF3"/>
          </w:tcPr>
          <w:p>
            <w:pPr>
              <w:pStyle w:val="Compact"/>
              <w:keepNext/>
              <w:keepLines/>
              <w:spacing w:after="40" w:before="40" w:line="252" w:lineRule="auto"/>
              <w:jc w:val="right"/>
            </w:pPr>
            <w:r>
              <w:rPr>
                <w:b/>
                <w:sz w:val="20"/>
              </w:rPr>
              <w:t xml:space="preserve">365-day upper-tail bias (pp)</w:t>
            </w:r>
          </w:p>
        </w:tc>
      </w:tr>
      <w:tr>
        <w:trPr>
          <w:cantSplit/>
        </w:trPr>
        <w:tc>
          <w:tcPr>
            <w:tcW w:type="dxa" w:w="3009"/>
            <w:vAlign w:val="center"/>
          </w:tcPr>
          <w:p>
            <w:pPr>
              <w:pStyle w:val="Compact"/>
              <w:keepNext/>
              <w:keepLines/>
              <w:spacing w:after="40" w:before="40" w:line="252" w:lineRule="auto"/>
              <w:jc w:val="left"/>
            </w:pPr>
            <w:r>
              <w:rPr>
                <w:b w:val="0"/>
                <w:sz w:val="20"/>
              </w:rPr>
              <w:t xml:space="preserve">Single lognormal</w:t>
            </w:r>
          </w:p>
        </w:tc>
        <w:tc>
          <w:tcPr>
            <w:tcW w:type="dxa" w:w="2292"/>
            <w:vAlign w:val="center"/>
          </w:tcPr>
          <w:p>
            <w:pPr>
              <w:pStyle w:val="Compact"/>
              <w:keepNext/>
              <w:keepLines/>
              <w:spacing w:after="40" w:before="40" w:line="252" w:lineRule="auto"/>
              <w:jc w:val="left"/>
            </w:pPr>
            <w:r>
              <w:rPr>
                <w:b w:val="0"/>
                <w:sz w:val="20"/>
              </w:rPr>
              <w:t xml:space="preserve">Original 81</w:t>
            </w:r>
          </w:p>
        </w:tc>
        <w:tc>
          <w:tcPr>
            <w:tcW w:type="dxa" w:w="2292"/>
            <w:vAlign w:val="center"/>
          </w:tcPr>
          <w:p>
            <w:pPr>
              <w:pStyle w:val="Compact"/>
              <w:keepNext/>
              <w:keepLines/>
              <w:spacing w:after="40" w:before="40" w:line="252" w:lineRule="auto"/>
              <w:jc w:val="left"/>
            </w:pPr>
            <w:r>
              <w:rPr>
                <w:b w:val="0"/>
                <w:sz w:val="20"/>
              </w:rPr>
              <w:t xml:space="preserve">Fixed 10⁻⁶</w:t>
            </w:r>
          </w:p>
        </w:tc>
        <w:tc>
          <w:tcPr>
            <w:tcW w:type="dxa" w:w="2292"/>
            <w:vAlign w:val="center"/>
          </w:tcPr>
          <w:p>
            <w:pPr>
              <w:pStyle w:val="Compact"/>
              <w:keepNext/>
              <w:keepLines/>
              <w:spacing w:after="40" w:before="40" w:line="252" w:lineRule="auto"/>
              <w:jc w:val="right"/>
            </w:pPr>
            <w:r>
              <w:rPr>
                <w:b w:val="0"/>
                <w:sz w:val="20"/>
              </w:rPr>
              <w:t xml:space="preserve">0.2178 (0.0107)</w:t>
            </w:r>
          </w:p>
        </w:tc>
        <w:tc>
          <w:tcPr>
            <w:tcW w:type="dxa" w:w="2292"/>
            <w:vAlign w:val="center"/>
          </w:tcPr>
          <w:p>
            <w:pPr>
              <w:pStyle w:val="Compact"/>
              <w:keepNext/>
              <w:keepLines/>
              <w:spacing w:after="40" w:before="40" w:line="252" w:lineRule="auto"/>
              <w:jc w:val="right"/>
            </w:pPr>
            <w:r>
              <w:rPr>
                <w:b w:val="0"/>
                <w:sz w:val="20"/>
              </w:rPr>
              <w:t xml:space="preserve">0.0358 (0.0001)</w:t>
            </w:r>
          </w:p>
        </w:tc>
        <w:tc>
          <w:tcPr>
            <w:tcW w:type="dxa" w:w="2149"/>
            <w:vAlign w:val="center"/>
          </w:tcPr>
          <w:p>
            <w:pPr>
              <w:pStyle w:val="Compact"/>
              <w:keepNext/>
              <w:keepLines/>
              <w:spacing w:after="40" w:before="40" w:line="252" w:lineRule="auto"/>
              <w:jc w:val="right"/>
            </w:pPr>
            <w:r>
              <w:rPr>
                <w:b w:val="0"/>
                <w:sz w:val="20"/>
              </w:rPr>
              <w:t xml:space="preserve">-0.0374 (0.0099)</w:t>
            </w:r>
          </w:p>
        </w:tc>
      </w:tr>
      <w:tr>
        <w:trPr>
          <w:cantSplit/>
        </w:trPr>
        <w:tc>
          <w:tcPr>
            <w:tcW w:type="dxa" w:w="3009"/>
            <w:vAlign w:val="center"/>
          </w:tcPr>
          <w:p>
            <w:pPr>
              <w:pStyle w:val="Compact"/>
              <w:keepNext/>
              <w:keepLines/>
              <w:spacing w:after="40" w:before="40" w:line="252" w:lineRule="auto"/>
              <w:jc w:val="left"/>
            </w:pPr>
            <w:r>
              <w:rPr>
                <w:b w:val="0"/>
                <w:sz w:val="20"/>
              </w:rPr>
              <w:t xml:space="preserve">Single lognormal</w:t>
            </w:r>
          </w:p>
        </w:tc>
        <w:tc>
          <w:tcPr>
            <w:tcW w:type="dxa" w:w="2292"/>
            <w:vAlign w:val="center"/>
          </w:tcPr>
          <w:p>
            <w:pPr>
              <w:pStyle w:val="Compact"/>
              <w:keepNext/>
              <w:keepLines/>
              <w:spacing w:after="40" w:before="40" w:line="252" w:lineRule="auto"/>
              <w:jc w:val="left"/>
            </w:pPr>
            <w:r>
              <w:rPr>
                <w:b w:val="0"/>
                <w:sz w:val="20"/>
              </w:rPr>
              <w:t xml:space="preserve">Original 81</w:t>
            </w:r>
          </w:p>
        </w:tc>
        <w:tc>
          <w:tcPr>
            <w:tcW w:type="dxa" w:w="2292"/>
            <w:vAlign w:val="center"/>
          </w:tcPr>
          <w:p>
            <w:pPr>
              <w:pStyle w:val="Compact"/>
              <w:keepNext/>
              <w:keepLines/>
              <w:spacing w:after="40" w:before="40" w:line="252" w:lineRule="auto"/>
              <w:jc w:val="left"/>
            </w:pPr>
            <w:r>
              <w:rPr>
                <w:b w:val="0"/>
                <w:sz w:val="20"/>
              </w:rPr>
              <w:t xml:space="preserve">Selected</w:t>
            </w:r>
          </w:p>
        </w:tc>
        <w:tc>
          <w:tcPr>
            <w:tcW w:type="dxa" w:w="2292"/>
            <w:vAlign w:val="center"/>
          </w:tcPr>
          <w:p>
            <w:pPr>
              <w:pStyle w:val="Compact"/>
              <w:keepNext/>
              <w:keepLines/>
              <w:spacing w:after="40" w:before="40" w:line="252" w:lineRule="auto"/>
              <w:jc w:val="right"/>
            </w:pPr>
            <w:r>
              <w:rPr>
                <w:b w:val="0"/>
                <w:sz w:val="20"/>
              </w:rPr>
              <w:t xml:space="preserve">0.2178 (0.0107)</w:t>
            </w:r>
          </w:p>
        </w:tc>
        <w:tc>
          <w:tcPr>
            <w:tcW w:type="dxa" w:w="2292"/>
            <w:vAlign w:val="center"/>
          </w:tcPr>
          <w:p>
            <w:pPr>
              <w:pStyle w:val="Compact"/>
              <w:keepNext/>
              <w:keepLines/>
              <w:spacing w:after="40" w:before="40" w:line="252" w:lineRule="auto"/>
              <w:jc w:val="right"/>
            </w:pPr>
            <w:r>
              <w:rPr>
                <w:b w:val="0"/>
                <w:sz w:val="20"/>
              </w:rPr>
              <w:t xml:space="preserve">0.0358 (0.0001)</w:t>
            </w:r>
          </w:p>
        </w:tc>
        <w:tc>
          <w:tcPr>
            <w:tcW w:type="dxa" w:w="2149"/>
            <w:vAlign w:val="center"/>
          </w:tcPr>
          <w:p>
            <w:pPr>
              <w:pStyle w:val="Compact"/>
              <w:keepNext/>
              <w:keepLines/>
              <w:spacing w:after="40" w:before="40" w:line="252" w:lineRule="auto"/>
              <w:jc w:val="right"/>
            </w:pPr>
            <w:r>
              <w:rPr>
                <w:b w:val="0"/>
                <w:sz w:val="20"/>
              </w:rPr>
              <w:t xml:space="preserve">-0.0374 (0.0099)</w:t>
            </w:r>
          </w:p>
        </w:tc>
      </w:tr>
      <w:tr>
        <w:trPr>
          <w:cantSplit/>
        </w:trPr>
        <w:tc>
          <w:tcPr>
            <w:tcW w:type="dxa" w:w="3009"/>
            <w:vAlign w:val="center"/>
          </w:tcPr>
          <w:p>
            <w:pPr>
              <w:pStyle w:val="Compact"/>
              <w:keepNext/>
              <w:keepLines/>
              <w:spacing w:after="40" w:before="40" w:line="252" w:lineRule="auto"/>
              <w:jc w:val="left"/>
            </w:pPr>
            <w:r>
              <w:rPr>
                <w:b w:val="0"/>
                <w:sz w:val="20"/>
              </w:rPr>
              <w:t xml:space="preserve">Single lognormal</w:t>
            </w:r>
          </w:p>
        </w:tc>
        <w:tc>
          <w:tcPr>
            <w:tcW w:type="dxa" w:w="2292"/>
            <w:vAlign w:val="center"/>
          </w:tcPr>
          <w:p>
            <w:pPr>
              <w:pStyle w:val="Compact"/>
              <w:keepNext/>
              <w:keepLines/>
              <w:spacing w:after="40" w:before="40" w:line="252" w:lineRule="auto"/>
              <w:jc w:val="left"/>
            </w:pPr>
            <w:r>
              <w:rPr>
                <w:b w:val="0"/>
                <w:sz w:val="20"/>
              </w:rPr>
              <w:t xml:space="preserve">Extended 121</w:t>
            </w:r>
          </w:p>
        </w:tc>
        <w:tc>
          <w:tcPr>
            <w:tcW w:type="dxa" w:w="2292"/>
            <w:vAlign w:val="center"/>
          </w:tcPr>
          <w:p>
            <w:pPr>
              <w:pStyle w:val="Compact"/>
              <w:keepNext/>
              <w:keepLines/>
              <w:spacing w:after="40" w:before="40" w:line="252" w:lineRule="auto"/>
              <w:jc w:val="left"/>
            </w:pPr>
            <w:r>
              <w:rPr>
                <w:b w:val="0"/>
                <w:sz w:val="20"/>
              </w:rPr>
              <w:t xml:space="preserve">Fixed 10⁻⁶</w:t>
            </w:r>
          </w:p>
        </w:tc>
        <w:tc>
          <w:tcPr>
            <w:tcW w:type="dxa" w:w="2292"/>
            <w:vAlign w:val="center"/>
          </w:tcPr>
          <w:p>
            <w:pPr>
              <w:pStyle w:val="Compact"/>
              <w:keepNext/>
              <w:keepLines/>
              <w:spacing w:after="40" w:before="40" w:line="252" w:lineRule="auto"/>
              <w:jc w:val="right"/>
            </w:pPr>
            <w:r>
              <w:rPr>
                <w:b w:val="0"/>
                <w:sz w:val="20"/>
              </w:rPr>
              <w:t xml:space="preserve">0.0948 (0.0012)</w:t>
            </w:r>
          </w:p>
        </w:tc>
        <w:tc>
          <w:tcPr>
            <w:tcW w:type="dxa" w:w="2292"/>
            <w:vAlign w:val="center"/>
          </w:tcPr>
          <w:p>
            <w:pPr>
              <w:pStyle w:val="Compact"/>
              <w:keepNext/>
              <w:keepLines/>
              <w:spacing w:after="40" w:before="40" w:line="252" w:lineRule="auto"/>
              <w:jc w:val="right"/>
            </w:pPr>
            <w:r>
              <w:rPr>
                <w:b w:val="0"/>
                <w:sz w:val="20"/>
              </w:rPr>
              <w:t xml:space="preserve">0.0336 (0.0001)</w:t>
            </w:r>
          </w:p>
        </w:tc>
        <w:tc>
          <w:tcPr>
            <w:tcW w:type="dxa" w:w="2149"/>
            <w:vAlign w:val="center"/>
          </w:tcPr>
          <w:p>
            <w:pPr>
              <w:pStyle w:val="Compact"/>
              <w:keepNext/>
              <w:keepLines/>
              <w:spacing w:after="40" w:before="40" w:line="252" w:lineRule="auto"/>
              <w:jc w:val="right"/>
            </w:pPr>
            <w:r>
              <w:rPr>
                <w:b w:val="0"/>
                <w:sz w:val="20"/>
              </w:rPr>
              <w:t xml:space="preserve">+0.0080 (0.0066)</w:t>
            </w:r>
          </w:p>
        </w:tc>
      </w:tr>
      <w:tr>
        <w:trPr>
          <w:cantSplit/>
        </w:trPr>
        <w:tc>
          <w:tcPr>
            <w:tcW w:type="dxa" w:w="3009"/>
            <w:vAlign w:val="center"/>
          </w:tcPr>
          <w:p>
            <w:pPr>
              <w:pStyle w:val="Compact"/>
              <w:keepNext/>
              <w:keepLines/>
              <w:spacing w:after="40" w:before="40" w:line="252" w:lineRule="auto"/>
              <w:jc w:val="left"/>
            </w:pPr>
            <w:r>
              <w:rPr>
                <w:b w:val="0"/>
                <w:sz w:val="20"/>
              </w:rPr>
              <w:t xml:space="preserve">Single lognormal</w:t>
            </w:r>
          </w:p>
        </w:tc>
        <w:tc>
          <w:tcPr>
            <w:tcW w:type="dxa" w:w="2292"/>
            <w:vAlign w:val="center"/>
          </w:tcPr>
          <w:p>
            <w:pPr>
              <w:pStyle w:val="Compact"/>
              <w:keepNext/>
              <w:keepLines/>
              <w:spacing w:after="40" w:before="40" w:line="252" w:lineRule="auto"/>
              <w:jc w:val="left"/>
            </w:pPr>
            <w:r>
              <w:rPr>
                <w:b w:val="0"/>
                <w:sz w:val="20"/>
              </w:rPr>
              <w:t xml:space="preserve">Extended 121</w:t>
            </w:r>
          </w:p>
        </w:tc>
        <w:tc>
          <w:tcPr>
            <w:tcW w:type="dxa" w:w="2292"/>
            <w:vAlign w:val="center"/>
          </w:tcPr>
          <w:p>
            <w:pPr>
              <w:pStyle w:val="Compact"/>
              <w:keepNext/>
              <w:keepLines/>
              <w:spacing w:after="40" w:before="40" w:line="252" w:lineRule="auto"/>
              <w:jc w:val="left"/>
            </w:pPr>
            <w:r>
              <w:rPr>
                <w:b w:val="0"/>
                <w:sz w:val="20"/>
              </w:rPr>
              <w:t xml:space="preserve">Selected</w:t>
            </w:r>
          </w:p>
        </w:tc>
        <w:tc>
          <w:tcPr>
            <w:tcW w:type="dxa" w:w="2292"/>
            <w:vAlign w:val="center"/>
          </w:tcPr>
          <w:p>
            <w:pPr>
              <w:pStyle w:val="Compact"/>
              <w:keepNext/>
              <w:keepLines/>
              <w:spacing w:after="40" w:before="40" w:line="252" w:lineRule="auto"/>
              <w:jc w:val="right"/>
            </w:pPr>
            <w:r>
              <w:rPr>
                <w:b w:val="0"/>
                <w:sz w:val="20"/>
              </w:rPr>
              <w:t xml:space="preserve">0.0948 (0.0012)</w:t>
            </w:r>
          </w:p>
        </w:tc>
        <w:tc>
          <w:tcPr>
            <w:tcW w:type="dxa" w:w="2292"/>
            <w:vAlign w:val="center"/>
          </w:tcPr>
          <w:p>
            <w:pPr>
              <w:pStyle w:val="Compact"/>
              <w:keepNext/>
              <w:keepLines/>
              <w:spacing w:after="40" w:before="40" w:line="252" w:lineRule="auto"/>
              <w:jc w:val="right"/>
            </w:pPr>
            <w:r>
              <w:rPr>
                <w:b w:val="0"/>
                <w:sz w:val="20"/>
              </w:rPr>
              <w:t xml:space="preserve">0.0336 (0.0001)</w:t>
            </w:r>
          </w:p>
        </w:tc>
        <w:tc>
          <w:tcPr>
            <w:tcW w:type="dxa" w:w="2149"/>
            <w:vAlign w:val="center"/>
          </w:tcPr>
          <w:p>
            <w:pPr>
              <w:pStyle w:val="Compact"/>
              <w:keepNext/>
              <w:keepLines/>
              <w:spacing w:after="40" w:before="40" w:line="252" w:lineRule="auto"/>
              <w:jc w:val="right"/>
            </w:pPr>
            <w:r>
              <w:rPr>
                <w:b w:val="0"/>
                <w:sz w:val="20"/>
              </w:rPr>
              <w:t xml:space="preserve">+0.0080 (0.0066)</w:t>
            </w:r>
          </w:p>
        </w:tc>
      </w:tr>
      <w:tr>
        <w:trPr>
          <w:cantSplit/>
        </w:trPr>
        <w:tc>
          <w:tcPr>
            <w:tcW w:type="dxa" w:w="3009"/>
            <w:vAlign w:val="center"/>
          </w:tcPr>
          <w:p>
            <w:pPr>
              <w:pStyle w:val="Compact"/>
              <w:keepNext/>
              <w:keepLines/>
              <w:spacing w:after="40" w:before="40" w:line="252" w:lineRule="auto"/>
              <w:jc w:val="left"/>
            </w:pPr>
            <w:r>
              <w:rPr>
                <w:b w:val="0"/>
                <w:sz w:val="20"/>
              </w:rPr>
              <w:t xml:space="preserve">Two-lognormal mixture</w:t>
            </w:r>
          </w:p>
        </w:tc>
        <w:tc>
          <w:tcPr>
            <w:tcW w:type="dxa" w:w="2292"/>
            <w:vAlign w:val="center"/>
          </w:tcPr>
          <w:p>
            <w:pPr>
              <w:pStyle w:val="Compact"/>
              <w:keepNext/>
              <w:keepLines/>
              <w:spacing w:after="40" w:before="40" w:line="252" w:lineRule="auto"/>
              <w:jc w:val="left"/>
            </w:pPr>
            <w:r>
              <w:rPr>
                <w:b w:val="0"/>
                <w:sz w:val="20"/>
              </w:rPr>
              <w:t xml:space="preserve">Original 81</w:t>
            </w:r>
          </w:p>
        </w:tc>
        <w:tc>
          <w:tcPr>
            <w:tcW w:type="dxa" w:w="2292"/>
            <w:vAlign w:val="center"/>
          </w:tcPr>
          <w:p>
            <w:pPr>
              <w:pStyle w:val="Compact"/>
              <w:keepNext/>
              <w:keepLines/>
              <w:spacing w:after="40" w:before="40" w:line="252" w:lineRule="auto"/>
              <w:jc w:val="left"/>
            </w:pPr>
            <w:r>
              <w:rPr>
                <w:b w:val="0"/>
                <w:sz w:val="20"/>
              </w:rPr>
              <w:t xml:space="preserve">Fixed 10⁻⁶</w:t>
            </w:r>
          </w:p>
        </w:tc>
        <w:tc>
          <w:tcPr>
            <w:tcW w:type="dxa" w:w="2292"/>
            <w:vAlign w:val="center"/>
          </w:tcPr>
          <w:p>
            <w:pPr>
              <w:pStyle w:val="Compact"/>
              <w:keepNext/>
              <w:keepLines/>
              <w:spacing w:after="40" w:before="40" w:line="252" w:lineRule="auto"/>
              <w:jc w:val="right"/>
            </w:pPr>
            <w:r>
              <w:rPr>
                <w:b w:val="0"/>
                <w:sz w:val="20"/>
              </w:rPr>
              <w:t xml:space="preserve">0.8887 (0.0434)</w:t>
            </w:r>
          </w:p>
        </w:tc>
        <w:tc>
          <w:tcPr>
            <w:tcW w:type="dxa" w:w="2292"/>
            <w:vAlign w:val="center"/>
          </w:tcPr>
          <w:p>
            <w:pPr>
              <w:pStyle w:val="Compact"/>
              <w:keepNext/>
              <w:keepLines/>
              <w:spacing w:after="40" w:before="40" w:line="252" w:lineRule="auto"/>
              <w:jc w:val="right"/>
            </w:pPr>
            <w:r>
              <w:rPr>
                <w:b w:val="0"/>
                <w:sz w:val="20"/>
              </w:rPr>
              <w:t xml:space="preserve">0.0574 (0.0004)</w:t>
            </w:r>
          </w:p>
        </w:tc>
        <w:tc>
          <w:tcPr>
            <w:tcW w:type="dxa" w:w="2149"/>
            <w:vAlign w:val="center"/>
          </w:tcPr>
          <w:p>
            <w:pPr>
              <w:pStyle w:val="Compact"/>
              <w:keepNext/>
              <w:keepLines/>
              <w:spacing w:after="40" w:before="40" w:line="252" w:lineRule="auto"/>
              <w:jc w:val="right"/>
            </w:pPr>
            <w:r>
              <w:rPr>
                <w:b w:val="0"/>
                <w:sz w:val="20"/>
              </w:rPr>
              <w:t xml:space="preserve">+0.3225 (0.0530)</w:t>
            </w:r>
          </w:p>
        </w:tc>
      </w:tr>
      <w:tr>
        <w:trPr>
          <w:cantSplit/>
        </w:trPr>
        <w:tc>
          <w:tcPr>
            <w:tcW w:type="dxa" w:w="3009"/>
            <w:vAlign w:val="center"/>
          </w:tcPr>
          <w:p>
            <w:pPr>
              <w:pStyle w:val="Compact"/>
              <w:keepNext/>
              <w:keepLines/>
              <w:spacing w:after="40" w:before="40" w:line="252" w:lineRule="auto"/>
              <w:jc w:val="left"/>
            </w:pPr>
            <w:r>
              <w:rPr>
                <w:b w:val="0"/>
                <w:sz w:val="20"/>
              </w:rPr>
              <w:t xml:space="preserve">Two-lognormal mixture</w:t>
            </w:r>
          </w:p>
        </w:tc>
        <w:tc>
          <w:tcPr>
            <w:tcW w:type="dxa" w:w="2292"/>
            <w:vAlign w:val="center"/>
          </w:tcPr>
          <w:p>
            <w:pPr>
              <w:pStyle w:val="Compact"/>
              <w:keepNext/>
              <w:keepLines/>
              <w:spacing w:after="40" w:before="40" w:line="252" w:lineRule="auto"/>
              <w:jc w:val="left"/>
            </w:pPr>
            <w:r>
              <w:rPr>
                <w:b w:val="0"/>
                <w:sz w:val="20"/>
              </w:rPr>
              <w:t xml:space="preserve">Original 81</w:t>
            </w:r>
          </w:p>
        </w:tc>
        <w:tc>
          <w:tcPr>
            <w:tcW w:type="dxa" w:w="2292"/>
            <w:vAlign w:val="center"/>
          </w:tcPr>
          <w:p>
            <w:pPr>
              <w:pStyle w:val="Compact"/>
              <w:keepNext/>
              <w:keepLines/>
              <w:spacing w:after="40" w:before="40" w:line="252" w:lineRule="auto"/>
              <w:jc w:val="left"/>
            </w:pPr>
            <w:r>
              <w:rPr>
                <w:b w:val="0"/>
                <w:sz w:val="20"/>
              </w:rPr>
              <w:t xml:space="preserve">Selected</w:t>
            </w:r>
          </w:p>
        </w:tc>
        <w:tc>
          <w:tcPr>
            <w:tcW w:type="dxa" w:w="2292"/>
            <w:vAlign w:val="center"/>
          </w:tcPr>
          <w:p>
            <w:pPr>
              <w:pStyle w:val="Compact"/>
              <w:keepNext/>
              <w:keepLines/>
              <w:spacing w:after="40" w:before="40" w:line="252" w:lineRule="auto"/>
              <w:jc w:val="right"/>
            </w:pPr>
            <w:r>
              <w:rPr>
                <w:b w:val="0"/>
                <w:sz w:val="20"/>
              </w:rPr>
              <w:t xml:space="preserve">1.0928 (0.0290)</w:t>
            </w:r>
          </w:p>
        </w:tc>
        <w:tc>
          <w:tcPr>
            <w:tcW w:type="dxa" w:w="2292"/>
            <w:vAlign w:val="center"/>
          </w:tcPr>
          <w:p>
            <w:pPr>
              <w:pStyle w:val="Compact"/>
              <w:keepNext/>
              <w:keepLines/>
              <w:spacing w:after="40" w:before="40" w:line="252" w:lineRule="auto"/>
              <w:jc w:val="right"/>
            </w:pPr>
            <w:r>
              <w:rPr>
                <w:b w:val="0"/>
                <w:sz w:val="20"/>
              </w:rPr>
              <w:t xml:space="preserve">0.0704 (0.0009)</w:t>
            </w:r>
          </w:p>
        </w:tc>
        <w:tc>
          <w:tcPr>
            <w:tcW w:type="dxa" w:w="2149"/>
            <w:vAlign w:val="center"/>
          </w:tcPr>
          <w:p>
            <w:pPr>
              <w:pStyle w:val="Compact"/>
              <w:keepNext/>
              <w:keepLines/>
              <w:spacing w:after="40" w:before="40" w:line="252" w:lineRule="auto"/>
              <w:jc w:val="right"/>
            </w:pPr>
            <w:r>
              <w:rPr>
                <w:b w:val="0"/>
                <w:sz w:val="20"/>
              </w:rPr>
              <w:t xml:space="preserve">+0.2533 (0.0511)</w:t>
            </w:r>
          </w:p>
        </w:tc>
      </w:tr>
      <w:tr>
        <w:trPr>
          <w:cantSplit/>
        </w:trPr>
        <w:tc>
          <w:tcPr>
            <w:tcW w:type="dxa" w:w="3009"/>
            <w:vAlign w:val="center"/>
          </w:tcPr>
          <w:p>
            <w:pPr>
              <w:pStyle w:val="Compact"/>
              <w:keepNext/>
              <w:keepLines/>
              <w:spacing w:after="40" w:before="40" w:line="252" w:lineRule="auto"/>
              <w:jc w:val="left"/>
            </w:pPr>
            <w:r>
              <w:rPr>
                <w:b w:val="0"/>
                <w:sz w:val="20"/>
              </w:rPr>
              <w:t xml:space="preserve">Two-lognormal mixture</w:t>
            </w:r>
          </w:p>
        </w:tc>
        <w:tc>
          <w:tcPr>
            <w:tcW w:type="dxa" w:w="2292"/>
            <w:vAlign w:val="center"/>
          </w:tcPr>
          <w:p>
            <w:pPr>
              <w:pStyle w:val="Compact"/>
              <w:keepNext/>
              <w:keepLines/>
              <w:spacing w:after="40" w:before="40" w:line="252" w:lineRule="auto"/>
              <w:jc w:val="left"/>
            </w:pPr>
            <w:r>
              <w:rPr>
                <w:b w:val="0"/>
                <w:sz w:val="20"/>
              </w:rPr>
              <w:t xml:space="preserve">Extended 121</w:t>
            </w:r>
          </w:p>
        </w:tc>
        <w:tc>
          <w:tcPr>
            <w:tcW w:type="dxa" w:w="2292"/>
            <w:vAlign w:val="center"/>
          </w:tcPr>
          <w:p>
            <w:pPr>
              <w:pStyle w:val="Compact"/>
              <w:keepNext/>
              <w:keepLines/>
              <w:spacing w:after="40" w:before="40" w:line="252" w:lineRule="auto"/>
              <w:jc w:val="left"/>
            </w:pPr>
            <w:r>
              <w:rPr>
                <w:b w:val="0"/>
                <w:sz w:val="20"/>
              </w:rPr>
              <w:t xml:space="preserve">Fixed 10⁻⁶</w:t>
            </w:r>
          </w:p>
        </w:tc>
        <w:tc>
          <w:tcPr>
            <w:tcW w:type="dxa" w:w="2292"/>
            <w:vAlign w:val="center"/>
          </w:tcPr>
          <w:p>
            <w:pPr>
              <w:pStyle w:val="Compact"/>
              <w:keepNext/>
              <w:keepLines/>
              <w:spacing w:after="40" w:before="40" w:line="252" w:lineRule="auto"/>
              <w:jc w:val="right"/>
            </w:pPr>
            <w:r>
              <w:rPr>
                <w:b w:val="0"/>
                <w:sz w:val="20"/>
              </w:rPr>
              <w:t xml:space="preserve">0.1587 (0.0015)</w:t>
            </w:r>
          </w:p>
        </w:tc>
        <w:tc>
          <w:tcPr>
            <w:tcW w:type="dxa" w:w="2292"/>
            <w:vAlign w:val="center"/>
          </w:tcPr>
          <w:p>
            <w:pPr>
              <w:pStyle w:val="Compact"/>
              <w:keepNext/>
              <w:keepLines/>
              <w:spacing w:after="40" w:before="40" w:line="252" w:lineRule="auto"/>
              <w:jc w:val="right"/>
            </w:pPr>
            <w:r>
              <w:rPr>
                <w:b w:val="0"/>
                <w:sz w:val="20"/>
              </w:rPr>
              <w:t xml:space="preserve">0.0524 (0.0003)</w:t>
            </w:r>
          </w:p>
        </w:tc>
        <w:tc>
          <w:tcPr>
            <w:tcW w:type="dxa" w:w="2149"/>
            <w:vAlign w:val="center"/>
          </w:tcPr>
          <w:p>
            <w:pPr>
              <w:pStyle w:val="Compact"/>
              <w:keepNext/>
              <w:keepLines/>
              <w:spacing w:after="40" w:before="40" w:line="252" w:lineRule="auto"/>
              <w:jc w:val="right"/>
            </w:pPr>
            <w:r>
              <w:rPr>
                <w:b w:val="0"/>
                <w:sz w:val="20"/>
              </w:rPr>
              <w:t xml:space="preserve">-0.0358 (0.0073)</w:t>
            </w:r>
          </w:p>
        </w:tc>
      </w:tr>
      <w:tr>
        <w:trPr>
          <w:cantSplit/>
        </w:trPr>
        <w:tc>
          <w:tcPr>
            <w:tcW w:type="dxa" w:w="3009"/>
            <w:vAlign w:val="center"/>
          </w:tcPr>
          <w:p>
            <w:pPr>
              <w:pStyle w:val="Compact"/>
              <w:keepNext/>
              <w:keepLines/>
              <w:spacing w:after="40" w:before="40" w:line="252" w:lineRule="auto"/>
              <w:jc w:val="left"/>
            </w:pPr>
            <w:r>
              <w:rPr>
                <w:b w:val="0"/>
                <w:sz w:val="20"/>
              </w:rPr>
              <w:t xml:space="preserve">Two-lognormal mixture</w:t>
            </w:r>
          </w:p>
        </w:tc>
        <w:tc>
          <w:tcPr>
            <w:tcW w:type="dxa" w:w="2292"/>
            <w:vAlign w:val="center"/>
          </w:tcPr>
          <w:p>
            <w:pPr>
              <w:pStyle w:val="Compact"/>
              <w:keepNext/>
              <w:keepLines/>
              <w:spacing w:after="40" w:before="40" w:line="252" w:lineRule="auto"/>
              <w:jc w:val="left"/>
            </w:pPr>
            <w:r>
              <w:rPr>
                <w:b w:val="0"/>
                <w:sz w:val="20"/>
              </w:rPr>
              <w:t xml:space="preserve">Extended 121</w:t>
            </w:r>
          </w:p>
        </w:tc>
        <w:tc>
          <w:tcPr>
            <w:tcW w:type="dxa" w:w="2292"/>
            <w:vAlign w:val="center"/>
          </w:tcPr>
          <w:p>
            <w:pPr>
              <w:pStyle w:val="Compact"/>
              <w:keepNext/>
              <w:keepLines/>
              <w:spacing w:after="40" w:before="40" w:line="252" w:lineRule="auto"/>
              <w:jc w:val="left"/>
            </w:pPr>
            <w:r>
              <w:rPr>
                <w:b w:val="0"/>
                <w:sz w:val="20"/>
              </w:rPr>
              <w:t xml:space="preserve">Selected</w:t>
            </w:r>
          </w:p>
        </w:tc>
        <w:tc>
          <w:tcPr>
            <w:tcW w:type="dxa" w:w="2292"/>
            <w:vAlign w:val="center"/>
          </w:tcPr>
          <w:p>
            <w:pPr>
              <w:pStyle w:val="Compact"/>
              <w:keepNext/>
              <w:keepLines/>
              <w:spacing w:after="40" w:before="40" w:line="252" w:lineRule="auto"/>
              <w:jc w:val="right"/>
            </w:pPr>
            <w:r>
              <w:rPr>
                <w:b w:val="0"/>
                <w:sz w:val="20"/>
              </w:rPr>
              <w:t xml:space="preserve">0.1174 (0.0011)</w:t>
            </w:r>
          </w:p>
        </w:tc>
        <w:tc>
          <w:tcPr>
            <w:tcW w:type="dxa" w:w="2292"/>
            <w:vAlign w:val="center"/>
          </w:tcPr>
          <w:p>
            <w:pPr>
              <w:pStyle w:val="Compact"/>
              <w:keepNext/>
              <w:keepLines/>
              <w:spacing w:after="40" w:before="40" w:line="252" w:lineRule="auto"/>
              <w:jc w:val="right"/>
            </w:pPr>
            <w:r>
              <w:rPr>
                <w:b w:val="0"/>
                <w:sz w:val="20"/>
              </w:rPr>
              <w:t xml:space="preserve">0.0630 (0.0003)</w:t>
            </w:r>
          </w:p>
        </w:tc>
        <w:tc>
          <w:tcPr>
            <w:tcW w:type="dxa" w:w="2149"/>
            <w:vAlign w:val="center"/>
          </w:tcPr>
          <w:p>
            <w:pPr>
              <w:pStyle w:val="Compact"/>
              <w:keepNext/>
              <w:keepLines/>
              <w:spacing w:after="40" w:before="40" w:line="252" w:lineRule="auto"/>
              <w:jc w:val="right"/>
            </w:pPr>
            <w:r>
              <w:rPr>
                <w:b w:val="0"/>
                <w:sz w:val="20"/>
              </w:rPr>
              <w:t xml:space="preserve">-0.0366 (0.0110)</w:t>
            </w:r>
          </w:p>
        </w:tc>
      </w:tr>
    </w:tbl>
    <w:p>
      <w:bookmarkStart w:id="604" w:name="table19"/>
      <w:pPr>
        <w:pStyle w:val="TableCaption"/>
      </w:pPr>
      <w:r>
        <w:t xml:space="preserve">Table 19. Recovery after full-data refitting. The clean-price RMSE pools 960 withheld prices in each repetition. Full-density</w:t>
      </w:r>
      <w:r>
        <w:t xml:space="preserve"> </w:t>
      </w:r>
      <m:oMath>
        <m:sSub>
          <m:e>
            <m:r>
              <m:t>L</m:t>
            </m:r>
          </m:e>
          <m:sub>
            <m:r>
              <m:t>1</m:t>
            </m:r>
          </m:sub>
        </m:sSub>
      </m:oMath>
      <w:r>
        <w:t xml:space="preserve"> </w:t>
      </w:r>
      <w:r>
        <w:t xml:space="preserve">is averaged across eight maturities and includes the known omitted tails as in Equation (23). Upper-tail bias is the mean error in</w:t>
      </w:r>
      <w:r>
        <w:t xml:space="preserve"> </w:t>
      </w:r>
      <m:oMath>
        <m:r>
          <m:t>Q</m:t>
        </m:r>
        <m:d>
          <m:dPr>
            <m:begChr m:val="("/>
            <m:endChr m:val=")"/>
            <m:sepChr m:val=""/>
            <m:grow/>
          </m:dPr>
          <m:e>
            <m:sSub>
              <m:e>
                <m:r>
                  <m:t>S</m:t>
                </m:r>
              </m:e>
              <m:sub>
                <m:r>
                  <m:t>T</m:t>
                </m:r>
              </m:sub>
            </m:sSub>
            <m:r>
              <m:rPr>
                <m:sty m:val="p"/>
              </m:rPr>
              <m:t>&gt;</m:t>
            </m:r>
            <m:r>
              <m:t>1.8</m:t>
            </m:r>
            <m:r>
              <m:t>F</m:t>
            </m:r>
          </m:e>
        </m:d>
      </m:oMath>
      <w:r>
        <w:t xml:space="preserve"> </w:t>
      </w:r>
      <w:r>
        <w:t xml:space="preserve">at 365 days, expressed in percentage points. Entries are mean (MCSE).</w:t>
      </w:r>
      <w:bookmarkEnd w:id="604"/>
    </w:p>
    <w:p>
      <w:pPr>
        <w:sectPr>
          <w:type w:val="nextPage"/>
          <w:pgSz w:w="16838" w:h="11906" w:orient="landscape"/>
          <w:pgMar w:top="1008" w:bottom="1008" w:left="1152" w:right="1152" w:header="432" w:footer="432" w:gutter="0"/>
          <w:pgNumType w:fmt="decimal"/>
        </w:sectPr>
        <w:spacing w:before="0" w:after="0" w:line="1" w:lineRule="exact"/>
      </w:pPr>
      <w:r>
        <w:rPr>
          <w:sz w:val="2"/>
        </w:rPr>
      </w:r>
    </w:p>
    <w:p>
      <w:pPr>
        <w:pStyle w:val="BodyText"/>
        <w:keepNext/>
        <w:spacing w:after="40"/>
        <w:jc w:val="center"/>
      </w:pPr>
      <w:r>
        <w:drawing>
          <wp:inline>
            <wp:extent cx="5334000" cy="2370666"/>
            <wp:effectExtent b="0" l="0" r="0" t="0"/>
            <wp:docPr descr="Selected and fixed smoothing on separate recovery measures" title="" id="116" name="Picture"/>
            <a:graphic>
              <a:graphicData uri="http://schemas.openxmlformats.org/drawingml/2006/picture">
                <pic:pic>
                  <pic:nvPicPr>
                    <pic:cNvPr descr="/workspace/scratch/62b9274b9d7e/spx-density-research/figures/figure_22_selected_and_fixed_recovery.png" id="117" name="Picture"/>
                    <pic:cNvPicPr>
                      <a:picLocks noChangeArrowheads="1" noChangeAspect="1"/>
                    </pic:cNvPicPr>
                  </pic:nvPicPr>
                  <pic:blipFill>
                    <a:blip r:embed="rId115"/>
                    <a:stretch>
                      <a:fillRect/>
                    </a:stretch>
                  </pic:blipFill>
                  <pic:spPr bwMode="auto">
                    <a:xfrm>
                      <a:off x="0" y="0"/>
                      <a:ext cx="5334000" cy="2370666"/>
                    </a:xfrm>
                    <a:prstGeom prst="rect">
                      <a:avLst/>
                    </a:prstGeom>
                    <a:noFill/>
                    <a:ln w="9525">
                      <a:noFill/>
                      <a:headEnd/>
                      <a:tailEnd/>
                    </a:ln>
                  </pic:spPr>
                </pic:pic>
              </a:graphicData>
            </a:graphic>
          </wp:inline>
        </w:drawing>
      </w:r>
    </w:p>
    <w:p>
      <w:bookmarkStart w:id="605" w:name="figure22"/>
      <w:pPr>
        <w:pStyle w:val="FigureCaption"/>
      </w:pPr>
      <w:r>
        <w:t xml:space="preserve">Figure 22. Mean clean-price RMSE and full-domain density error after refitting with selected or fixed smoothing, using the same quote realisations in each comparison. Bars show ±2 MCSE. A small price error does not, by itself, establish a small density error, since prices integrate the density through the payoff relationship in Equation (1).</w:t>
      </w:r>
      <w:bookmarkEnd w:id="605"/>
    </w:p>
    <w:p>
      <w:pPr>
        <w:sectPr>
          <w:type w:val="nextPage"/>
          <w:pgSz w:w="16838" w:h="11906" w:orient="landscape"/>
          <w:pgMar w:top="1008" w:bottom="1008" w:left="1152" w:right="1152" w:header="432" w:footer="432" w:gutter="0"/>
          <w:pgNumType w:fmt="decimal"/>
        </w:sectPr>
        <w:spacing w:before="0" w:after="0" w:line="1" w:lineRule="exact"/>
      </w:pPr>
      <w:r>
        <w:rPr>
          <w:sz w:val="2"/>
        </w:rPr>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107"/>
        <w:gridCol w:w="2107"/>
        <w:gridCol w:w="1915"/>
        <w:gridCol w:w="1724"/>
        <w:gridCol w:w="1724"/>
      </w:tblGrid>
      <w:tr>
        <w:trPr>
          <w:tblHeader w:val="true"/>
          <w:cantSplit/>
          <w:tblHeader/>
        </w:trPr>
        <w:tc>
          <w:tcPr>
            <w:tcW w:type="dxa" w:w="2107"/>
            <w:vAlign w:val="center"/>
            <w:shd w:fill="E9EEF3"/>
          </w:tcPr>
          <w:p>
            <w:pPr>
              <w:pStyle w:val="Compact"/>
              <w:keepNext/>
              <w:keepLines/>
              <w:spacing w:after="40" w:before="40" w:line="252" w:lineRule="auto"/>
              <w:jc w:val="left"/>
            </w:pPr>
            <w:r>
              <w:rPr>
                <w:b/>
                <w:sz w:val="21"/>
              </w:rPr>
              <w:t xml:space="preserve">Benchmark</w:t>
            </w:r>
          </w:p>
        </w:tc>
        <w:tc>
          <w:tcPr>
            <w:tcW w:type="dxa" w:w="2107"/>
            <w:vAlign w:val="center"/>
            <w:shd w:fill="E9EEF3"/>
          </w:tcPr>
          <w:p>
            <w:pPr>
              <w:pStyle w:val="Compact"/>
              <w:keepNext/>
              <w:keepLines/>
              <w:spacing w:after="40" w:before="40" w:line="252" w:lineRule="auto"/>
              <w:jc w:val="left"/>
            </w:pPr>
            <w:r>
              <w:rPr>
                <w:b/>
                <w:sz w:val="21"/>
              </w:rPr>
              <w:t xml:space="preserve">Pattern</w:t>
            </w:r>
          </w:p>
        </w:tc>
        <w:tc>
          <w:tcPr>
            <w:tcW w:type="dxa" w:w="1915"/>
            <w:vAlign w:val="center"/>
            <w:shd w:fill="E9EEF3"/>
          </w:tcPr>
          <w:p>
            <w:pPr>
              <w:pStyle w:val="Compact"/>
              <w:keepNext/>
              <w:keepLines/>
              <w:spacing w:after="40" w:before="40" w:line="252" w:lineRule="auto"/>
              <w:jc w:val="right"/>
            </w:pPr>
            <w:r>
              <w:rPr>
                <w:b/>
                <w:sz w:val="21"/>
              </w:rPr>
              <w:t xml:space="preserve">Δ clean-price RMSE (points)</w:t>
            </w:r>
          </w:p>
        </w:tc>
        <w:tc>
          <w:tcPr>
            <w:tcW w:type="dxa" w:w="1724"/>
            <w:vAlign w:val="center"/>
            <w:shd w:fill="E9EEF3"/>
          </w:tcPr>
          <w:p>
            <w:pPr>
              <w:pStyle w:val="Compact"/>
              <w:keepNext/>
              <w:keepLines/>
              <w:spacing w:after="40" w:before="40" w:line="252" w:lineRule="auto"/>
              <w:jc w:val="right"/>
            </w:pPr>
            <w:r>
              <w:rPr>
                <w:b/>
                <w:sz w:val="21"/>
              </w:rPr>
              <w:t xml:space="preserve">Δ full-density L1</w:t>
            </w:r>
          </w:p>
        </w:tc>
        <w:tc>
          <w:tcPr>
            <w:tcW w:type="dxa" w:w="1724"/>
            <w:vAlign w:val="center"/>
            <w:shd w:fill="E9EEF3"/>
          </w:tcPr>
          <w:p>
            <w:pPr>
              <w:pStyle w:val="Compact"/>
              <w:keepNext/>
              <w:keepLines/>
              <w:spacing w:after="40" w:before="40" w:line="252" w:lineRule="auto"/>
              <w:jc w:val="right"/>
            </w:pPr>
            <w:r>
              <w:rPr>
                <w:b/>
                <w:sz w:val="21"/>
              </w:rPr>
              <w:t xml:space="preserve">Δ absolute upper-tail error (pp)</w:t>
            </w:r>
          </w:p>
        </w:tc>
      </w:tr>
      <w:tr>
        <w:trPr>
          <w:cantSplit/>
        </w:trPr>
        <w:tc>
          <w:tcPr>
            <w:tcW w:type="dxa" w:w="2107"/>
            <w:vAlign w:val="center"/>
          </w:tcPr>
          <w:p>
            <w:pPr>
              <w:pStyle w:val="Compact"/>
              <w:keepNext/>
              <w:keepLines/>
              <w:spacing w:after="40" w:before="40" w:line="252" w:lineRule="auto"/>
              <w:jc w:val="left"/>
            </w:pPr>
            <w:r>
              <w:rPr>
                <w:b w:val="0"/>
                <w:sz w:val="21"/>
              </w:rPr>
              <w:t xml:space="preserve">Single lognormal</w:t>
            </w:r>
          </w:p>
        </w:tc>
        <w:tc>
          <w:tcPr>
            <w:tcW w:type="dxa" w:w="2107"/>
            <w:vAlign w:val="center"/>
          </w:tcPr>
          <w:p>
            <w:pPr>
              <w:pStyle w:val="Compact"/>
              <w:keepNext/>
              <w:keepLines/>
              <w:spacing w:after="40" w:before="40" w:line="252" w:lineRule="auto"/>
              <w:jc w:val="left"/>
            </w:pPr>
            <w:r>
              <w:rPr>
                <w:b w:val="0"/>
                <w:sz w:val="21"/>
              </w:rPr>
              <w:t xml:space="preserve">Original 81</w:t>
            </w:r>
          </w:p>
        </w:tc>
        <w:tc>
          <w:tcPr>
            <w:tcW w:type="dxa" w:w="1915"/>
            <w:vAlign w:val="center"/>
          </w:tcPr>
          <w:p>
            <w:pPr>
              <w:pStyle w:val="Compact"/>
              <w:keepNext/>
              <w:keepLines/>
              <w:spacing w:after="40" w:before="40" w:line="252" w:lineRule="auto"/>
              <w:jc w:val="right"/>
            </w:pPr>
            <w:r>
              <w:rPr>
                <w:b w:val="0"/>
                <w:sz w:val="21"/>
              </w:rPr>
              <w:t xml:space="preserve">+0.0000 (0.0000)</w:t>
            </w:r>
          </w:p>
        </w:tc>
        <w:tc>
          <w:tcPr>
            <w:tcW w:type="dxa" w:w="1724"/>
            <w:vAlign w:val="center"/>
          </w:tcPr>
          <w:p>
            <w:pPr>
              <w:pStyle w:val="Compact"/>
              <w:keepNext/>
              <w:keepLines/>
              <w:spacing w:after="40" w:before="40" w:line="252" w:lineRule="auto"/>
              <w:jc w:val="right"/>
            </w:pPr>
            <w:r>
              <w:rPr>
                <w:b w:val="0"/>
                <w:sz w:val="21"/>
              </w:rPr>
              <w:t xml:space="preserve">+0.0000 (0.0000)</w:t>
            </w:r>
          </w:p>
        </w:tc>
        <w:tc>
          <w:tcPr>
            <w:tcW w:type="dxa" w:w="1724"/>
            <w:vAlign w:val="center"/>
          </w:tcPr>
          <w:p>
            <w:pPr>
              <w:pStyle w:val="Compact"/>
              <w:keepNext/>
              <w:keepLines/>
              <w:spacing w:after="40" w:before="40" w:line="252" w:lineRule="auto"/>
              <w:jc w:val="right"/>
            </w:pPr>
            <w:r>
              <w:rPr>
                <w:b w:val="0"/>
                <w:sz w:val="21"/>
              </w:rPr>
              <w:t xml:space="preserve">+0.0000 (0.0000)</w:t>
            </w:r>
          </w:p>
        </w:tc>
      </w:tr>
      <w:tr>
        <w:trPr>
          <w:cantSplit/>
        </w:trPr>
        <w:tc>
          <w:tcPr>
            <w:tcW w:type="dxa" w:w="2107"/>
            <w:vAlign w:val="center"/>
          </w:tcPr>
          <w:p>
            <w:pPr>
              <w:pStyle w:val="Compact"/>
              <w:keepNext/>
              <w:keepLines/>
              <w:spacing w:after="40" w:before="40" w:line="252" w:lineRule="auto"/>
              <w:jc w:val="left"/>
            </w:pPr>
            <w:r>
              <w:rPr>
                <w:b w:val="0"/>
                <w:sz w:val="21"/>
              </w:rPr>
              <w:t xml:space="preserve">Single lognormal</w:t>
            </w:r>
          </w:p>
        </w:tc>
        <w:tc>
          <w:tcPr>
            <w:tcW w:type="dxa" w:w="2107"/>
            <w:vAlign w:val="center"/>
          </w:tcPr>
          <w:p>
            <w:pPr>
              <w:pStyle w:val="Compact"/>
              <w:keepNext/>
              <w:keepLines/>
              <w:spacing w:after="40" w:before="40" w:line="252" w:lineRule="auto"/>
              <w:jc w:val="left"/>
            </w:pPr>
            <w:r>
              <w:rPr>
                <w:b w:val="0"/>
                <w:sz w:val="21"/>
              </w:rPr>
              <w:t xml:space="preserve">Extended 121</w:t>
            </w:r>
          </w:p>
        </w:tc>
        <w:tc>
          <w:tcPr>
            <w:tcW w:type="dxa" w:w="1915"/>
            <w:vAlign w:val="center"/>
          </w:tcPr>
          <w:p>
            <w:pPr>
              <w:pStyle w:val="Compact"/>
              <w:keepNext/>
              <w:keepLines/>
              <w:spacing w:after="40" w:before="40" w:line="252" w:lineRule="auto"/>
              <w:jc w:val="right"/>
            </w:pPr>
            <w:r>
              <w:rPr>
                <w:b w:val="0"/>
                <w:sz w:val="21"/>
              </w:rPr>
              <w:t xml:space="preserve">+0.0000 (0.0000)</w:t>
            </w:r>
          </w:p>
        </w:tc>
        <w:tc>
          <w:tcPr>
            <w:tcW w:type="dxa" w:w="1724"/>
            <w:vAlign w:val="center"/>
          </w:tcPr>
          <w:p>
            <w:pPr>
              <w:pStyle w:val="Compact"/>
              <w:keepNext/>
              <w:keepLines/>
              <w:spacing w:after="40" w:before="40" w:line="252" w:lineRule="auto"/>
              <w:jc w:val="right"/>
            </w:pPr>
            <w:r>
              <w:rPr>
                <w:b w:val="0"/>
                <w:sz w:val="21"/>
              </w:rPr>
              <w:t xml:space="preserve">+0.0000 (0.0000)</w:t>
            </w:r>
          </w:p>
        </w:tc>
        <w:tc>
          <w:tcPr>
            <w:tcW w:type="dxa" w:w="1724"/>
            <w:vAlign w:val="center"/>
          </w:tcPr>
          <w:p>
            <w:pPr>
              <w:pStyle w:val="Compact"/>
              <w:keepNext/>
              <w:keepLines/>
              <w:spacing w:after="40" w:before="40" w:line="252" w:lineRule="auto"/>
              <w:jc w:val="right"/>
            </w:pPr>
            <w:r>
              <w:rPr>
                <w:b w:val="0"/>
                <w:sz w:val="21"/>
              </w:rPr>
              <w:t xml:space="preserve">+0.0000 (0.0000)</w:t>
            </w:r>
          </w:p>
        </w:tc>
      </w:tr>
      <w:tr>
        <w:trPr>
          <w:cantSplit/>
        </w:trPr>
        <w:tc>
          <w:tcPr>
            <w:tcW w:type="dxa" w:w="2107"/>
            <w:vAlign w:val="center"/>
          </w:tcPr>
          <w:p>
            <w:pPr>
              <w:pStyle w:val="Compact"/>
              <w:keepNext/>
              <w:keepLines/>
              <w:spacing w:after="40" w:before="40" w:line="252" w:lineRule="auto"/>
              <w:jc w:val="left"/>
            </w:pPr>
            <w:r>
              <w:rPr>
                <w:b w:val="0"/>
                <w:sz w:val="21"/>
              </w:rPr>
              <w:t xml:space="preserve">Two-lognormal mixture</w:t>
            </w:r>
          </w:p>
        </w:tc>
        <w:tc>
          <w:tcPr>
            <w:tcW w:type="dxa" w:w="2107"/>
            <w:vAlign w:val="center"/>
          </w:tcPr>
          <w:p>
            <w:pPr>
              <w:pStyle w:val="Compact"/>
              <w:keepNext/>
              <w:keepLines/>
              <w:spacing w:after="40" w:before="40" w:line="252" w:lineRule="auto"/>
              <w:jc w:val="left"/>
            </w:pPr>
            <w:r>
              <w:rPr>
                <w:b w:val="0"/>
                <w:sz w:val="21"/>
              </w:rPr>
              <w:t xml:space="preserve">Original 81</w:t>
            </w:r>
          </w:p>
        </w:tc>
        <w:tc>
          <w:tcPr>
            <w:tcW w:type="dxa" w:w="1915"/>
            <w:vAlign w:val="center"/>
          </w:tcPr>
          <w:p>
            <w:pPr>
              <w:pStyle w:val="Compact"/>
              <w:keepNext/>
              <w:keepLines/>
              <w:spacing w:after="40" w:before="40" w:line="252" w:lineRule="auto"/>
              <w:jc w:val="right"/>
            </w:pPr>
            <w:r>
              <w:rPr>
                <w:b w:val="0"/>
                <w:sz w:val="21"/>
              </w:rPr>
              <w:t xml:space="preserve">+0.2042 (0.0374)</w:t>
            </w:r>
          </w:p>
        </w:tc>
        <w:tc>
          <w:tcPr>
            <w:tcW w:type="dxa" w:w="1724"/>
            <w:vAlign w:val="center"/>
          </w:tcPr>
          <w:p>
            <w:pPr>
              <w:pStyle w:val="Compact"/>
              <w:keepNext/>
              <w:keepLines/>
              <w:spacing w:after="40" w:before="40" w:line="252" w:lineRule="auto"/>
              <w:jc w:val="right"/>
            </w:pPr>
            <w:r>
              <w:rPr>
                <w:b w:val="0"/>
                <w:sz w:val="21"/>
              </w:rPr>
              <w:t xml:space="preserve">+0.0130 (0.0007)</w:t>
            </w:r>
          </w:p>
        </w:tc>
        <w:tc>
          <w:tcPr>
            <w:tcW w:type="dxa" w:w="1724"/>
            <w:vAlign w:val="center"/>
          </w:tcPr>
          <w:p>
            <w:pPr>
              <w:pStyle w:val="Compact"/>
              <w:keepNext/>
              <w:keepLines/>
              <w:spacing w:after="40" w:before="40" w:line="252" w:lineRule="auto"/>
              <w:jc w:val="right"/>
            </w:pPr>
            <w:r>
              <w:rPr>
                <w:b w:val="0"/>
                <w:sz w:val="21"/>
              </w:rPr>
              <w:t xml:space="preserve">-0.0692 (0.0316)</w:t>
            </w:r>
          </w:p>
        </w:tc>
      </w:tr>
      <w:tr>
        <w:trPr>
          <w:cantSplit/>
        </w:trPr>
        <w:tc>
          <w:tcPr>
            <w:tcW w:type="dxa" w:w="2107"/>
            <w:vAlign w:val="center"/>
          </w:tcPr>
          <w:p>
            <w:pPr>
              <w:pStyle w:val="Compact"/>
              <w:keepNext/>
              <w:keepLines/>
              <w:spacing w:after="40" w:before="40" w:line="252" w:lineRule="auto"/>
              <w:jc w:val="left"/>
            </w:pPr>
            <w:r>
              <w:rPr>
                <w:b w:val="0"/>
                <w:sz w:val="21"/>
              </w:rPr>
              <w:t xml:space="preserve">Two-lognormal mixture</w:t>
            </w:r>
          </w:p>
        </w:tc>
        <w:tc>
          <w:tcPr>
            <w:tcW w:type="dxa" w:w="2107"/>
            <w:vAlign w:val="center"/>
          </w:tcPr>
          <w:p>
            <w:pPr>
              <w:pStyle w:val="Compact"/>
              <w:keepNext/>
              <w:keepLines/>
              <w:spacing w:after="40" w:before="40" w:line="252" w:lineRule="auto"/>
              <w:jc w:val="left"/>
            </w:pPr>
            <w:r>
              <w:rPr>
                <w:b w:val="0"/>
                <w:sz w:val="21"/>
              </w:rPr>
              <w:t xml:space="preserve">Extended 121</w:t>
            </w:r>
          </w:p>
        </w:tc>
        <w:tc>
          <w:tcPr>
            <w:tcW w:type="dxa" w:w="1915"/>
            <w:vAlign w:val="center"/>
          </w:tcPr>
          <w:p>
            <w:pPr>
              <w:pStyle w:val="Compact"/>
              <w:keepNext/>
              <w:keepLines/>
              <w:spacing w:after="40" w:before="40" w:line="252" w:lineRule="auto"/>
              <w:jc w:val="right"/>
            </w:pPr>
            <w:r>
              <w:rPr>
                <w:b w:val="0"/>
                <w:sz w:val="21"/>
              </w:rPr>
              <w:t xml:space="preserve">-0.0413 (0.0011)</w:t>
            </w:r>
          </w:p>
        </w:tc>
        <w:tc>
          <w:tcPr>
            <w:tcW w:type="dxa" w:w="1724"/>
            <w:vAlign w:val="center"/>
          </w:tcPr>
          <w:p>
            <w:pPr>
              <w:pStyle w:val="Compact"/>
              <w:keepNext/>
              <w:keepLines/>
              <w:spacing w:after="40" w:before="40" w:line="252" w:lineRule="auto"/>
              <w:jc w:val="right"/>
            </w:pPr>
            <w:r>
              <w:rPr>
                <w:b w:val="0"/>
                <w:sz w:val="21"/>
              </w:rPr>
              <w:t xml:space="preserve">+0.0107 (0.0004)</w:t>
            </w:r>
          </w:p>
        </w:tc>
        <w:tc>
          <w:tcPr>
            <w:tcW w:type="dxa" w:w="1724"/>
            <w:vAlign w:val="center"/>
          </w:tcPr>
          <w:p>
            <w:pPr>
              <w:pStyle w:val="Compact"/>
              <w:keepNext/>
              <w:keepLines/>
              <w:spacing w:after="40" w:before="40" w:line="252" w:lineRule="auto"/>
              <w:jc w:val="right"/>
            </w:pPr>
            <w:r>
              <w:rPr>
                <w:b w:val="0"/>
                <w:sz w:val="21"/>
              </w:rPr>
              <w:t xml:space="preserve">+0.0073 (0.0048)</w:t>
            </w:r>
          </w:p>
        </w:tc>
      </w:tr>
    </w:tbl>
    <w:p>
      <w:bookmarkStart w:id="606" w:name="table20"/>
      <w:pPr>
        <w:pStyle w:val="TableCaption"/>
      </w:pPr>
      <w:r>
        <w:t xml:space="preserve">Table 20. Paired selected-minus-fixed differences, reported as mean (MCSE). Negative values indicate lower error under the selection rule. The last column compares absolute errors for the fixed 365-day upper-tail event; it is not a difference between signed biases.</w:t>
      </w:r>
      <w:bookmarkEnd w:id="606"/>
    </w:p>
    <w:p>
      <w:pPr>
        <w:pStyle w:val="BodyText"/>
      </w:pPr>
      <w:r>
        <w:t xml:space="preserve">For the mixture under Original 81, selection changes mean common-grid clean-price RMSE from 0.8887 to 1.0928 points and density error from 0.0574 to 0.0704. Under Extended 121, price RMSE improves from 0.1587 to 0.1174 points while density error worsens from 0.0524 to 0.0630. The latter paired density increase is 0.0107, with MCSE 0.0004. These findings concern the specified selector and benchmarks; they do not establish that cross-validation is generally ineffective.</w:t>
      </w:r>
    </w:p>
    <w:p>
      <w:pPr>
        <w:pStyle w:val="BodyText"/>
      </w:pPr>
      <w:r>
        <w:t xml:space="preserve">A post-hoc range diagnostic explains the Original 81 discrepancy without changing the selector. At the 640 evaluation strikes inside the quoted span, price RMSE improves from 0.1571 to 0.1235 points; at the 320 outside it, RMSE worsens from 1.5224 to 1.8847. Better interior interpolation accompanies worse extrapolation. The diagnostic is labelled as subsequent analysis, rather than presented as a predeclared performance result.</w:t>
      </w:r>
    </w:p>
    <w:bookmarkEnd w:id="118"/>
    <w:bookmarkStart w:id="122" w:name="X283cc967d62cca16b337b899e3ae0dda451ddf0"/>
    <w:p>
      <w:bookmarkStart w:id="607" w:name="h28"/>
      <w:pPr>
        <w:pStyle w:val="Heading2"/>
        <w:numPr>
          <w:ilvl w:val="1"/>
          <w:numId w:val="70"/>
        </w:numPr>
      </w:pPr>
      <w:bookmarkEnd w:id="607"/>
      <w:r>
        <w:t>Perturbing the input without moving the risk event</w:t>
      </w:r>
    </w:p>
    <w:p>
      <w:pPr>
        <w:pStyle w:val="FirstParagraph"/>
      </w:pPr>
      <w:r>
        <w:t xml:space="preserve">As Bahra explains [1], the terminal mean is linked to the forward under the valuation assumptions. Enforcing that mean cannot prove that an externally supplied forward is correct. The Extended 121 experiment therefore perturbs the supplied forward as in Equation (31), retaining strikes, prices, discounts and the coefficient selected at the correct forward.</w:t>
      </w:r>
    </w:p>
    <w:p>
      <w:pPr>
        <w:pStyle w:val="BodyText"/>
        <w:keepNext/>
        <w:spacing w:before="120" w:after="40"/>
        <w:jc w:val="center"/>
      </w:pPr>
      <m:oMathPara>
        <m:oMathParaPr>
          <m:jc m:val="center"/>
        </m:oMathParaPr>
        <m:oMath>
          <m:sSubSup>
            <m:e>
              <m:acc>
                <m:accPr>
                  <m:chr m:val="̃"/>
                </m:accPr>
                <m:e>
                  <m:r>
                    <m:t>F</m:t>
                  </m:r>
                </m:e>
              </m:acc>
            </m:e>
            <m:sub>
              <m:r>
                <m:t>m</m:t>
              </m:r>
            </m:sub>
            <m:sup>
              <m:d>
                <m:dPr>
                  <m:begChr m:val="("/>
                  <m:endChr m:val=")"/>
                  <m:sepChr m:val=""/>
                  <m:grow/>
                </m:dPr>
                <m:e>
                  <m:r>
                    <m:t>ε</m:t>
                  </m:r>
                </m:e>
              </m:d>
            </m:sup>
          </m:sSubSup>
          <m:r>
            <m:rPr>
              <m:sty m:val="p"/>
            </m:rPr>
            <m:t>=</m:t>
          </m:r>
          <m:d>
            <m:dPr>
              <m:begChr m:val="("/>
              <m:endChr m:val=")"/>
              <m:sepChr m:val=""/>
              <m:grow/>
            </m:dPr>
            <m:e>
              <m:r>
                <m:t>1</m:t>
              </m:r>
              <m:r>
                <m:rPr>
                  <m:sty m:val="p"/>
                </m:rPr>
                <m:t>+</m:t>
              </m:r>
              <m:r>
                <m:t>ε</m:t>
              </m:r>
            </m:e>
          </m:d>
          <m:sSub>
            <m:e>
              <m:r>
                <m:t>F</m:t>
              </m:r>
            </m:e>
            <m:sub>
              <m:r>
                <m:t>m</m:t>
              </m:r>
            </m:sub>
          </m:sSub>
          <m:r>
            <m:rPr>
              <m:sty m:val="p"/>
            </m:rPr>
            <m:t>,</m:t>
          </m:r>
          <m:r>
            <m:t>  </m:t>
          </m:r>
          <m:r>
            <m:t>ε</m:t>
          </m:r>
          <m:r>
            <m:rPr>
              <m:sty m:val="p"/>
            </m:rPr>
            <m:t>∈</m:t>
          </m:r>
          <m:r>
            <m:rPr>
              <m:sty m:val="p"/>
            </m:rPr>
            <m:t>{</m:t>
          </m:r>
          <m:r>
            <m:rPr>
              <m:sty m:val="p"/>
            </m:rPr>
            <m:t>−</m:t>
          </m:r>
          <m:r>
            <m:t>0.005</m:t>
          </m:r>
          <m:r>
            <m:rPr>
              <m:sty m:val="p"/>
            </m:rPr>
            <m:t>,</m:t>
          </m:r>
          <m:r>
            <m:rPr>
              <m:sty m:val="p"/>
            </m:rPr>
            <m:t>−</m:t>
          </m:r>
          <m:r>
            <m:t>0.001</m:t>
          </m:r>
          <m:r>
            <m:rPr>
              <m:sty m:val="p"/>
            </m:rPr>
            <m:t>,</m:t>
          </m:r>
          <m:r>
            <m:t>0</m:t>
          </m:r>
          <m:r>
            <m:rPr>
              <m:sty m:val="p"/>
            </m:rPr>
            <m:t>,</m:t>
          </m:r>
          <m:r>
            <m:t>0.001</m:t>
          </m:r>
          <m:r>
            <m:rPr>
              <m:sty m:val="p"/>
            </m:rPr>
            <m:t>,</m:t>
          </m:r>
          <m:r>
            <m:t>0.005</m:t>
          </m:r>
          <m:r>
            <m:rPr>
              <m:sty m:val="p"/>
            </m:rPr>
            <m:t>}</m:t>
          </m:r>
          <m:r>
            <m:rPr>
              <m:sty m:val="p"/>
            </m:rPr>
            <m:t>.</m:t>
          </m:r>
        </m:oMath>
      </m:oMathPara>
    </w:p>
    <w:p>
      <w:bookmarkStart w:id="608" w:name="equation31"/>
      <w:pPr>
        <w:pStyle w:val="EquationCaption"/>
      </w:pPr>
      <w:r>
        <w:t xml:space="preserve">Equation 31. Relative perturbation of the supplied forward curve.</w:t>
      </w:r>
      <w:bookmarkEnd w:id="608"/>
    </w:p>
    <w:p>
      <w:pPr>
        <w:pStyle w:val="BodyText"/>
      </w:pPr>
      <w:r>
        <w:t xml:space="preserve">The support remains</w:t>
      </w:r>
      <w:r>
        <w:t xml:space="preserve"> </w:t>
      </w:r>
      <m:oMath>
        <m:d>
          <m:dPr>
            <m:begChr m:val="["/>
            <m:endChr m:val="]"/>
            <m:sepChr m:val=""/>
            <m:grow/>
          </m:dPr>
          <m:e>
            <m:r>
              <m:t>0.3</m:t>
            </m:r>
            <m:r>
              <m:rPr>
                <m:sty m:val="p"/>
              </m:rPr>
              <m:t>,</m:t>
            </m:r>
            <m:r>
              <m:t>2.2</m:t>
            </m:r>
          </m:e>
        </m:d>
      </m:oMath>
      <w:r>
        <w:t xml:space="preserve"> </w:t>
      </w:r>
      <w:r>
        <w:t xml:space="preserve">relative to the supplied forward, so its physical endpoints move. Mean restrictions, residual scaling, smoothing and calendar normalisation also depend on the supplied input. The exercise measures their combined conditional response, not separately identified causal effects.</w:t>
      </w:r>
    </w:p>
    <w:p>
      <w:pPr>
        <w:pStyle w:val="BodyText"/>
      </w:pPr>
      <w:r>
        <w:t xml:space="preserve">Equation (32) evaluates every fitted distribution against the same known reference forward. In particular, the event remains</w:t>
      </w:r>
      <w:r>
        <w:t xml:space="preserve"> </w:t>
      </w:r>
      <m:oMath>
        <m:sSub>
          <m:e>
            <m:r>
              <m:t>S</m:t>
            </m:r>
          </m:e>
          <m:sub>
            <m:r>
              <m:t>T</m:t>
            </m:r>
          </m:sub>
        </m:sSub>
        <m:r>
          <m:rPr>
            <m:sty m:val="p"/>
          </m:rPr>
          <m:t>&gt;</m:t>
        </m:r>
        <m:r>
          <m:t>1.8</m:t>
        </m:r>
        <m:sSub>
          <m:e>
            <m:r>
              <m:t>F</m:t>
            </m:r>
          </m:e>
          <m:sub>
            <m:r>
              <m:t>m</m:t>
            </m:r>
          </m:sub>
        </m:sSub>
      </m:oMath>
      <w:r>
        <w:t xml:space="preserve"> </w:t>
      </w:r>
      <w:r>
        <w:t xml:space="preserve">even when the fitting input changes. The conversion changes the interpretation coordinate of a saved fit; it does not move or refit its physical probabilities.</w:t>
      </w:r>
    </w:p>
    <w:p>
      <w:pPr>
        <w:pStyle w:val="BodyText"/>
        <w:keepNext/>
        <w:spacing w:before="120" w:after="40"/>
        <w:jc w:val="center"/>
      </w:pPr>
      <m:oMathPara>
        <m:oMathParaPr>
          <m:jc m:val="center"/>
        </m:oMathParaPr>
        <m:oMath>
          <m:m>
            <m:mPr>
              <m:baseJc m:val="center"/>
              <m:plcHide m:val="on"/>
              <m:mcs>
                <m:mc>
                  <m:mcPr>
                    <m:mcJc m:val="center"/>
                    <m:count m:val="1"/>
                  </m:mcPr>
                </m:mc>
              </m:mcs>
            </m:mPr>
            <m:mr>
              <m:e>
                <m:sSubSup>
                  <m:e>
                    <m:acc>
                      <m:accPr>
                        <m:chr m:val="̂"/>
                      </m:accPr>
                      <m:e>
                        <m:r>
                          <m:t>g</m:t>
                        </m:r>
                      </m:e>
                    </m:acc>
                  </m:e>
                  <m:sub>
                    <m:r>
                      <m:t>m</m:t>
                    </m:r>
                  </m:sub>
                  <m:sup>
                    <m:d>
                      <m:dPr>
                        <m:begChr m:val="("/>
                        <m:endChr m:val=")"/>
                        <m:sepChr m:val=""/>
                        <m:grow/>
                      </m:dPr>
                      <m:e>
                        <m:r>
                          <m:t>ε</m:t>
                        </m:r>
                      </m:e>
                    </m:d>
                    <m:r>
                      <m:rPr>
                        <m:sty m:val="p"/>
                      </m:rPr>
                      <m:t>,</m:t>
                    </m:r>
                    <m:r>
                      <m:rPr>
                        <m:sty m:val="p"/>
                      </m:rPr>
                      <m:t>r</m:t>
                    </m:r>
                    <m:r>
                      <m:rPr>
                        <m:sty m:val="p"/>
                      </m:rPr>
                      <m:t>e</m:t>
                    </m:r>
                    <m:r>
                      <m:rPr>
                        <m:sty m:val="p"/>
                      </m:rPr>
                      <m:t>f</m:t>
                    </m:r>
                  </m:sup>
                </m:sSubSup>
                <m:d>
                  <m:dPr>
                    <m:begChr m:val="("/>
                    <m:endChr m:val=")"/>
                    <m:sepChr m:val=""/>
                    <m:grow/>
                  </m:dPr>
                  <m:e>
                    <m:r>
                      <m:t>x</m:t>
                    </m:r>
                  </m:e>
                </m:d>
                <m:r>
                  <m:rPr>
                    <m:sty m:val="p"/>
                  </m:rPr>
                  <m:t>=</m:t>
                </m:r>
                <m:sSub>
                  <m:e>
                    <m:r>
                      <m:t>F</m:t>
                    </m:r>
                  </m:e>
                  <m:sub>
                    <m:r>
                      <m:t>m</m:t>
                    </m:r>
                  </m:sub>
                </m:sSub>
                <m:sSubSup>
                  <m:e>
                    <m:acc>
                      <m:accPr>
                        <m:chr m:val="̂"/>
                      </m:accPr>
                      <m:e>
                        <m:r>
                          <m:t>f</m:t>
                        </m:r>
                      </m:e>
                    </m:acc>
                  </m:e>
                  <m:sub>
                    <m:r>
                      <m:t>m</m:t>
                    </m:r>
                  </m:sub>
                  <m:sup>
                    <m:d>
                      <m:dPr>
                        <m:begChr m:val="("/>
                        <m:endChr m:val=")"/>
                        <m:sepChr m:val=""/>
                        <m:grow/>
                      </m:dPr>
                      <m:e>
                        <m:r>
                          <m:t>ε</m:t>
                        </m:r>
                      </m:e>
                    </m:d>
                  </m:sup>
                </m:sSubSup>
                <m:d>
                  <m:dPr>
                    <m:begChr m:val="("/>
                    <m:endChr m:val=")"/>
                    <m:sepChr m:val=""/>
                    <m:grow/>
                  </m:dPr>
                  <m:e>
                    <m:sSub>
                      <m:e>
                        <m:r>
                          <m:t>F</m:t>
                        </m:r>
                      </m:e>
                      <m:sub>
                        <m:r>
                          <m:t>m</m:t>
                        </m:r>
                      </m:sub>
                    </m:sSub>
                    <m:r>
                      <m:t>x</m:t>
                    </m:r>
                  </m:e>
                </m:d>
                <m:r>
                  <m:rPr>
                    <m:sty m:val="p"/>
                  </m:rPr>
                  <m:t>,</m:t>
                </m:r>
              </m:e>
            </m:mr>
            <m:mr>
              <m:e>
                <m:sSubSup>
                  <m:e>
                    <m:acc>
                      <m:accPr>
                        <m:chr m:val="̂"/>
                      </m:accPr>
                      <m:e>
                        <m:r>
                          <m:t>p</m:t>
                        </m:r>
                      </m:e>
                    </m:acc>
                  </m:e>
                  <m:sub>
                    <m:r>
                      <m:t>1.8</m:t>
                    </m:r>
                    <m:r>
                      <m:rPr>
                        <m:sty m:val="p"/>
                      </m:rPr>
                      <m:t>,</m:t>
                    </m:r>
                    <m:r>
                      <m:t>m</m:t>
                    </m:r>
                  </m:sub>
                  <m:sup>
                    <m:d>
                      <m:dPr>
                        <m:begChr m:val="("/>
                        <m:endChr m:val=")"/>
                        <m:sepChr m:val=""/>
                        <m:grow/>
                      </m:dPr>
                      <m:e>
                        <m:r>
                          <m:t>ε</m:t>
                        </m:r>
                      </m:e>
                    </m:d>
                  </m:sup>
                </m:sSubSup>
                <m:r>
                  <m:rPr>
                    <m:sty m:val="p"/>
                  </m:rPr>
                  <m:t>=</m:t>
                </m:r>
                <m:nary>
                  <m:naryPr>
                    <m:chr m:val="∫"/>
                    <m:limLoc m:val="subSup"/>
                    <m:subHide m:val="off"/>
                    <m:supHide m:val="off"/>
                  </m:naryPr>
                  <m:sub>
                    <m:r>
                      <m:t>1.8</m:t>
                    </m:r>
                  </m:sub>
                  <m:sup>
                    <m:r>
                      <m:rPr>
                        <m:sty m:val="p"/>
                      </m:rPr>
                      <m:t>∞</m:t>
                    </m:r>
                  </m:sup>
                  <m:e>
                    <m:sSubSup>
                      <m:e>
                        <m:acc>
                          <m:accPr>
                            <m:chr m:val="̂"/>
                          </m:accPr>
                          <m:e>
                            <m:r>
                              <m:t>g</m:t>
                            </m:r>
                          </m:e>
                        </m:acc>
                      </m:e>
                      <m:sub>
                        <m:r>
                          <m:t>m</m:t>
                        </m:r>
                      </m:sub>
                      <m:sup>
                        <m:d>
                          <m:dPr>
                            <m:begChr m:val="("/>
                            <m:endChr m:val=")"/>
                            <m:sepChr m:val=""/>
                            <m:grow/>
                          </m:dPr>
                          <m:e>
                            <m:r>
                              <m:t>ε</m:t>
                            </m:r>
                          </m:e>
                        </m:d>
                        <m:r>
                          <m:rPr>
                            <m:sty m:val="p"/>
                          </m:rPr>
                          <m:t>,</m:t>
                        </m:r>
                        <m:r>
                          <m:rPr>
                            <m:sty m:val="p"/>
                          </m:rPr>
                          <m:t>r</m:t>
                        </m:r>
                        <m:r>
                          <m:rPr>
                            <m:sty m:val="p"/>
                          </m:rPr>
                          <m:t>e</m:t>
                        </m:r>
                        <m:r>
                          <m:rPr>
                            <m:sty m:val="p"/>
                          </m:rPr>
                          <m:t>f</m:t>
                        </m:r>
                      </m:sup>
                    </m:sSubSup>
                  </m:e>
                </m:nary>
                <m:d>
                  <m:dPr>
                    <m:begChr m:val="("/>
                    <m:endChr m:val=")"/>
                    <m:sepChr m:val=""/>
                    <m:grow/>
                  </m:dPr>
                  <m:e>
                    <m:r>
                      <m:t>x</m:t>
                    </m:r>
                  </m:e>
                </m:d>
                <m:r>
                  <m:t> </m:t>
                </m:r>
                <m:r>
                  <m:rPr>
                    <m:sty m:val="p"/>
                  </m:rPr>
                  <m:t>d</m:t>
                </m:r>
                <m:r>
                  <m:t>x</m:t>
                </m:r>
                <m:r>
                  <m:rPr>
                    <m:sty m:val="p"/>
                  </m:rPr>
                  <m:t>.</m:t>
                </m:r>
              </m:e>
            </m:mr>
          </m:m>
        </m:oMath>
      </m:oMathPara>
    </w:p>
    <w:p>
      <w:bookmarkStart w:id="609" w:name="equation32"/>
      <w:pPr>
        <w:pStyle w:val="EquationCaption"/>
      </w:pPr>
      <w:r>
        <w:t xml:space="preserve">Equation 32. Density evaluation and fixed risk event in reference coordinates.</w:t>
      </w:r>
      <w:bookmarkEnd w:id="609"/>
    </w:p>
    <w:p>
      <w:pPr>
        <w:pStyle w:val="BodyText"/>
      </w:pPr>
      <w:r>
        <w:t xml:space="preserve">Applying convexity of the positive-part payoff to Equation (1) gives the call lower bound and quote-shortfall diagnostic in Equation (33). This is a direct project derivation from the valuation relationship described by Bahra [1].</w:t>
      </w:r>
    </w:p>
    <w:p>
      <w:pPr>
        <w:pStyle w:val="BodyText"/>
        <w:keepNext/>
        <w:spacing w:before="120" w:after="40"/>
        <w:jc w:val="center"/>
      </w:pPr>
      <m:oMathPara>
        <m:oMathParaPr>
          <m:jc m:val="center"/>
        </m:oMathParaPr>
        <m:oMath>
          <m:m>
            <m:mPr>
              <m:baseJc m:val="center"/>
              <m:plcHide m:val="on"/>
              <m:mcs>
                <m:mc>
                  <m:mcPr>
                    <m:mcJc m:val="center"/>
                    <m:count m:val="1"/>
                  </m:mcPr>
                </m:mc>
              </m:mcs>
            </m:mPr>
            <m:mr>
              <m:e>
                <m:sSub>
                  <m:e>
                    <m:r>
                      <m:t>C</m:t>
                    </m:r>
                  </m:e>
                  <m:sub>
                    <m:r>
                      <m:t>m</m:t>
                    </m:r>
                  </m:sub>
                </m:sSub>
                <m:d>
                  <m:dPr>
                    <m:begChr m:val="("/>
                    <m:endChr m:val=")"/>
                    <m:sepChr m:val=""/>
                    <m:grow/>
                  </m:dPr>
                  <m:e>
                    <m:sSub>
                      <m:e>
                        <m:r>
                          <m:t>K</m:t>
                        </m:r>
                      </m:e>
                      <m:sub>
                        <m:r>
                          <m:t>m</m:t>
                        </m:r>
                        <m:r>
                          <m:t>i</m:t>
                        </m:r>
                      </m:sub>
                    </m:sSub>
                  </m:e>
                </m:d>
                <m:r>
                  <m:rPr>
                    <m:sty m:val="p"/>
                  </m:rPr>
                  <m:t>≥</m:t>
                </m:r>
                <m:sSubSup>
                  <m:e>
                    <m:r>
                      <m:t>L</m:t>
                    </m:r>
                  </m:e>
                  <m:sub>
                    <m:r>
                      <m:t>m</m:t>
                    </m:r>
                    <m:r>
                      <m:t>i</m:t>
                    </m:r>
                  </m:sub>
                  <m:sup>
                    <m:d>
                      <m:dPr>
                        <m:begChr m:val="("/>
                        <m:endChr m:val=")"/>
                        <m:sepChr m:val=""/>
                        <m:grow/>
                      </m:dPr>
                      <m:e>
                        <m:r>
                          <m:t>ε</m:t>
                        </m:r>
                      </m:e>
                    </m:d>
                  </m:sup>
                </m:sSubSup>
                <m:r>
                  <m:rPr>
                    <m:sty m:val="p"/>
                  </m:rPr>
                  <m:t>=</m:t>
                </m:r>
                <m:sSub>
                  <m:e>
                    <m:r>
                      <m:t>D</m:t>
                    </m:r>
                  </m:e>
                  <m:sub>
                    <m:r>
                      <m:t>m</m:t>
                    </m:r>
                  </m:sub>
                </m:sSub>
                <m:sSub>
                  <m:e>
                    <m:d>
                      <m:dPr>
                        <m:begChr m:val="("/>
                        <m:endChr m:val=")"/>
                        <m:sepChr m:val=""/>
                        <m:grow/>
                      </m:dPr>
                      <m:e>
                        <m:sSubSup>
                          <m:e>
                            <m:acc>
                              <m:accPr>
                                <m:chr m:val="̃"/>
                              </m:accPr>
                              <m:e>
                                <m:r>
                                  <m:t>F</m:t>
                                </m:r>
                              </m:e>
                            </m:acc>
                          </m:e>
                          <m:sub>
                            <m:r>
                              <m:t>m</m:t>
                            </m:r>
                          </m:sub>
                          <m:sup>
                            <m:d>
                              <m:dPr>
                                <m:begChr m:val="("/>
                                <m:endChr m:val=")"/>
                                <m:sepChr m:val=""/>
                                <m:grow/>
                              </m:dPr>
                              <m:e>
                                <m:r>
                                  <m:t>ε</m:t>
                                </m:r>
                              </m:e>
                            </m:d>
                          </m:sup>
                        </m:sSubSup>
                        <m:r>
                          <m:rPr>
                            <m:sty m:val="p"/>
                          </m:rPr>
                          <m:t>−</m:t>
                        </m:r>
                        <m:sSub>
                          <m:e>
                            <m:r>
                              <m:t>K</m:t>
                            </m:r>
                          </m:e>
                          <m:sub>
                            <m:r>
                              <m:t>m</m:t>
                            </m:r>
                            <m:r>
                              <m:t>i</m:t>
                            </m:r>
                          </m:sub>
                        </m:sSub>
                      </m:e>
                    </m:d>
                  </m:e>
                  <m:sub>
                    <m:r>
                      <m:rPr>
                        <m:sty m:val="p"/>
                      </m:rPr>
                      <m:t>+</m:t>
                    </m:r>
                  </m:sub>
                </m:sSub>
                <m:r>
                  <m:rPr>
                    <m:sty m:val="p"/>
                  </m:rPr>
                  <m:t>,</m:t>
                </m:r>
              </m:e>
            </m:mr>
            <m:mr>
              <m:e>
                <m:sSubSup>
                  <m:e>
                    <m:r>
                      <m:t>v</m:t>
                    </m:r>
                  </m:e>
                  <m:sub>
                    <m:r>
                      <m:t>m</m:t>
                    </m:r>
                    <m:r>
                      <m:t>i</m:t>
                    </m:r>
                  </m:sub>
                  <m:sup>
                    <m:d>
                      <m:dPr>
                        <m:begChr m:val="("/>
                        <m:endChr m:val=")"/>
                        <m:sepChr m:val=""/>
                        <m:grow/>
                      </m:dPr>
                      <m:e>
                        <m:r>
                          <m:t>ε</m:t>
                        </m:r>
                      </m:e>
                    </m:d>
                  </m:sup>
                </m:sSubSup>
                <m:r>
                  <m:rPr>
                    <m:sty m:val="p"/>
                  </m:rPr>
                  <m:t>=</m:t>
                </m:r>
                <m:sSub>
                  <m:e>
                    <m:d>
                      <m:dPr>
                        <m:begChr m:val="("/>
                        <m:endChr m:val=")"/>
                        <m:sepChr m:val=""/>
                        <m:grow/>
                      </m:dPr>
                      <m:e>
                        <m:sSubSup>
                          <m:e>
                            <m:r>
                              <m:t>L</m:t>
                            </m:r>
                          </m:e>
                          <m:sub>
                            <m:r>
                              <m:t>m</m:t>
                            </m:r>
                            <m:r>
                              <m:t>i</m:t>
                            </m:r>
                          </m:sub>
                          <m:sup>
                            <m:d>
                              <m:dPr>
                                <m:begChr m:val="("/>
                                <m:endChr m:val=")"/>
                                <m:sepChr m:val=""/>
                                <m:grow/>
                              </m:dPr>
                              <m:e>
                                <m:r>
                                  <m:t>ε</m:t>
                                </m:r>
                              </m:e>
                            </m:d>
                          </m:sup>
                        </m:sSubSup>
                        <m:r>
                          <m:rPr>
                            <m:sty m:val="p"/>
                          </m:rPr>
                          <m:t>−</m:t>
                        </m:r>
                        <m:sSub>
                          <m:e>
                            <m:r>
                              <m:t>y</m:t>
                            </m:r>
                          </m:e>
                          <m:sub>
                            <m:r>
                              <m:t>m</m:t>
                            </m:r>
                            <m:r>
                              <m:t>i</m:t>
                            </m:r>
                          </m:sub>
                        </m:sSub>
                      </m:e>
                    </m:d>
                  </m:e>
                  <m:sub>
                    <m:r>
                      <m:rPr>
                        <m:sty m:val="p"/>
                      </m:rPr>
                      <m:t>+</m:t>
                    </m:r>
                  </m:sub>
                </m:sSub>
                <m:r>
                  <m:rPr>
                    <m:sty m:val="p"/>
                  </m:rPr>
                  <m:t>.</m:t>
                </m:r>
              </m:e>
            </m:mr>
          </m:m>
        </m:oMath>
      </m:oMathPara>
    </w:p>
    <w:p>
      <w:bookmarkStart w:id="610" w:name="equation33"/>
      <w:pPr>
        <w:pStyle w:val="EquationCaption"/>
      </w:pPr>
      <w:r>
        <w:t xml:space="preserve">Equation 33. Supplied-forward call lower bound and quote shortfall.</w:t>
      </w:r>
      <w:bookmarkEnd w:id="610"/>
    </w:p>
    <w:p>
      <w:pPr>
        <w:pStyle w:val="BodyText"/>
      </w:pPr>
      <w:r>
        <w:t xml:space="preserve">The RMS shortfall is a lower bound on training-price RMSE under exact probability restrictions, not on the separate clean-price evaluation error. No supplied observations are clipped to satisfy it.</w:t>
      </w:r>
    </w:p>
    <w:p>
      <w:pPr>
        <w:sectPr>
          <w:type w:val="nextPage"/>
          <w:pgSz w:w="11906" w:h="16838" w:orient="portrait"/>
          <w:pgMar w:top="1008" w:bottom="1008" w:left="1152" w:right="1152" w:header="432" w:footer="432" w:gutter="0"/>
          <w:pgNumType w:fmt="decimal"/>
        </w:sectPr>
        <w:spacing w:before="0" w:after="0" w:line="1" w:lineRule="exact"/>
      </w:pPr>
      <w:r>
        <w:rPr>
          <w:sz w:val="2"/>
        </w:rPr>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009"/>
        <w:gridCol w:w="2292"/>
        <w:gridCol w:w="2292"/>
        <w:gridCol w:w="2292"/>
        <w:gridCol w:w="2292"/>
        <w:gridCol w:w="2149"/>
      </w:tblGrid>
      <w:tr>
        <w:trPr>
          <w:tblHeader w:val="true"/>
          <w:cantSplit/>
          <w:tblHeader/>
        </w:trPr>
        <w:tc>
          <w:tcPr>
            <w:tcW w:type="dxa" w:w="3009"/>
            <w:vAlign w:val="center"/>
            <w:shd w:fill="E9EEF3"/>
          </w:tcPr>
          <w:p>
            <w:pPr>
              <w:pStyle w:val="Compact"/>
              <w:keepNext/>
              <w:keepLines/>
              <w:spacing w:after="40" w:before="40" w:line="252" w:lineRule="auto"/>
              <w:jc w:val="left"/>
            </w:pPr>
            <w:r>
              <w:rPr>
                <w:b/>
                <w:sz w:val="20"/>
              </w:rPr>
              <w:t xml:space="preserve">Benchmark</w:t>
            </w:r>
          </w:p>
        </w:tc>
        <w:tc>
          <w:tcPr>
            <w:tcW w:type="dxa" w:w="2292"/>
            <w:vAlign w:val="center"/>
            <w:shd w:fill="E9EEF3"/>
          </w:tcPr>
          <w:p>
            <w:pPr>
              <w:pStyle w:val="Compact"/>
              <w:keepNext/>
              <w:keepLines/>
              <w:spacing w:after="40" w:before="40" w:line="252" w:lineRule="auto"/>
              <w:jc w:val="right"/>
            </w:pPr>
            <w:r>
              <w:rPr>
                <w:b/>
                <w:sz w:val="20"/>
              </w:rPr>
              <w:t xml:space="preserve">Forward error (%)</w:t>
            </w:r>
          </w:p>
        </w:tc>
        <w:tc>
          <w:tcPr>
            <w:tcW w:type="dxa" w:w="2292"/>
            <w:vAlign w:val="center"/>
            <w:shd w:fill="E9EEF3"/>
          </w:tcPr>
          <w:p>
            <w:pPr>
              <w:pStyle w:val="Compact"/>
              <w:keepNext/>
              <w:keepLines/>
              <w:spacing w:after="40" w:before="40" w:line="252" w:lineRule="auto"/>
              <w:jc w:val="right"/>
            </w:pPr>
            <w:r>
              <w:rPr>
                <w:b/>
                <w:sz w:val="20"/>
              </w:rPr>
              <w:t xml:space="preserve">Clean-price RMSE (points)</w:t>
            </w:r>
          </w:p>
        </w:tc>
        <w:tc>
          <w:tcPr>
            <w:tcW w:type="dxa" w:w="2292"/>
            <w:vAlign w:val="center"/>
            <w:shd w:fill="E9EEF3"/>
          </w:tcPr>
          <w:p>
            <w:pPr>
              <w:pStyle w:val="Compact"/>
              <w:keepNext/>
              <w:keepLines/>
              <w:spacing w:after="40" w:before="40" w:line="252" w:lineRule="auto"/>
              <w:jc w:val="right"/>
            </w:pPr>
            <w:r>
              <w:rPr>
                <w:b/>
                <w:sz w:val="20"/>
              </w:rPr>
              <w:t xml:space="preserve">Full-density L1</w:t>
            </w:r>
          </w:p>
        </w:tc>
        <w:tc>
          <w:tcPr>
            <w:tcW w:type="dxa" w:w="2292"/>
            <w:vAlign w:val="center"/>
            <w:shd w:fill="E9EEF3"/>
          </w:tcPr>
          <w:p>
            <w:pPr>
              <w:pStyle w:val="Compact"/>
              <w:keepNext/>
              <w:keepLines/>
              <w:spacing w:after="40" w:before="40" w:line="252" w:lineRule="auto"/>
              <w:jc w:val="right"/>
            </w:pPr>
            <w:r>
              <w:rPr>
                <w:b/>
                <w:sz w:val="20"/>
              </w:rPr>
              <w:t xml:space="preserve">Upper-tail bias (pp)</w:t>
            </w:r>
          </w:p>
        </w:tc>
        <w:tc>
          <w:tcPr>
            <w:tcW w:type="dxa" w:w="2149"/>
            <w:vAlign w:val="center"/>
            <w:shd w:fill="E9EEF3"/>
          </w:tcPr>
          <w:p>
            <w:pPr>
              <w:pStyle w:val="Compact"/>
              <w:keepNext/>
              <w:keepLines/>
              <w:spacing w:after="40" w:before="40" w:line="252" w:lineRule="auto"/>
              <w:jc w:val="right"/>
            </w:pPr>
            <w:r>
              <w:rPr>
                <w:b/>
                <w:sz w:val="20"/>
              </w:rPr>
              <w:t xml:space="preserve">Quotes below lower bound / 968</w:t>
            </w:r>
          </w:p>
        </w:tc>
      </w:tr>
      <w:tr>
        <w:trPr>
          <w:cantSplit/>
        </w:trPr>
        <w:tc>
          <w:tcPr>
            <w:tcW w:type="dxa" w:w="3009"/>
            <w:vAlign w:val="center"/>
          </w:tcPr>
          <w:p>
            <w:pPr>
              <w:pStyle w:val="Compact"/>
              <w:keepNext/>
              <w:keepLines/>
              <w:spacing w:after="40" w:before="40" w:line="252" w:lineRule="auto"/>
              <w:jc w:val="left"/>
            </w:pPr>
            <w:r>
              <w:rPr>
                <w:b w:val="0"/>
                <w:sz w:val="20"/>
              </w:rPr>
              <w:t xml:space="preserve">Single lognormal</w:t>
            </w:r>
          </w:p>
        </w:tc>
        <w:tc>
          <w:tcPr>
            <w:tcW w:type="dxa" w:w="2292"/>
            <w:vAlign w:val="center"/>
          </w:tcPr>
          <w:p>
            <w:pPr>
              <w:pStyle w:val="Compact"/>
              <w:keepNext/>
              <w:keepLines/>
              <w:spacing w:after="40" w:before="40" w:line="252" w:lineRule="auto"/>
              <w:jc w:val="right"/>
            </w:pPr>
            <w:r>
              <w:rPr>
                <w:b w:val="0"/>
                <w:sz w:val="20"/>
              </w:rPr>
              <w:t xml:space="preserve">-0.5</w:t>
            </w:r>
          </w:p>
        </w:tc>
        <w:tc>
          <w:tcPr>
            <w:tcW w:type="dxa" w:w="2292"/>
            <w:vAlign w:val="center"/>
          </w:tcPr>
          <w:p>
            <w:pPr>
              <w:pStyle w:val="Compact"/>
              <w:keepNext/>
              <w:keepLines/>
              <w:spacing w:after="40" w:before="40" w:line="252" w:lineRule="auto"/>
              <w:jc w:val="right"/>
            </w:pPr>
            <w:r>
              <w:rPr>
                <w:b w:val="0"/>
                <w:sz w:val="20"/>
              </w:rPr>
              <w:t xml:space="preserve">2.9202 (0.0001)</w:t>
            </w:r>
          </w:p>
        </w:tc>
        <w:tc>
          <w:tcPr>
            <w:tcW w:type="dxa" w:w="2292"/>
            <w:vAlign w:val="center"/>
          </w:tcPr>
          <w:p>
            <w:pPr>
              <w:pStyle w:val="Compact"/>
              <w:keepNext/>
              <w:keepLines/>
              <w:spacing w:after="40" w:before="40" w:line="252" w:lineRule="auto"/>
              <w:jc w:val="right"/>
            </w:pPr>
            <w:r>
              <w:rPr>
                <w:b w:val="0"/>
                <w:sz w:val="20"/>
              </w:rPr>
              <w:t xml:space="preserve">0.0829 (0.0001)</w:t>
            </w:r>
          </w:p>
        </w:tc>
        <w:tc>
          <w:tcPr>
            <w:tcW w:type="dxa" w:w="2292"/>
            <w:vAlign w:val="center"/>
          </w:tcPr>
          <w:p>
            <w:pPr>
              <w:pStyle w:val="Compact"/>
              <w:keepNext/>
              <w:keepLines/>
              <w:spacing w:after="40" w:before="40" w:line="252" w:lineRule="auto"/>
              <w:jc w:val="right"/>
            </w:pPr>
            <w:r>
              <w:rPr>
                <w:b w:val="0"/>
                <w:sz w:val="20"/>
              </w:rPr>
              <w:t xml:space="preserve">+0.0082 (0.0066)</w:t>
            </w:r>
          </w:p>
        </w:tc>
        <w:tc>
          <w:tcPr>
            <w:tcW w:type="dxa" w:w="2149"/>
            <w:vAlign w:val="center"/>
          </w:tcPr>
          <w:p>
            <w:pPr>
              <w:pStyle w:val="Compact"/>
              <w:keepNext/>
              <w:keepLines/>
              <w:spacing w:after="40" w:before="40" w:line="252" w:lineRule="auto"/>
              <w:jc w:val="right"/>
            </w:pPr>
            <w:r>
              <w:rPr>
                <w:b w:val="0"/>
                <w:sz w:val="20"/>
              </w:rPr>
              <w:t xml:space="preserve">0.00 (0.00)</w:t>
            </w:r>
          </w:p>
        </w:tc>
      </w:tr>
      <w:tr>
        <w:trPr>
          <w:cantSplit/>
        </w:trPr>
        <w:tc>
          <w:tcPr>
            <w:tcW w:type="dxa" w:w="3009"/>
            <w:vAlign w:val="center"/>
          </w:tcPr>
          <w:p>
            <w:pPr>
              <w:pStyle w:val="Compact"/>
              <w:keepNext/>
              <w:keepLines/>
              <w:spacing w:after="40" w:before="40" w:line="252" w:lineRule="auto"/>
              <w:jc w:val="left"/>
            </w:pPr>
            <w:r>
              <w:rPr>
                <w:b w:val="0"/>
                <w:sz w:val="20"/>
              </w:rPr>
              <w:t xml:space="preserve">Single lognormal</w:t>
            </w:r>
          </w:p>
        </w:tc>
        <w:tc>
          <w:tcPr>
            <w:tcW w:type="dxa" w:w="2292"/>
            <w:vAlign w:val="center"/>
          </w:tcPr>
          <w:p>
            <w:pPr>
              <w:pStyle w:val="Compact"/>
              <w:keepNext/>
              <w:keepLines/>
              <w:spacing w:after="40" w:before="40" w:line="252" w:lineRule="auto"/>
              <w:jc w:val="right"/>
            </w:pPr>
            <w:r>
              <w:rPr>
                <w:b w:val="0"/>
                <w:sz w:val="20"/>
              </w:rPr>
              <w:t xml:space="preserve">-0.1</w:t>
            </w:r>
          </w:p>
        </w:tc>
        <w:tc>
          <w:tcPr>
            <w:tcW w:type="dxa" w:w="2292"/>
            <w:vAlign w:val="center"/>
          </w:tcPr>
          <w:p>
            <w:pPr>
              <w:pStyle w:val="Compact"/>
              <w:keepNext/>
              <w:keepLines/>
              <w:spacing w:after="40" w:before="40" w:line="252" w:lineRule="auto"/>
              <w:jc w:val="right"/>
            </w:pPr>
            <w:r>
              <w:rPr>
                <w:b w:val="0"/>
                <w:sz w:val="20"/>
              </w:rPr>
              <w:t xml:space="preserve">0.4770 (0.0002)</w:t>
            </w:r>
          </w:p>
        </w:tc>
        <w:tc>
          <w:tcPr>
            <w:tcW w:type="dxa" w:w="2292"/>
            <w:vAlign w:val="center"/>
          </w:tcPr>
          <w:p>
            <w:pPr>
              <w:pStyle w:val="Compact"/>
              <w:keepNext/>
              <w:keepLines/>
              <w:spacing w:after="40" w:before="40" w:line="252" w:lineRule="auto"/>
              <w:jc w:val="right"/>
            </w:pPr>
            <w:r>
              <w:rPr>
                <w:b w:val="0"/>
                <w:sz w:val="20"/>
              </w:rPr>
              <w:t xml:space="preserve">0.0421 (0.0001)</w:t>
            </w:r>
          </w:p>
        </w:tc>
        <w:tc>
          <w:tcPr>
            <w:tcW w:type="dxa" w:w="2292"/>
            <w:vAlign w:val="center"/>
          </w:tcPr>
          <w:p>
            <w:pPr>
              <w:pStyle w:val="Compact"/>
              <w:keepNext/>
              <w:keepLines/>
              <w:spacing w:after="40" w:before="40" w:line="252" w:lineRule="auto"/>
              <w:jc w:val="right"/>
            </w:pPr>
            <w:r>
              <w:rPr>
                <w:b w:val="0"/>
                <w:sz w:val="20"/>
              </w:rPr>
              <w:t xml:space="preserve">+0.0080 (0.0067)</w:t>
            </w:r>
          </w:p>
        </w:tc>
        <w:tc>
          <w:tcPr>
            <w:tcW w:type="dxa" w:w="2149"/>
            <w:vAlign w:val="center"/>
          </w:tcPr>
          <w:p>
            <w:pPr>
              <w:pStyle w:val="Compact"/>
              <w:keepNext/>
              <w:keepLines/>
              <w:spacing w:after="40" w:before="40" w:line="252" w:lineRule="auto"/>
              <w:jc w:val="right"/>
            </w:pPr>
            <w:r>
              <w:rPr>
                <w:b w:val="0"/>
                <w:sz w:val="20"/>
              </w:rPr>
              <w:t xml:space="preserve">0.00 (0.00)</w:t>
            </w:r>
          </w:p>
        </w:tc>
      </w:tr>
      <w:tr>
        <w:trPr>
          <w:cantSplit/>
        </w:trPr>
        <w:tc>
          <w:tcPr>
            <w:tcW w:type="dxa" w:w="3009"/>
            <w:vAlign w:val="center"/>
          </w:tcPr>
          <w:p>
            <w:pPr>
              <w:pStyle w:val="Compact"/>
              <w:keepNext/>
              <w:keepLines/>
              <w:spacing w:after="40" w:before="40" w:line="252" w:lineRule="auto"/>
              <w:jc w:val="left"/>
            </w:pPr>
            <w:r>
              <w:rPr>
                <w:b w:val="0"/>
                <w:sz w:val="20"/>
              </w:rPr>
              <w:t xml:space="preserve">Single lognormal</w:t>
            </w:r>
          </w:p>
        </w:tc>
        <w:tc>
          <w:tcPr>
            <w:tcW w:type="dxa" w:w="2292"/>
            <w:vAlign w:val="center"/>
          </w:tcPr>
          <w:p>
            <w:pPr>
              <w:pStyle w:val="Compact"/>
              <w:keepNext/>
              <w:keepLines/>
              <w:spacing w:after="40" w:before="40" w:line="252" w:lineRule="auto"/>
              <w:jc w:val="right"/>
            </w:pPr>
            <w:r>
              <w:rPr>
                <w:b w:val="0"/>
                <w:sz w:val="20"/>
              </w:rPr>
              <w:t xml:space="preserve">+0.0</w:t>
            </w:r>
          </w:p>
        </w:tc>
        <w:tc>
          <w:tcPr>
            <w:tcW w:type="dxa" w:w="2292"/>
            <w:vAlign w:val="center"/>
          </w:tcPr>
          <w:p>
            <w:pPr>
              <w:pStyle w:val="Compact"/>
              <w:keepNext/>
              <w:keepLines/>
              <w:spacing w:after="40" w:before="40" w:line="252" w:lineRule="auto"/>
              <w:jc w:val="right"/>
            </w:pPr>
            <w:r>
              <w:rPr>
                <w:b w:val="0"/>
                <w:sz w:val="20"/>
              </w:rPr>
              <w:t xml:space="preserve">0.0948 (0.0012)</w:t>
            </w:r>
          </w:p>
        </w:tc>
        <w:tc>
          <w:tcPr>
            <w:tcW w:type="dxa" w:w="2292"/>
            <w:vAlign w:val="center"/>
          </w:tcPr>
          <w:p>
            <w:pPr>
              <w:pStyle w:val="Compact"/>
              <w:keepNext/>
              <w:keepLines/>
              <w:spacing w:after="40" w:before="40" w:line="252" w:lineRule="auto"/>
              <w:jc w:val="right"/>
            </w:pPr>
            <w:r>
              <w:rPr>
                <w:b w:val="0"/>
                <w:sz w:val="20"/>
              </w:rPr>
              <w:t xml:space="preserve">0.0336 (0.0001)</w:t>
            </w:r>
          </w:p>
        </w:tc>
        <w:tc>
          <w:tcPr>
            <w:tcW w:type="dxa" w:w="2292"/>
            <w:vAlign w:val="center"/>
          </w:tcPr>
          <w:p>
            <w:pPr>
              <w:pStyle w:val="Compact"/>
              <w:keepNext/>
              <w:keepLines/>
              <w:spacing w:after="40" w:before="40" w:line="252" w:lineRule="auto"/>
              <w:jc w:val="right"/>
            </w:pPr>
            <w:r>
              <w:rPr>
                <w:b w:val="0"/>
                <w:sz w:val="20"/>
              </w:rPr>
              <w:t xml:space="preserve">+0.0080 (0.0066)</w:t>
            </w:r>
          </w:p>
        </w:tc>
        <w:tc>
          <w:tcPr>
            <w:tcW w:type="dxa" w:w="2149"/>
            <w:vAlign w:val="center"/>
          </w:tcPr>
          <w:p>
            <w:pPr>
              <w:pStyle w:val="Compact"/>
              <w:keepNext/>
              <w:keepLines/>
              <w:spacing w:after="40" w:before="40" w:line="252" w:lineRule="auto"/>
              <w:jc w:val="right"/>
            </w:pPr>
            <w:r>
              <w:rPr>
                <w:b w:val="0"/>
                <w:sz w:val="20"/>
              </w:rPr>
              <w:t xml:space="preserve">56.90 (1.05)</w:t>
            </w:r>
          </w:p>
        </w:tc>
      </w:tr>
      <w:tr>
        <w:trPr>
          <w:cantSplit/>
        </w:trPr>
        <w:tc>
          <w:tcPr>
            <w:tcW w:type="dxa" w:w="3009"/>
            <w:vAlign w:val="center"/>
          </w:tcPr>
          <w:p>
            <w:pPr>
              <w:pStyle w:val="Compact"/>
              <w:keepNext/>
              <w:keepLines/>
              <w:spacing w:after="40" w:before="40" w:line="252" w:lineRule="auto"/>
              <w:jc w:val="left"/>
            </w:pPr>
            <w:r>
              <w:rPr>
                <w:b w:val="0"/>
                <w:sz w:val="20"/>
              </w:rPr>
              <w:t xml:space="preserve">Single lognormal</w:t>
            </w:r>
          </w:p>
        </w:tc>
        <w:tc>
          <w:tcPr>
            <w:tcW w:type="dxa" w:w="2292"/>
            <w:vAlign w:val="center"/>
          </w:tcPr>
          <w:p>
            <w:pPr>
              <w:pStyle w:val="Compact"/>
              <w:keepNext/>
              <w:keepLines/>
              <w:spacing w:after="40" w:before="40" w:line="252" w:lineRule="auto"/>
              <w:jc w:val="right"/>
            </w:pPr>
            <w:r>
              <w:rPr>
                <w:b w:val="0"/>
                <w:sz w:val="20"/>
              </w:rPr>
              <w:t xml:space="preserve">+0.1</w:t>
            </w:r>
          </w:p>
        </w:tc>
        <w:tc>
          <w:tcPr>
            <w:tcW w:type="dxa" w:w="2292"/>
            <w:vAlign w:val="center"/>
          </w:tcPr>
          <w:p>
            <w:pPr>
              <w:pStyle w:val="Compact"/>
              <w:keepNext/>
              <w:keepLines/>
              <w:spacing w:after="40" w:before="40" w:line="252" w:lineRule="auto"/>
              <w:jc w:val="right"/>
            </w:pPr>
            <w:r>
              <w:rPr>
                <w:b w:val="0"/>
                <w:sz w:val="20"/>
              </w:rPr>
              <w:t xml:space="preserve">2.4965 (0.0001)</w:t>
            </w:r>
          </w:p>
        </w:tc>
        <w:tc>
          <w:tcPr>
            <w:tcW w:type="dxa" w:w="2292"/>
            <w:vAlign w:val="center"/>
          </w:tcPr>
          <w:p>
            <w:pPr>
              <w:pStyle w:val="Compact"/>
              <w:keepNext/>
              <w:keepLines/>
              <w:spacing w:after="40" w:before="40" w:line="252" w:lineRule="auto"/>
              <w:jc w:val="right"/>
            </w:pPr>
            <w:r>
              <w:rPr>
                <w:b w:val="0"/>
                <w:sz w:val="20"/>
              </w:rPr>
              <w:t xml:space="preserve">0.0559 (0.0001)</w:t>
            </w:r>
          </w:p>
        </w:tc>
        <w:tc>
          <w:tcPr>
            <w:tcW w:type="dxa" w:w="2292"/>
            <w:vAlign w:val="center"/>
          </w:tcPr>
          <w:p>
            <w:pPr>
              <w:pStyle w:val="Compact"/>
              <w:keepNext/>
              <w:keepLines/>
              <w:spacing w:after="40" w:before="40" w:line="252" w:lineRule="auto"/>
              <w:jc w:val="right"/>
            </w:pPr>
            <w:r>
              <w:rPr>
                <w:b w:val="0"/>
                <w:sz w:val="20"/>
              </w:rPr>
              <w:t xml:space="preserve">+0.0080 (0.0066)</w:t>
            </w:r>
          </w:p>
        </w:tc>
        <w:tc>
          <w:tcPr>
            <w:tcW w:type="dxa" w:w="2149"/>
            <w:vAlign w:val="center"/>
          </w:tcPr>
          <w:p>
            <w:pPr>
              <w:pStyle w:val="Compact"/>
              <w:keepNext/>
              <w:keepLines/>
              <w:spacing w:after="40" w:before="40" w:line="252" w:lineRule="auto"/>
              <w:jc w:val="right"/>
            </w:pPr>
            <w:r>
              <w:rPr>
                <w:b w:val="0"/>
                <w:sz w:val="20"/>
              </w:rPr>
              <w:t xml:space="preserve">216.90 (0.26)</w:t>
            </w:r>
          </w:p>
        </w:tc>
      </w:tr>
      <w:tr>
        <w:trPr>
          <w:cantSplit/>
        </w:trPr>
        <w:tc>
          <w:tcPr>
            <w:tcW w:type="dxa" w:w="3009"/>
            <w:vAlign w:val="center"/>
          </w:tcPr>
          <w:p>
            <w:pPr>
              <w:pStyle w:val="Compact"/>
              <w:keepNext/>
              <w:keepLines/>
              <w:spacing w:after="40" w:before="40" w:line="252" w:lineRule="auto"/>
              <w:jc w:val="left"/>
            </w:pPr>
            <w:r>
              <w:rPr>
                <w:b w:val="0"/>
                <w:sz w:val="20"/>
              </w:rPr>
              <w:t xml:space="preserve">Single lognormal</w:t>
            </w:r>
          </w:p>
        </w:tc>
        <w:tc>
          <w:tcPr>
            <w:tcW w:type="dxa" w:w="2292"/>
            <w:vAlign w:val="center"/>
          </w:tcPr>
          <w:p>
            <w:pPr>
              <w:pStyle w:val="Compact"/>
              <w:keepNext/>
              <w:keepLines/>
              <w:spacing w:after="40" w:before="40" w:line="252" w:lineRule="auto"/>
              <w:jc w:val="right"/>
            </w:pPr>
            <w:r>
              <w:rPr>
                <w:b w:val="0"/>
                <w:sz w:val="20"/>
              </w:rPr>
              <w:t xml:space="preserve">+0.5</w:t>
            </w:r>
          </w:p>
        </w:tc>
        <w:tc>
          <w:tcPr>
            <w:tcW w:type="dxa" w:w="2292"/>
            <w:vAlign w:val="center"/>
          </w:tcPr>
          <w:p>
            <w:pPr>
              <w:pStyle w:val="Compact"/>
              <w:keepNext/>
              <w:keepLines/>
              <w:spacing w:after="40" w:before="40" w:line="252" w:lineRule="auto"/>
              <w:jc w:val="right"/>
            </w:pPr>
            <w:r>
              <w:rPr>
                <w:b w:val="0"/>
                <w:sz w:val="20"/>
              </w:rPr>
              <w:t xml:space="preserve">14.3147 (4e-05)</w:t>
            </w:r>
          </w:p>
        </w:tc>
        <w:tc>
          <w:tcPr>
            <w:tcW w:type="dxa" w:w="2292"/>
            <w:vAlign w:val="center"/>
          </w:tcPr>
          <w:p>
            <w:pPr>
              <w:pStyle w:val="Compact"/>
              <w:keepNext/>
              <w:keepLines/>
              <w:spacing w:after="40" w:before="40" w:line="252" w:lineRule="auto"/>
              <w:jc w:val="right"/>
            </w:pPr>
            <w:r>
              <w:rPr>
                <w:b w:val="0"/>
                <w:sz w:val="20"/>
              </w:rPr>
              <w:t xml:space="preserve">0.1637 (0.0002)</w:t>
            </w:r>
          </w:p>
        </w:tc>
        <w:tc>
          <w:tcPr>
            <w:tcW w:type="dxa" w:w="2292"/>
            <w:vAlign w:val="center"/>
          </w:tcPr>
          <w:p>
            <w:pPr>
              <w:pStyle w:val="Compact"/>
              <w:keepNext/>
              <w:keepLines/>
              <w:spacing w:after="40" w:before="40" w:line="252" w:lineRule="auto"/>
              <w:jc w:val="right"/>
            </w:pPr>
            <w:r>
              <w:rPr>
                <w:b w:val="0"/>
                <w:sz w:val="20"/>
              </w:rPr>
              <w:t xml:space="preserve">+0.0081 (0.0066)</w:t>
            </w:r>
          </w:p>
        </w:tc>
        <w:tc>
          <w:tcPr>
            <w:tcW w:type="dxa" w:w="2149"/>
            <w:vAlign w:val="center"/>
          </w:tcPr>
          <w:p>
            <w:pPr>
              <w:pStyle w:val="Compact"/>
              <w:keepNext/>
              <w:keepLines/>
              <w:spacing w:after="40" w:before="40" w:line="252" w:lineRule="auto"/>
              <w:jc w:val="right"/>
            </w:pPr>
            <w:r>
              <w:rPr>
                <w:b w:val="0"/>
                <w:sz w:val="20"/>
              </w:rPr>
              <w:t xml:space="preserve">285.00 (0.00)</w:t>
            </w:r>
          </w:p>
        </w:tc>
      </w:tr>
      <w:tr>
        <w:trPr>
          <w:cantSplit/>
        </w:trPr>
        <w:tc>
          <w:tcPr>
            <w:tcW w:type="dxa" w:w="3009"/>
            <w:vAlign w:val="center"/>
          </w:tcPr>
          <w:p>
            <w:pPr>
              <w:pStyle w:val="Compact"/>
              <w:keepNext/>
              <w:keepLines/>
              <w:spacing w:after="40" w:before="40" w:line="252" w:lineRule="auto"/>
              <w:jc w:val="left"/>
            </w:pPr>
            <w:r>
              <w:rPr>
                <w:b w:val="0"/>
                <w:sz w:val="20"/>
              </w:rPr>
              <w:t xml:space="preserve">Two-lognormal mixture</w:t>
            </w:r>
          </w:p>
        </w:tc>
        <w:tc>
          <w:tcPr>
            <w:tcW w:type="dxa" w:w="2292"/>
            <w:vAlign w:val="center"/>
          </w:tcPr>
          <w:p>
            <w:pPr>
              <w:pStyle w:val="Compact"/>
              <w:keepNext/>
              <w:keepLines/>
              <w:spacing w:after="40" w:before="40" w:line="252" w:lineRule="auto"/>
              <w:jc w:val="right"/>
            </w:pPr>
            <w:r>
              <w:rPr>
                <w:b w:val="0"/>
                <w:sz w:val="20"/>
              </w:rPr>
              <w:t xml:space="preserve">-0.5</w:t>
            </w:r>
          </w:p>
        </w:tc>
        <w:tc>
          <w:tcPr>
            <w:tcW w:type="dxa" w:w="2292"/>
            <w:vAlign w:val="center"/>
          </w:tcPr>
          <w:p>
            <w:pPr>
              <w:pStyle w:val="Compact"/>
              <w:keepNext/>
              <w:keepLines/>
              <w:spacing w:after="40" w:before="40" w:line="252" w:lineRule="auto"/>
              <w:jc w:val="right"/>
            </w:pPr>
            <w:r>
              <w:rPr>
                <w:b w:val="0"/>
                <w:sz w:val="20"/>
              </w:rPr>
              <w:t xml:space="preserve">1.7653 (0.0001)</w:t>
            </w:r>
          </w:p>
        </w:tc>
        <w:tc>
          <w:tcPr>
            <w:tcW w:type="dxa" w:w="2292"/>
            <w:vAlign w:val="center"/>
          </w:tcPr>
          <w:p>
            <w:pPr>
              <w:pStyle w:val="Compact"/>
              <w:keepNext/>
              <w:keepLines/>
              <w:spacing w:after="40" w:before="40" w:line="252" w:lineRule="auto"/>
              <w:jc w:val="right"/>
            </w:pPr>
            <w:r>
              <w:rPr>
                <w:b w:val="0"/>
                <w:sz w:val="20"/>
              </w:rPr>
              <w:t xml:space="preserve">0.1079 (0.0003)</w:t>
            </w:r>
          </w:p>
        </w:tc>
        <w:tc>
          <w:tcPr>
            <w:tcW w:type="dxa" w:w="2292"/>
            <w:vAlign w:val="center"/>
          </w:tcPr>
          <w:p>
            <w:pPr>
              <w:pStyle w:val="Compact"/>
              <w:keepNext/>
              <w:keepLines/>
              <w:spacing w:after="40" w:before="40" w:line="252" w:lineRule="auto"/>
              <w:jc w:val="right"/>
            </w:pPr>
            <w:r>
              <w:rPr>
                <w:b w:val="0"/>
                <w:sz w:val="20"/>
              </w:rPr>
              <w:t xml:space="preserve">-0.0413 (0.0085)</w:t>
            </w:r>
          </w:p>
        </w:tc>
        <w:tc>
          <w:tcPr>
            <w:tcW w:type="dxa" w:w="2149"/>
            <w:vAlign w:val="center"/>
          </w:tcPr>
          <w:p>
            <w:pPr>
              <w:pStyle w:val="Compact"/>
              <w:keepNext/>
              <w:keepLines/>
              <w:spacing w:after="40" w:before="40" w:line="252" w:lineRule="auto"/>
              <w:jc w:val="right"/>
            </w:pPr>
            <w:r>
              <w:rPr>
                <w:b w:val="0"/>
                <w:sz w:val="20"/>
              </w:rPr>
              <w:t xml:space="preserve">0.00 (0.00)</w:t>
            </w:r>
          </w:p>
        </w:tc>
      </w:tr>
      <w:tr>
        <w:trPr>
          <w:cantSplit/>
        </w:trPr>
        <w:tc>
          <w:tcPr>
            <w:tcW w:type="dxa" w:w="3009"/>
            <w:vAlign w:val="center"/>
          </w:tcPr>
          <w:p>
            <w:pPr>
              <w:pStyle w:val="Compact"/>
              <w:keepNext/>
              <w:keepLines/>
              <w:spacing w:after="40" w:before="40" w:line="252" w:lineRule="auto"/>
              <w:jc w:val="left"/>
            </w:pPr>
            <w:r>
              <w:rPr>
                <w:b w:val="0"/>
                <w:sz w:val="20"/>
              </w:rPr>
              <w:t xml:space="preserve">Two-lognormal mixture</w:t>
            </w:r>
          </w:p>
        </w:tc>
        <w:tc>
          <w:tcPr>
            <w:tcW w:type="dxa" w:w="2292"/>
            <w:vAlign w:val="center"/>
          </w:tcPr>
          <w:p>
            <w:pPr>
              <w:pStyle w:val="Compact"/>
              <w:keepNext/>
              <w:keepLines/>
              <w:spacing w:after="40" w:before="40" w:line="252" w:lineRule="auto"/>
              <w:jc w:val="right"/>
            </w:pPr>
            <w:r>
              <w:rPr>
                <w:b w:val="0"/>
                <w:sz w:val="20"/>
              </w:rPr>
              <w:t xml:space="preserve">-0.1</w:t>
            </w:r>
          </w:p>
        </w:tc>
        <w:tc>
          <w:tcPr>
            <w:tcW w:type="dxa" w:w="2292"/>
            <w:vAlign w:val="center"/>
          </w:tcPr>
          <w:p>
            <w:pPr>
              <w:pStyle w:val="Compact"/>
              <w:keepNext/>
              <w:keepLines/>
              <w:spacing w:after="40" w:before="40" w:line="252" w:lineRule="auto"/>
              <w:jc w:val="right"/>
            </w:pPr>
            <w:r>
              <w:rPr>
                <w:b w:val="0"/>
                <w:sz w:val="20"/>
              </w:rPr>
              <w:t xml:space="preserve">0.2109 (0.0006)</w:t>
            </w:r>
          </w:p>
        </w:tc>
        <w:tc>
          <w:tcPr>
            <w:tcW w:type="dxa" w:w="2292"/>
            <w:vAlign w:val="center"/>
          </w:tcPr>
          <w:p>
            <w:pPr>
              <w:pStyle w:val="Compact"/>
              <w:keepNext/>
              <w:keepLines/>
              <w:spacing w:after="40" w:before="40" w:line="252" w:lineRule="auto"/>
              <w:jc w:val="right"/>
            </w:pPr>
            <w:r>
              <w:rPr>
                <w:b w:val="0"/>
                <w:sz w:val="20"/>
              </w:rPr>
              <w:t xml:space="preserve">0.0726 (0.0003)</w:t>
            </w:r>
          </w:p>
        </w:tc>
        <w:tc>
          <w:tcPr>
            <w:tcW w:type="dxa" w:w="2292"/>
            <w:vAlign w:val="center"/>
          </w:tcPr>
          <w:p>
            <w:pPr>
              <w:pStyle w:val="Compact"/>
              <w:keepNext/>
              <w:keepLines/>
              <w:spacing w:after="40" w:before="40" w:line="252" w:lineRule="auto"/>
              <w:jc w:val="right"/>
            </w:pPr>
            <w:r>
              <w:rPr>
                <w:b w:val="0"/>
                <w:sz w:val="20"/>
              </w:rPr>
              <w:t xml:space="preserve">-0.0393 (0.0108)</w:t>
            </w:r>
          </w:p>
        </w:tc>
        <w:tc>
          <w:tcPr>
            <w:tcW w:type="dxa" w:w="2149"/>
            <w:vAlign w:val="center"/>
          </w:tcPr>
          <w:p>
            <w:pPr>
              <w:pStyle w:val="Compact"/>
              <w:keepNext/>
              <w:keepLines/>
              <w:spacing w:after="40" w:before="40" w:line="252" w:lineRule="auto"/>
              <w:jc w:val="right"/>
            </w:pPr>
            <w:r>
              <w:rPr>
                <w:b w:val="0"/>
                <w:sz w:val="20"/>
              </w:rPr>
              <w:t xml:space="preserve">0.00 (0.00)</w:t>
            </w:r>
          </w:p>
        </w:tc>
      </w:tr>
      <w:tr>
        <w:trPr>
          <w:cantSplit/>
        </w:trPr>
        <w:tc>
          <w:tcPr>
            <w:tcW w:type="dxa" w:w="3009"/>
            <w:vAlign w:val="center"/>
          </w:tcPr>
          <w:p>
            <w:pPr>
              <w:pStyle w:val="Compact"/>
              <w:keepNext/>
              <w:keepLines/>
              <w:spacing w:after="40" w:before="40" w:line="252" w:lineRule="auto"/>
              <w:jc w:val="left"/>
            </w:pPr>
            <w:r>
              <w:rPr>
                <w:b w:val="0"/>
                <w:sz w:val="20"/>
              </w:rPr>
              <w:t xml:space="preserve">Two-lognormal mixture</w:t>
            </w:r>
          </w:p>
        </w:tc>
        <w:tc>
          <w:tcPr>
            <w:tcW w:type="dxa" w:w="2292"/>
            <w:vAlign w:val="center"/>
          </w:tcPr>
          <w:p>
            <w:pPr>
              <w:pStyle w:val="Compact"/>
              <w:keepNext/>
              <w:keepLines/>
              <w:spacing w:after="40" w:before="40" w:line="252" w:lineRule="auto"/>
              <w:jc w:val="right"/>
            </w:pPr>
            <w:r>
              <w:rPr>
                <w:b w:val="0"/>
                <w:sz w:val="20"/>
              </w:rPr>
              <w:t xml:space="preserve">+0.0</w:t>
            </w:r>
          </w:p>
        </w:tc>
        <w:tc>
          <w:tcPr>
            <w:tcW w:type="dxa" w:w="2292"/>
            <w:vAlign w:val="center"/>
          </w:tcPr>
          <w:p>
            <w:pPr>
              <w:pStyle w:val="Compact"/>
              <w:keepNext/>
              <w:keepLines/>
              <w:spacing w:after="40" w:before="40" w:line="252" w:lineRule="auto"/>
              <w:jc w:val="right"/>
            </w:pPr>
            <w:r>
              <w:rPr>
                <w:b w:val="0"/>
                <w:sz w:val="20"/>
              </w:rPr>
              <w:t xml:space="preserve">0.1174 (0.0011)</w:t>
            </w:r>
          </w:p>
        </w:tc>
        <w:tc>
          <w:tcPr>
            <w:tcW w:type="dxa" w:w="2292"/>
            <w:vAlign w:val="center"/>
          </w:tcPr>
          <w:p>
            <w:pPr>
              <w:pStyle w:val="Compact"/>
              <w:keepNext/>
              <w:keepLines/>
              <w:spacing w:after="40" w:before="40" w:line="252" w:lineRule="auto"/>
              <w:jc w:val="right"/>
            </w:pPr>
            <w:r>
              <w:rPr>
                <w:b w:val="0"/>
                <w:sz w:val="20"/>
              </w:rPr>
              <w:t xml:space="preserve">0.0630 (0.0003)</w:t>
            </w:r>
          </w:p>
        </w:tc>
        <w:tc>
          <w:tcPr>
            <w:tcW w:type="dxa" w:w="2292"/>
            <w:vAlign w:val="center"/>
          </w:tcPr>
          <w:p>
            <w:pPr>
              <w:pStyle w:val="Compact"/>
              <w:keepNext/>
              <w:keepLines/>
              <w:spacing w:after="40" w:before="40" w:line="252" w:lineRule="auto"/>
              <w:jc w:val="right"/>
            </w:pPr>
            <w:r>
              <w:rPr>
                <w:b w:val="0"/>
                <w:sz w:val="20"/>
              </w:rPr>
              <w:t xml:space="preserve">-0.0366 (0.0110)</w:t>
            </w:r>
          </w:p>
        </w:tc>
        <w:tc>
          <w:tcPr>
            <w:tcW w:type="dxa" w:w="2149"/>
            <w:vAlign w:val="center"/>
          </w:tcPr>
          <w:p>
            <w:pPr>
              <w:pStyle w:val="Compact"/>
              <w:keepNext/>
              <w:keepLines/>
              <w:spacing w:after="40" w:before="40" w:line="252" w:lineRule="auto"/>
              <w:jc w:val="right"/>
            </w:pPr>
            <w:r>
              <w:rPr>
                <w:b w:val="0"/>
                <w:sz w:val="20"/>
              </w:rPr>
              <w:t xml:space="preserve">0.05 (0.05)</w:t>
            </w:r>
          </w:p>
        </w:tc>
      </w:tr>
      <w:tr>
        <w:trPr>
          <w:cantSplit/>
        </w:trPr>
        <w:tc>
          <w:tcPr>
            <w:tcW w:type="dxa" w:w="3009"/>
            <w:vAlign w:val="center"/>
          </w:tcPr>
          <w:p>
            <w:pPr>
              <w:pStyle w:val="Compact"/>
              <w:keepNext/>
              <w:keepLines/>
              <w:spacing w:after="40" w:before="40" w:line="252" w:lineRule="auto"/>
              <w:jc w:val="left"/>
            </w:pPr>
            <w:r>
              <w:rPr>
                <w:b w:val="0"/>
                <w:sz w:val="20"/>
              </w:rPr>
              <w:t xml:space="preserve">Two-lognormal mixture</w:t>
            </w:r>
          </w:p>
        </w:tc>
        <w:tc>
          <w:tcPr>
            <w:tcW w:type="dxa" w:w="2292"/>
            <w:vAlign w:val="center"/>
          </w:tcPr>
          <w:p>
            <w:pPr>
              <w:pStyle w:val="Compact"/>
              <w:keepNext/>
              <w:keepLines/>
              <w:spacing w:after="40" w:before="40" w:line="252" w:lineRule="auto"/>
              <w:jc w:val="right"/>
            </w:pPr>
            <w:r>
              <w:rPr>
                <w:b w:val="0"/>
                <w:sz w:val="20"/>
              </w:rPr>
              <w:t xml:space="preserve">+0.1</w:t>
            </w:r>
          </w:p>
        </w:tc>
        <w:tc>
          <w:tcPr>
            <w:tcW w:type="dxa" w:w="2292"/>
            <w:vAlign w:val="center"/>
          </w:tcPr>
          <w:p>
            <w:pPr>
              <w:pStyle w:val="Compact"/>
              <w:keepNext/>
              <w:keepLines/>
              <w:spacing w:after="40" w:before="40" w:line="252" w:lineRule="auto"/>
              <w:jc w:val="right"/>
            </w:pPr>
            <w:r>
              <w:rPr>
                <w:b w:val="0"/>
                <w:sz w:val="20"/>
              </w:rPr>
              <w:t xml:space="preserve">1.0523 (0.0001)</w:t>
            </w:r>
          </w:p>
        </w:tc>
        <w:tc>
          <w:tcPr>
            <w:tcW w:type="dxa" w:w="2292"/>
            <w:vAlign w:val="center"/>
          </w:tcPr>
          <w:p>
            <w:pPr>
              <w:pStyle w:val="Compact"/>
              <w:keepNext/>
              <w:keepLines/>
              <w:spacing w:after="40" w:before="40" w:line="252" w:lineRule="auto"/>
              <w:jc w:val="right"/>
            </w:pPr>
            <w:r>
              <w:rPr>
                <w:b w:val="0"/>
                <w:sz w:val="20"/>
              </w:rPr>
              <w:t xml:space="preserve">0.0823 (0.0004)</w:t>
            </w:r>
          </w:p>
        </w:tc>
        <w:tc>
          <w:tcPr>
            <w:tcW w:type="dxa" w:w="2292"/>
            <w:vAlign w:val="center"/>
          </w:tcPr>
          <w:p>
            <w:pPr>
              <w:pStyle w:val="Compact"/>
              <w:keepNext/>
              <w:keepLines/>
              <w:spacing w:after="40" w:before="40" w:line="252" w:lineRule="auto"/>
              <w:jc w:val="right"/>
            </w:pPr>
            <w:r>
              <w:rPr>
                <w:b w:val="0"/>
                <w:sz w:val="20"/>
              </w:rPr>
              <w:t xml:space="preserve">-0.0340 (0.0113)</w:t>
            </w:r>
          </w:p>
        </w:tc>
        <w:tc>
          <w:tcPr>
            <w:tcW w:type="dxa" w:w="2149"/>
            <w:vAlign w:val="center"/>
          </w:tcPr>
          <w:p>
            <w:pPr>
              <w:pStyle w:val="Compact"/>
              <w:keepNext/>
              <w:keepLines/>
              <w:spacing w:after="40" w:before="40" w:line="252" w:lineRule="auto"/>
              <w:jc w:val="right"/>
            </w:pPr>
            <w:r>
              <w:rPr>
                <w:b w:val="0"/>
                <w:sz w:val="20"/>
              </w:rPr>
              <w:t xml:space="preserve">99.35 (0.28)</w:t>
            </w:r>
          </w:p>
        </w:tc>
      </w:tr>
      <w:tr>
        <w:trPr>
          <w:cantSplit/>
        </w:trPr>
        <w:tc>
          <w:tcPr>
            <w:tcW w:type="dxa" w:w="3009"/>
            <w:vAlign w:val="center"/>
          </w:tcPr>
          <w:p>
            <w:pPr>
              <w:pStyle w:val="Compact"/>
              <w:keepNext/>
              <w:keepLines/>
              <w:spacing w:after="40" w:before="40" w:line="252" w:lineRule="auto"/>
              <w:jc w:val="left"/>
            </w:pPr>
            <w:r>
              <w:rPr>
                <w:b w:val="0"/>
                <w:sz w:val="20"/>
              </w:rPr>
              <w:t xml:space="preserve">Two-lognormal mixture</w:t>
            </w:r>
          </w:p>
        </w:tc>
        <w:tc>
          <w:tcPr>
            <w:tcW w:type="dxa" w:w="2292"/>
            <w:vAlign w:val="center"/>
          </w:tcPr>
          <w:p>
            <w:pPr>
              <w:pStyle w:val="Compact"/>
              <w:keepNext/>
              <w:keepLines/>
              <w:spacing w:after="40" w:before="40" w:line="252" w:lineRule="auto"/>
              <w:jc w:val="right"/>
            </w:pPr>
            <w:r>
              <w:rPr>
                <w:b w:val="0"/>
                <w:sz w:val="20"/>
              </w:rPr>
              <w:t xml:space="preserve">+0.5</w:t>
            </w:r>
          </w:p>
        </w:tc>
        <w:tc>
          <w:tcPr>
            <w:tcW w:type="dxa" w:w="2292"/>
            <w:vAlign w:val="center"/>
          </w:tcPr>
          <w:p>
            <w:pPr>
              <w:pStyle w:val="Compact"/>
              <w:keepNext/>
              <w:keepLines/>
              <w:spacing w:after="40" w:before="40" w:line="252" w:lineRule="auto"/>
              <w:jc w:val="right"/>
            </w:pPr>
            <w:r>
              <w:rPr>
                <w:b w:val="0"/>
                <w:sz w:val="20"/>
              </w:rPr>
              <w:t xml:space="preserve">10.2713 (1.5e-05)</w:t>
            </w:r>
          </w:p>
        </w:tc>
        <w:tc>
          <w:tcPr>
            <w:tcW w:type="dxa" w:w="2292"/>
            <w:vAlign w:val="center"/>
          </w:tcPr>
          <w:p>
            <w:pPr>
              <w:pStyle w:val="Compact"/>
              <w:keepNext/>
              <w:keepLines/>
              <w:spacing w:after="40" w:before="40" w:line="252" w:lineRule="auto"/>
              <w:jc w:val="right"/>
            </w:pPr>
            <w:r>
              <w:rPr>
                <w:b w:val="0"/>
                <w:sz w:val="20"/>
              </w:rPr>
              <w:t xml:space="preserve">0.1468 (0.0004)</w:t>
            </w:r>
          </w:p>
        </w:tc>
        <w:tc>
          <w:tcPr>
            <w:tcW w:type="dxa" w:w="2292"/>
            <w:vAlign w:val="center"/>
          </w:tcPr>
          <w:p>
            <w:pPr>
              <w:pStyle w:val="Compact"/>
              <w:keepNext/>
              <w:keepLines/>
              <w:spacing w:after="40" w:before="40" w:line="252" w:lineRule="auto"/>
              <w:jc w:val="right"/>
            </w:pPr>
            <w:r>
              <w:rPr>
                <w:b w:val="0"/>
                <w:sz w:val="20"/>
              </w:rPr>
              <w:t xml:space="preserve">-0.0239 (0.0131)</w:t>
            </w:r>
          </w:p>
        </w:tc>
        <w:tc>
          <w:tcPr>
            <w:tcW w:type="dxa" w:w="2149"/>
            <w:vAlign w:val="center"/>
          </w:tcPr>
          <w:p>
            <w:pPr>
              <w:pStyle w:val="Compact"/>
              <w:keepNext/>
              <w:keepLines/>
              <w:spacing w:after="40" w:before="40" w:line="252" w:lineRule="auto"/>
              <w:jc w:val="right"/>
            </w:pPr>
            <w:r>
              <w:rPr>
                <w:b w:val="0"/>
                <w:sz w:val="20"/>
              </w:rPr>
              <w:t xml:space="preserve">227.30 (0.29)</w:t>
            </w:r>
          </w:p>
        </w:tc>
      </w:tr>
    </w:tbl>
    <w:p>
      <w:bookmarkStart w:id="611" w:name="table21"/>
      <w:pPr>
        <w:pStyle w:val="TableCaption"/>
      </w:pPr>
      <w:r>
        <w:t xml:space="preserve">Table 21. Forward stress with the selected zero-shift coefficient held fixed. Entries are mean (MCSE); all errors use the same benchmark and physical risk events. The last column counts supplied-forward lower-bound violations among the 968 observed calls in each repetition. It diagnoses incompatible inputs, rather than failed solver convergence.</w:t>
      </w:r>
      <w:bookmarkEnd w:id="611"/>
    </w:p>
    <w:p>
      <w:pPr>
        <w:sectPr>
          <w:type w:val="nextPage"/>
          <w:pgSz w:w="16838" w:h="11906" w:orient="landscape"/>
          <w:pgMar w:top="1008" w:bottom="1008" w:left="1152" w:right="1152" w:header="432" w:footer="432" w:gutter="0"/>
          <w:pgNumType w:fmt="decimal"/>
        </w:sectPr>
        <w:spacing w:before="0" w:after="0" w:line="1" w:lineRule="exact"/>
      </w:pPr>
      <w:r>
        <w:rPr>
          <w:sz w:val="2"/>
        </w:rPr>
      </w:r>
    </w:p>
    <w:p>
      <w:pPr>
        <w:pStyle w:val="BodyText"/>
        <w:keepNext/>
        <w:spacing w:after="40"/>
        <w:jc w:val="center"/>
      </w:pPr>
      <w:r>
        <w:drawing>
          <wp:inline>
            <wp:extent cx="5334000" cy="3366540"/>
            <wp:effectExtent b="0" l="0" r="0" t="0"/>
            <wp:docPr descr="Density, price and fixed-event tail sensitivity to supplied forwards" title="" id="120" name="Picture"/>
            <a:graphic>
              <a:graphicData uri="http://schemas.openxmlformats.org/drawingml/2006/picture">
                <pic:pic>
                  <pic:nvPicPr>
                    <pic:cNvPr descr="/workspace/scratch/62b9274b9d7e/spx-density-research/figures/figure_23_forward_input_sensitivity.png" id="121" name="Picture"/>
                    <pic:cNvPicPr>
                      <a:picLocks noChangeArrowheads="1" noChangeAspect="1"/>
                    </pic:cNvPicPr>
                  </pic:nvPicPr>
                  <pic:blipFill>
                    <a:blip r:embed="rId119"/>
                    <a:stretch>
                      <a:fillRect/>
                    </a:stretch>
                  </pic:blipFill>
                  <pic:spPr bwMode="auto">
                    <a:xfrm>
                      <a:off x="0" y="0"/>
                      <a:ext cx="5334000" cy="3366540"/>
                    </a:xfrm>
                    <a:prstGeom prst="rect">
                      <a:avLst/>
                    </a:prstGeom>
                    <a:noFill/>
                    <a:ln w="9525">
                      <a:noFill/>
                      <a:headEnd/>
                      <a:tailEnd/>
                    </a:ln>
                  </pic:spPr>
                </pic:pic>
              </a:graphicData>
            </a:graphic>
          </wp:inline>
        </w:drawing>
      </w:r>
    </w:p>
    <w:p>
      <w:bookmarkStart w:id="612" w:name="figure23"/>
      <w:pPr>
        <w:pStyle w:val="FigureCaption"/>
      </w:pPr>
      <w:r>
        <w:t xml:space="preserve">Figure 23. Sensitivity of the selected fit to the supplied forward, under Extended 121 coverage. Points are repetition means with ±2 MCSE; connecting lines are visual guides between the five stated stress levels. The price-error axis is logarithmic. The tail event remains</w:t>
      </w:r>
      <w:r>
        <w:t xml:space="preserve"> </w:t>
      </w:r>
      <m:oMath>
        <m:sSub>
          <m:e>
            <m:r>
              <m:t>S</m:t>
            </m:r>
          </m:e>
          <m:sub>
            <m:r>
              <m:t>T</m:t>
            </m:r>
          </m:sub>
        </m:sSub>
        <m:r>
          <m:rPr>
            <m:sty m:val="p"/>
          </m:rPr>
          <m:t>&gt;</m:t>
        </m:r>
        <m:r>
          <m:t>1.8</m:t>
        </m:r>
        <m:sSub>
          <m:e>
            <m:r>
              <m:t>F</m:t>
            </m:r>
          </m:e>
          <m:sub>
            <m:r>
              <m:rPr>
                <m:sty m:val="p"/>
              </m:rPr>
              <m:t>t</m:t>
            </m:r>
            <m:r>
              <m:rPr>
                <m:sty m:val="p"/>
              </m:rPr>
              <m:t>r</m:t>
            </m:r>
            <m:r>
              <m:rPr>
                <m:sty m:val="p"/>
              </m:rPr>
              <m:t>u</m:t>
            </m:r>
            <m:r>
              <m:rPr>
                <m:sty m:val="p"/>
              </m:rPr>
              <m:t>e</m:t>
            </m:r>
          </m:sub>
        </m:sSub>
      </m:oMath>
      <w:r>
        <w:t xml:space="preserve"> </w:t>
      </w:r>
      <w:r>
        <w:t xml:space="preserve">at 365 days throughout. Calendar feasibility is checked separately in supplied-forward coordinates.</w:t>
      </w:r>
      <w:bookmarkEnd w:id="612"/>
    </w:p>
    <w:p>
      <w:pPr>
        <w:sectPr>
          <w:type w:val="nextPage"/>
          <w:pgSz w:w="16838" w:h="11906" w:orient="landscape"/>
          <w:pgMar w:top="1008" w:bottom="1008" w:left="1152" w:right="1152" w:header="432" w:footer="432" w:gutter="0"/>
          <w:pgNumType w:fmt="decimal"/>
        </w:sectPr>
        <w:spacing w:before="0" w:after="0" w:line="1" w:lineRule="exact"/>
      </w:pPr>
      <w:r>
        <w:rPr>
          <w:sz w:val="2"/>
        </w:rPr>
      </w:r>
    </w:p>
    <w:p>
      <w:pPr>
        <w:pStyle w:val="BodyText"/>
      </w:pPr>
      <w:r>
        <w:t xml:space="preserve">For the mixture, mean clean-price RMSE is 0.1174 points at the correct forward, 1.7653 points at a −0.5% shift and 10.2713 at +0.5%. The positive shift places an average of 227.3 of 968 supplied calls below the implied lower bound. This helps explain the asymmetry without claiming to isolate every consequence of the input change.</w:t>
      </w:r>
    </w:p>
    <w:p>
      <w:pPr>
        <w:pStyle w:val="BodyText"/>
      </w:pPr>
      <w:r>
        <w:t xml:space="preserve">The study contains 1,000 unique accepted joint fits, or 8,000 marginal densities, including training fits. No planned experiment is silently omitted. The worst calendar gap is</w:t>
      </w:r>
      <w:r>
        <w:t xml:space="preserve"> </w:t>
      </w:r>
      <m:oMath>
        <m:r>
          <m:rPr>
            <m:sty m:val="p"/>
          </m:rPr>
          <m:t>−</m:t>
        </m:r>
        <m:r>
          <m:t>9.996</m:t>
        </m:r>
        <m:r>
          <m:rPr>
            <m:sty m:val="p"/>
          </m:rPr>
          <m:t>×</m:t>
        </m:r>
        <m:sSup>
          <m:e>
            <m:r>
              <m:t>10</m:t>
            </m:r>
          </m:e>
          <m:sup>
            <m:r>
              <m:rPr>
                <m:sty m:val="p"/>
              </m:rPr>
              <m:t>−</m:t>
            </m:r>
            <m:r>
              <m:t>10</m:t>
            </m:r>
          </m:sup>
        </m:sSup>
      </m:oMath>
      <w:r>
        <w:t xml:space="preserve">. The experiment still assumes idealised independent bounded quote errors, two benchmark families and fixed support. Its success does not validate a market forward curve or convert risk-neutral events into physical forecasts.</w:t>
      </w:r>
    </w:p>
    <w:bookmarkEnd w:id="122"/>
    <w:bookmarkEnd w:id="123"/>
    <w:bookmarkStart w:id="145" w:name="Xbea9855c8e67857fe3442d745cda9a18e491c97"/>
    <w:p>
      <w:bookmarkStart w:id="613" w:name="h29"/>
      <w:pPr>
        <w:pStyle w:val="Heading1"/>
        <w:numPr>
          <w:ilvl w:val="0"/>
          <w:numId w:val="70"/>
        </w:numPr>
      </w:pPr>
      <w:bookmarkEnd w:id="613"/>
      <w:r>
        <w:t>Empirical inputs and the first market calibration</w:t>
      </w:r>
    </w:p>
    <w:bookmarkStart w:id="124" w:name="establishing-an-auditable-input-route"/>
    <w:p>
      <w:bookmarkStart w:id="614" w:name="h30"/>
      <w:pPr>
        <w:pStyle w:val="Heading2"/>
        <w:numPr>
          <w:ilvl w:val="1"/>
          <w:numId w:val="70"/>
        </w:numPr>
      </w:pPr>
      <w:bookmarkEnd w:id="614"/>
      <w:r>
        <w:t>Establishing an auditable input route</w:t>
      </w:r>
    </w:p>
    <w:p>
      <w:pPr>
        <w:pStyle w:val="FirstParagraph"/>
      </w:pPr>
      <w:r>
        <w:t xml:space="preserve">A working estimator did not initially provide usable observations. The advertised Cboe end-of-day sample request returned HTTP 403 [18]; another provider’s advertised 2022 sample did not support the required contemporaneous timestamp interpretation [19]; WRDS described an institutional route but did not establish access to an unseen export [20]. Table 22 preserves that source assessment. No purchase or account access was undertaken.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202"/>
        <w:gridCol w:w="3064"/>
        <w:gridCol w:w="4309"/>
      </w:tblGrid>
      <w:tr>
        <w:trPr>
          <w:tblHeader w:val="true"/>
          <w:cantSplit/>
          <w:tblHeader/>
        </w:trPr>
        <w:tc>
          <w:tcPr>
            <w:tcW w:type="dxa" w:w="2202"/>
            <w:vAlign w:val="center"/>
            <w:shd w:fill="E9EEF3"/>
          </w:tcPr>
          <w:p>
            <w:pPr>
              <w:pStyle w:val="Compact"/>
              <w:keepNext/>
              <w:keepLines/>
              <w:spacing w:after="40" w:before="40" w:line="252" w:lineRule="auto"/>
              <w:jc w:val="left"/>
            </w:pPr>
            <w:r>
              <w:rPr>
                <w:b/>
                <w:sz w:val="21"/>
              </w:rPr>
              <w:t xml:space="preserve">Source</w:t>
            </w:r>
          </w:p>
        </w:tc>
        <w:tc>
          <w:tcPr>
            <w:tcW w:type="dxa" w:w="3064"/>
            <w:vAlign w:val="center"/>
            <w:shd w:fill="E9EEF3"/>
          </w:tcPr>
          <w:p>
            <w:pPr>
              <w:pStyle w:val="Compact"/>
              <w:keepNext/>
              <w:keepLines/>
              <w:spacing w:after="40" w:before="40" w:line="252" w:lineRule="auto"/>
              <w:jc w:val="left"/>
            </w:pPr>
            <w:r>
              <w:rPr>
                <w:b/>
                <w:sz w:val="21"/>
              </w:rPr>
              <w:t xml:space="preserve">Evidence available in this project</w:t>
            </w:r>
          </w:p>
        </w:tc>
        <w:tc>
          <w:tcPr>
            <w:tcW w:type="dxa" w:w="4309"/>
            <w:vAlign w:val="center"/>
            <w:shd w:fill="E9EEF3"/>
          </w:tcPr>
          <w:p>
            <w:pPr>
              <w:pStyle w:val="Compact"/>
              <w:keepNext/>
              <w:keepLines/>
              <w:spacing w:after="40" w:before="40" w:line="252" w:lineRule="auto"/>
              <w:jc w:val="left"/>
            </w:pPr>
            <w:r>
              <w:rPr>
                <w:b/>
                <w:sz w:val="21"/>
              </w:rPr>
              <w:t xml:space="preserve">Decision for this stage</w:t>
            </w:r>
          </w:p>
        </w:tc>
      </w:tr>
      <w:tr>
        <w:trPr>
          <w:cantSplit/>
        </w:trPr>
        <w:tc>
          <w:tcPr>
            <w:tcW w:type="dxa" w:w="2202"/>
            <w:vAlign w:val="center"/>
          </w:tcPr>
          <w:p>
            <w:pPr>
              <w:pStyle w:val="Compact"/>
              <w:keepNext/>
              <w:keepLines/>
              <w:spacing w:after="40" w:before="40" w:line="252" w:lineRule="auto"/>
              <w:jc w:val="left"/>
            </w:pPr>
            <w:r>
              <w:rPr>
                <w:b w:val="0"/>
                <w:sz w:val="21"/>
              </w:rPr>
              <w:t xml:space="preserve">Original Cboe page candidate [2]</w:t>
            </w:r>
          </w:p>
        </w:tc>
        <w:tc>
          <w:tcPr>
            <w:tcW w:type="dxa" w:w="3064"/>
            <w:vAlign w:val="center"/>
          </w:tcPr>
          <w:p>
            <w:pPr>
              <w:pStyle w:val="Compact"/>
              <w:keepNext/>
              <w:keepLines/>
              <w:spacing w:after="40" w:before="40" w:line="252" w:lineRule="auto"/>
              <w:jc w:val="left"/>
            </w:pPr>
            <w:r>
              <w:rPr>
                <w:b w:val="0"/>
                <w:sz w:val="21"/>
              </w:rPr>
              <w:t xml:space="preserve">Archived payload and audit; quote observation datetime/timezone and zero-size meaning remain unresolved</w:t>
            </w:r>
          </w:p>
        </w:tc>
        <w:tc>
          <w:tcPr>
            <w:tcW w:type="dxa" w:w="4309"/>
            <w:vAlign w:val="center"/>
          </w:tcPr>
          <w:p>
            <w:pPr>
              <w:pStyle w:val="Compact"/>
              <w:keepNext/>
              <w:keepLines/>
              <w:spacing w:after="40" w:before="40" w:line="252" w:lineRule="auto"/>
              <w:jc w:val="left"/>
            </w:pPr>
            <w:r>
              <w:rPr>
                <w:b w:val="0"/>
                <w:sz w:val="21"/>
              </w:rPr>
              <w:t xml:space="preserve">Retain for the data audit; no density fit</w:t>
            </w:r>
          </w:p>
        </w:tc>
      </w:tr>
      <w:tr>
        <w:trPr>
          <w:cantSplit/>
        </w:trPr>
        <w:tc>
          <w:tcPr>
            <w:tcW w:type="dxa" w:w="2202"/>
            <w:vAlign w:val="center"/>
          </w:tcPr>
          <w:p>
            <w:pPr>
              <w:pStyle w:val="Compact"/>
              <w:keepNext/>
              <w:keepLines/>
              <w:spacing w:after="40" w:before="40" w:line="252" w:lineRule="auto"/>
              <w:jc w:val="left"/>
            </w:pPr>
            <w:r>
              <w:rPr>
                <w:b w:val="0"/>
                <w:sz w:val="21"/>
              </w:rPr>
              <w:t xml:space="preserve">Cboe Option EOD Summary [18]</w:t>
            </w:r>
          </w:p>
        </w:tc>
        <w:tc>
          <w:tcPr>
            <w:tcW w:type="dxa" w:w="3064"/>
            <w:vAlign w:val="center"/>
          </w:tcPr>
          <w:p>
            <w:pPr>
              <w:pStyle w:val="Compact"/>
              <w:keepNext/>
              <w:keepLines/>
              <w:spacing w:after="40" w:before="40" w:line="252" w:lineRule="auto"/>
              <w:jc w:val="left"/>
            </w:pPr>
            <w:r>
              <w:rPr>
                <w:b w:val="0"/>
                <w:sz w:val="21"/>
              </w:rPr>
              <w:t xml:space="preserve">Primary layout documentation; advertised sample request returned HTTP 403</w:t>
            </w:r>
          </w:p>
        </w:tc>
        <w:tc>
          <w:tcPr>
            <w:tcW w:type="dxa" w:w="4309"/>
            <w:vAlign w:val="center"/>
          </w:tcPr>
          <w:p>
            <w:pPr>
              <w:pStyle w:val="Compact"/>
              <w:keepNext/>
              <w:keepLines/>
              <w:spacing w:after="40" w:before="40" w:line="252" w:lineRule="auto"/>
              <w:jc w:val="left"/>
            </w:pPr>
            <w:r>
              <w:rPr>
                <w:b w:val="0"/>
                <w:sz w:val="21"/>
              </w:rPr>
              <w:t xml:space="preserve">No sample contents inspected; access attempt recorded</w:t>
            </w:r>
          </w:p>
        </w:tc>
      </w:tr>
      <w:tr>
        <w:trPr>
          <w:cantSplit/>
        </w:trPr>
        <w:tc>
          <w:tcPr>
            <w:tcW w:type="dxa" w:w="2202"/>
            <w:vAlign w:val="center"/>
          </w:tcPr>
          <w:p>
            <w:pPr>
              <w:pStyle w:val="Compact"/>
              <w:keepNext/>
              <w:keepLines/>
              <w:spacing w:after="40" w:before="40" w:line="252" w:lineRule="auto"/>
              <w:jc w:val="left"/>
            </w:pPr>
            <w:r>
              <w:rPr>
                <w:b w:val="0"/>
                <w:sz w:val="21"/>
              </w:rPr>
              <w:t xml:space="preserve">HistoricalData.net public 2022 sample [19]</w:t>
            </w:r>
          </w:p>
        </w:tc>
        <w:tc>
          <w:tcPr>
            <w:tcW w:type="dxa" w:w="3064"/>
            <w:vAlign w:val="center"/>
          </w:tcPr>
          <w:p>
            <w:pPr>
              <w:pStyle w:val="Compact"/>
              <w:keepNext/>
              <w:keepLines/>
              <w:spacing w:after="40" w:before="40" w:line="252" w:lineRule="auto"/>
              <w:jc w:val="left"/>
            </w:pPr>
            <w:r>
              <w:rPr>
                <w:b w:val="0"/>
                <w:sz w:val="21"/>
              </w:rPr>
              <w:t xml:space="preserve">Vendor documentation describes asynchronous last-standing quotes; quote timestamps start in August 2026</w:t>
            </w:r>
          </w:p>
        </w:tc>
        <w:tc>
          <w:tcPr>
            <w:tcW w:type="dxa" w:w="4309"/>
            <w:vAlign w:val="center"/>
          </w:tcPr>
          <w:p>
            <w:pPr>
              <w:pStyle w:val="Compact"/>
              <w:keepNext/>
              <w:keepLines/>
              <w:spacing w:after="40" w:before="40" w:line="252" w:lineRule="auto"/>
              <w:jc w:val="left"/>
            </w:pPr>
            <w:r>
              <w:rPr>
                <w:b w:val="0"/>
                <w:sz w:val="21"/>
              </w:rPr>
              <w:t xml:space="preserve">Not downloaded: the advertised sample does not meet this study’s synchronised-input requirement</w:t>
            </w:r>
          </w:p>
        </w:tc>
      </w:tr>
      <w:tr>
        <w:trPr>
          <w:cantSplit/>
        </w:trPr>
        <w:tc>
          <w:tcPr>
            <w:tcW w:type="dxa" w:w="2202"/>
            <w:vAlign w:val="center"/>
          </w:tcPr>
          <w:p>
            <w:pPr>
              <w:pStyle w:val="Compact"/>
              <w:keepNext/>
              <w:keepLines/>
              <w:spacing w:after="40" w:before="40" w:line="252" w:lineRule="auto"/>
              <w:jc w:val="left"/>
            </w:pPr>
            <w:r>
              <w:rPr>
                <w:b w:val="0"/>
                <w:sz w:val="21"/>
              </w:rPr>
              <w:t xml:space="preserve">Institutional OptionMetrics route [20]</w:t>
            </w:r>
          </w:p>
        </w:tc>
        <w:tc>
          <w:tcPr>
            <w:tcW w:type="dxa" w:w="3064"/>
            <w:vAlign w:val="center"/>
          </w:tcPr>
          <w:p>
            <w:pPr>
              <w:pStyle w:val="Compact"/>
              <w:keepNext/>
              <w:keepLines/>
              <w:spacing w:after="40" w:before="40" w:line="252" w:lineRule="auto"/>
              <w:jc w:val="left"/>
            </w:pPr>
            <w:r>
              <w:rPr>
                <w:b w:val="0"/>
                <w:sz w:val="21"/>
              </w:rPr>
              <w:t xml:space="preserve">WRDS describes option quotes and curve data; no export or institutional access has been supplied</w:t>
            </w:r>
          </w:p>
        </w:tc>
        <w:tc>
          <w:tcPr>
            <w:tcW w:type="dxa" w:w="4309"/>
            <w:vAlign w:val="center"/>
          </w:tcPr>
          <w:p>
            <w:pPr>
              <w:pStyle w:val="Compact"/>
              <w:keepNext/>
              <w:keepLines/>
              <w:spacing w:after="40" w:before="40" w:line="252" w:lineRule="auto"/>
              <w:jc w:val="left"/>
            </w:pPr>
            <w:r>
              <w:rPr>
                <w:b w:val="0"/>
                <w:sz w:val="21"/>
              </w:rPr>
              <w:t xml:space="preserve">Possible route requiring an actual authorised export and its documentation</w:t>
            </w:r>
          </w:p>
        </w:tc>
      </w:tr>
    </w:tbl>
    <w:p>
      <w:bookmarkStart w:id="615" w:name="table22"/>
      <w:pPr>
        <w:pStyle w:val="TableCaption"/>
      </w:pPr>
      <w:r>
        <w:t xml:space="preserve">Table 22. Initial source assessment before the supplied marking-price files. Product descriptions establish possible routes, not actual access or approval of unseen files.</w:t>
      </w:r>
      <w:bookmarkEnd w:id="615"/>
    </w:p>
    <w:p>
      <w:pPr>
        <w:pStyle w:val="BodyText"/>
      </w:pPr>
      <w:r>
        <w:t xml:space="preserve">The original candidate remained unaccepted. A subsequent API retrieval with a fuller timestamp returned the same option array but did not establish the timezone or meaning needed to treat it as a verified quote instant. The implementation therefore separated the file format and validation rules from market access, using an explicitly synthetic input bundle to exercise the process.</w:t>
      </w:r>
    </w:p>
    <w:p>
      <w:pPr>
        <w:pStyle w:val="BodyText"/>
      </w:pPr>
      <w:r>
        <w:t xml:space="preserve">The preparation profile requires a quote CSV, a discount CSV and a manifest recording conventions and source evidence. Full UTC-offset timestamps distinguish observation from settlement; ACT/365F uses elapsed UTC seconds. External discounts must have been available at the observation instant. A positive discount above one is permitted. Hashes support traceability but do not prove provenance, permission or economic suitability.</w:t>
      </w:r>
    </w:p>
    <w:bookmarkEnd w:id="124"/>
    <w:bookmarkStart w:id="128" w:name="X1a04026aab6e5b5031be2f78c13f87f9a287ce5"/>
    <w:p>
      <w:bookmarkStart w:id="616" w:name="h31"/>
      <w:pPr>
        <w:pStyle w:val="Heading2"/>
        <w:numPr>
          <w:ilvl w:val="1"/>
          <w:numId w:val="70"/>
        </w:numPr>
      </w:pPr>
      <w:bookmarkEnd w:id="616"/>
      <w:r>
        <w:t>Conditional forwards and training-only inference</w:t>
      </w:r>
    </w:p>
    <w:p>
      <w:pPr>
        <w:pStyle w:val="FirstParagraph"/>
      </w:pPr>
      <w:r>
        <w:t xml:space="preserve">Using the parity foundation in Aït-Sahalia and Lo [10], Equation (34) intersects the pairwise intervals from Equation (8). Its midpoint is a declared point-input convention conditional on the supplied discount, not a statistically identified true forward.</w:t>
      </w:r>
    </w:p>
    <w:p>
      <w:pPr>
        <w:pStyle w:val="BodyText"/>
        <w:keepNext/>
        <w:spacing w:before="120" w:after="40"/>
        <w:jc w:val="center"/>
      </w:pPr>
      <m:oMathPara>
        <m:oMathParaPr>
          <m:jc m:val="center"/>
        </m:oMathParaPr>
        <m:oMath>
          <m:m>
            <m:mPr>
              <m:baseJc m:val="center"/>
              <m:plcHide m:val="on"/>
              <m:mcs>
                <m:mc>
                  <m:mcPr>
                    <m:mcJc m:val="center"/>
                    <m:count m:val="1"/>
                  </m:mcPr>
                </m:mc>
              </m:mcs>
            </m:mPr>
            <m:mr>
              <m:e>
                <m:sSub>
                  <m:e>
                    <m:bar>
                      <m:barPr>
                        <m:pos m:val="bot"/>
                      </m:barPr>
                      <m:e>
                        <m:r>
                          <m:t>F</m:t>
                        </m:r>
                      </m:e>
                    </m:bar>
                  </m:e>
                  <m:sub>
                    <m:r>
                      <m:t>m</m:t>
                    </m:r>
                  </m:sub>
                </m:sSub>
                <m:r>
                  <m:rPr>
                    <m:sty m:val="p"/>
                  </m:rPr>
                  <m:t>=</m:t>
                </m:r>
                <m:limLow>
                  <m:e>
                    <m:r>
                      <m:rPr>
                        <m:sty m:val="p"/>
                      </m:rPr>
                      <m:t>max</m:t>
                    </m:r>
                  </m:e>
                  <m:lim>
                    <m:r>
                      <m:t>i</m:t>
                    </m:r>
                  </m:lim>
                </m:limLow>
                <m:sSubSup>
                  <m:e>
                    <m:r>
                      <m:rPr>
                        <m:sty m:val="p"/>
                      </m:rPr>
                      <m:t>ℓ</m:t>
                    </m:r>
                  </m:e>
                  <m:sub>
                    <m:r>
                      <m:t>m</m:t>
                    </m:r>
                    <m:r>
                      <m:t>i</m:t>
                    </m:r>
                  </m:sub>
                  <m:sup>
                    <m:r>
                      <m:t>F</m:t>
                    </m:r>
                  </m:sup>
                </m:sSubSup>
                <m:r>
                  <m:rPr>
                    <m:sty m:val="p"/>
                  </m:rPr>
                  <m:t>,</m:t>
                </m:r>
                <m:r>
                  <m:t>  </m:t>
                </m:r>
                <m:sSub>
                  <m:e>
                    <m:bar>
                      <m:barPr>
                        <m:pos m:val="top"/>
                      </m:barPr>
                      <m:e>
                        <m:r>
                          <m:t>F</m:t>
                        </m:r>
                      </m:e>
                    </m:bar>
                  </m:e>
                  <m:sub>
                    <m:r>
                      <m:t>m</m:t>
                    </m:r>
                  </m:sub>
                </m:sSub>
                <m:r>
                  <m:rPr>
                    <m:sty m:val="p"/>
                  </m:rPr>
                  <m:t>=</m:t>
                </m:r>
                <m:limLow>
                  <m:e>
                    <m:r>
                      <m:rPr>
                        <m:sty m:val="p"/>
                      </m:rPr>
                      <m:t>min</m:t>
                    </m:r>
                  </m:e>
                  <m:lim>
                    <m:r>
                      <m:t>i</m:t>
                    </m:r>
                  </m:lim>
                </m:limLow>
                <m:sSubSup>
                  <m:e>
                    <m:r>
                      <m:t>u</m:t>
                    </m:r>
                  </m:e>
                  <m:sub>
                    <m:r>
                      <m:t>m</m:t>
                    </m:r>
                    <m:r>
                      <m:t>i</m:t>
                    </m:r>
                  </m:sub>
                  <m:sup>
                    <m:r>
                      <m:t>F</m:t>
                    </m:r>
                  </m:sup>
                </m:sSubSup>
                <m:r>
                  <m:rPr>
                    <m:sty m:val="p"/>
                  </m:rPr>
                  <m:t>,</m:t>
                </m:r>
              </m:e>
            </m:mr>
            <m:mr>
              <m:e>
                <m:sSub>
                  <m:e>
                    <m:acc>
                      <m:accPr>
                        <m:chr m:val="̂"/>
                      </m:accPr>
                      <m:e>
                        <m:r>
                          <m:t>F</m:t>
                        </m:r>
                      </m:e>
                    </m:acc>
                  </m:e>
                  <m:sub>
                    <m:r>
                      <m:t>m</m:t>
                    </m:r>
                  </m:sub>
                </m:sSub>
                <m:r>
                  <m:rPr>
                    <m:sty m:val="p"/>
                  </m:rPr>
                  <m:t>=</m:t>
                </m:r>
                <m:f>
                  <m:fPr>
                    <m:type m:val="bar"/>
                  </m:fPr>
                  <m:num>
                    <m:sSub>
                      <m:e>
                        <m:bar>
                          <m:barPr>
                            <m:pos m:val="bot"/>
                          </m:barPr>
                          <m:e>
                            <m:r>
                              <m:t>F</m:t>
                            </m:r>
                          </m:e>
                        </m:bar>
                      </m:e>
                      <m:sub>
                        <m:r>
                          <m:t>m</m:t>
                        </m:r>
                      </m:sub>
                    </m:sSub>
                    <m:r>
                      <m:rPr>
                        <m:sty m:val="p"/>
                      </m:rPr>
                      <m:t>+</m:t>
                    </m:r>
                    <m:sSub>
                      <m:e>
                        <m:bar>
                          <m:barPr>
                            <m:pos m:val="top"/>
                          </m:barPr>
                          <m:e>
                            <m:r>
                              <m:t>F</m:t>
                            </m:r>
                          </m:e>
                        </m:bar>
                      </m:e>
                      <m:sub>
                        <m:r>
                          <m:t>m</m:t>
                        </m:r>
                      </m:sub>
                    </m:sSub>
                  </m:num>
                  <m:den>
                    <m:r>
                      <m:t>2</m:t>
                    </m:r>
                  </m:den>
                </m:f>
                <m:r>
                  <m:t> </m:t>
                </m:r>
                <m:r>
                  <m:rPr>
                    <m:nor/>
                    <m:sty m:val="p"/>
                  </m:rPr>
                  <m:t>when </m:t>
                </m:r>
                <m:r>
                  <m:t>0</m:t>
                </m:r>
                <m:r>
                  <m:rPr>
                    <m:sty m:val="p"/>
                  </m:rPr>
                  <m:t>&lt;</m:t>
                </m:r>
                <m:sSub>
                  <m:e>
                    <m:bar>
                      <m:barPr>
                        <m:pos m:val="bot"/>
                      </m:barPr>
                      <m:e>
                        <m:r>
                          <m:t>F</m:t>
                        </m:r>
                      </m:e>
                    </m:bar>
                  </m:e>
                  <m:sub>
                    <m:r>
                      <m:t>m</m:t>
                    </m:r>
                  </m:sub>
                </m:sSub>
                <m:r>
                  <m:rPr>
                    <m:sty m:val="p"/>
                  </m:rPr>
                  <m:t>≤</m:t>
                </m:r>
                <m:sSub>
                  <m:e>
                    <m:bar>
                      <m:barPr>
                        <m:pos m:val="top"/>
                      </m:barPr>
                      <m:e>
                        <m:r>
                          <m:t>F</m:t>
                        </m:r>
                      </m:e>
                    </m:bar>
                  </m:e>
                  <m:sub>
                    <m:r>
                      <m:t>m</m:t>
                    </m:r>
                  </m:sub>
                </m:sSub>
                <m:r>
                  <m:rPr>
                    <m:sty m:val="p"/>
                  </m:rPr>
                  <m:t>.</m:t>
                </m:r>
              </m:e>
            </m:mr>
          </m:m>
        </m:oMath>
      </m:oMathPara>
    </w:p>
    <w:p>
      <w:bookmarkStart w:id="617" w:name="equation34"/>
      <w:pPr>
        <w:pStyle w:val="EquationCaption"/>
      </w:pPr>
      <w:r>
        <w:t xml:space="preserve">Equation 34. Common bid–ask forward intersection and point convention.</w:t>
      </w:r>
      <w:bookmarkEnd w:id="617"/>
    </w:p>
    <w:p>
      <w:pPr>
        <w:pStyle w:val="BodyText"/>
      </w:pPr>
      <w:r>
        <w:t xml:space="preserve">An empty intersection blocks density fitting. Equation (35) records the minimum uniform widening needed to intersect the conditional forward intervals. It is measured in forward index points and is diagnostic only; no quote repair is applied.</w:t>
      </w:r>
    </w:p>
    <w:p>
      <w:pPr>
        <w:pStyle w:val="BodyText"/>
        <w:keepNext/>
        <w:spacing w:before="120" w:after="40"/>
        <w:jc w:val="center"/>
      </w:pPr>
      <m:oMathPara>
        <m:oMathParaPr>
          <m:jc m:val="center"/>
        </m:oMathParaPr>
        <m:oMath>
          <m:m>
            <m:mPr>
              <m:baseJc m:val="center"/>
              <m:plcHide m:val="on"/>
              <m:mcs>
                <m:mc>
                  <m:mcPr>
                    <m:mcJc m:val="center"/>
                    <m:count m:val="1"/>
                  </m:mcPr>
                </m:mc>
              </m:mcs>
            </m:mPr>
            <m:mr>
              <m:e>
                <m:sSubSup>
                  <m:e>
                    <m:r>
                      <m:t>s</m:t>
                    </m:r>
                  </m:e>
                  <m:sub>
                    <m:r>
                      <m:t>m</m:t>
                    </m:r>
                  </m:sub>
                  <m:sup>
                    <m:r>
                      <m:rPr>
                        <m:sty m:val="p"/>
                      </m:rPr>
                      <m:t>*</m:t>
                    </m:r>
                  </m:sup>
                </m:sSubSup>
                <m:r>
                  <m:rPr>
                    <m:sty m:val="p"/>
                  </m:rPr>
                  <m:t>=</m:t>
                </m:r>
                <m:r>
                  <m:rPr>
                    <m:sty m:val="p"/>
                  </m:rPr>
                  <m:t>min</m:t>
                </m:r>
                <m:r>
                  <m:rPr>
                    <m:sty m:val="p"/>
                  </m:rPr>
                  <m:t>{</m:t>
                </m:r>
                <m:r>
                  <m:t>s</m:t>
                </m:r>
                <m:r>
                  <m:rPr>
                    <m:sty m:val="p"/>
                  </m:rPr>
                  <m:t>≥</m:t>
                </m:r>
                <m:r>
                  <m:t>0</m:t>
                </m:r>
                <m:r>
                  <m:rPr>
                    <m:sty m:val="p"/>
                  </m:rPr>
                  <m:t>:</m:t>
                </m:r>
                <m:limLow>
                  <m:e>
                    <m:r>
                      <m:rPr>
                        <m:sty m:val="p"/>
                      </m:rPr>
                      <m:t>max</m:t>
                    </m:r>
                  </m:e>
                  <m:lim>
                    <m:r>
                      <m:t>i</m:t>
                    </m:r>
                  </m:lim>
                </m:limLow>
                <m:d>
                  <m:dPr>
                    <m:begChr m:val="("/>
                    <m:endChr m:val=")"/>
                    <m:sepChr m:val=""/>
                    <m:grow/>
                  </m:dPr>
                  <m:e>
                    <m:sSubSup>
                      <m:e>
                        <m:r>
                          <m:rPr>
                            <m:sty m:val="p"/>
                          </m:rPr>
                          <m:t>ℓ</m:t>
                        </m:r>
                      </m:e>
                      <m:sub>
                        <m:r>
                          <m:t>m</m:t>
                        </m:r>
                        <m:r>
                          <m:t>i</m:t>
                        </m:r>
                      </m:sub>
                      <m:sup>
                        <m:r>
                          <m:t>F</m:t>
                        </m:r>
                      </m:sup>
                    </m:sSubSup>
                    <m:r>
                      <m:rPr>
                        <m:sty m:val="p"/>
                      </m:rPr>
                      <m:t>−</m:t>
                    </m:r>
                    <m:r>
                      <m:t>s</m:t>
                    </m:r>
                  </m:e>
                </m:d>
                <m:r>
                  <m:rPr>
                    <m:sty m:val="p"/>
                  </m:rPr>
                  <m:t>≤</m:t>
                </m:r>
                <m:limLow>
                  <m:e>
                    <m:r>
                      <m:rPr>
                        <m:sty m:val="p"/>
                      </m:rPr>
                      <m:t>min</m:t>
                    </m:r>
                  </m:e>
                  <m:lim>
                    <m:r>
                      <m:t>i</m:t>
                    </m:r>
                  </m:lim>
                </m:limLow>
                <m:d>
                  <m:dPr>
                    <m:begChr m:val="("/>
                    <m:endChr m:val=")"/>
                    <m:sepChr m:val=""/>
                    <m:grow/>
                  </m:dPr>
                  <m:e>
                    <m:sSubSup>
                      <m:e>
                        <m:r>
                          <m:t>u</m:t>
                        </m:r>
                      </m:e>
                      <m:sub>
                        <m:r>
                          <m:t>m</m:t>
                        </m:r>
                        <m:r>
                          <m:t>i</m:t>
                        </m:r>
                      </m:sub>
                      <m:sup>
                        <m:r>
                          <m:t>F</m:t>
                        </m:r>
                      </m:sup>
                    </m:sSubSup>
                    <m:r>
                      <m:rPr>
                        <m:sty m:val="p"/>
                      </m:rPr>
                      <m:t>+</m:t>
                    </m:r>
                    <m:r>
                      <m:t>s</m:t>
                    </m:r>
                  </m:e>
                </m:d>
                <m:r>
                  <m:rPr>
                    <m:sty m:val="p"/>
                  </m:rPr>
                  <m:t>}</m:t>
                </m:r>
              </m:e>
            </m:mr>
            <m:mr>
              <m:e>
                <m:r>
                  <m:rPr>
                    <m:sty m:val="p"/>
                  </m:rPr>
                  <m:t>=</m:t>
                </m:r>
                <m:f>
                  <m:fPr>
                    <m:type m:val="bar"/>
                  </m:fPr>
                  <m:num>
                    <m:sSub>
                      <m:e>
                        <m:d>
                          <m:dPr>
                            <m:begChr m:val="("/>
                            <m:endChr m:val=")"/>
                            <m:sepChr m:val=""/>
                            <m:grow/>
                          </m:dPr>
                          <m:e>
                            <m:sSub>
                              <m:e>
                                <m:bar>
                                  <m:barPr>
                                    <m:pos m:val="bot"/>
                                  </m:barPr>
                                  <m:e>
                                    <m:r>
                                      <m:t>F</m:t>
                                    </m:r>
                                  </m:e>
                                </m:bar>
                              </m:e>
                              <m:sub>
                                <m:r>
                                  <m:t>m</m:t>
                                </m:r>
                              </m:sub>
                            </m:sSub>
                            <m:r>
                              <m:rPr>
                                <m:sty m:val="p"/>
                              </m:rPr>
                              <m:t>−</m:t>
                            </m:r>
                            <m:sSub>
                              <m:e>
                                <m:bar>
                                  <m:barPr>
                                    <m:pos m:val="top"/>
                                  </m:barPr>
                                  <m:e>
                                    <m:r>
                                      <m:t>F</m:t>
                                    </m:r>
                                  </m:e>
                                </m:bar>
                              </m:e>
                              <m:sub>
                                <m:r>
                                  <m:t>m</m:t>
                                </m:r>
                              </m:sub>
                            </m:sSub>
                          </m:e>
                        </m:d>
                      </m:e>
                      <m:sub>
                        <m:r>
                          <m:rPr>
                            <m:sty m:val="p"/>
                          </m:rPr>
                          <m:t>+</m:t>
                        </m:r>
                      </m:sub>
                    </m:sSub>
                  </m:num>
                  <m:den>
                    <m:r>
                      <m:t>2</m:t>
                    </m:r>
                  </m:den>
                </m:f>
                <m:r>
                  <m:rPr>
                    <m:sty m:val="p"/>
                  </m:rPr>
                  <m:t>.</m:t>
                </m:r>
              </m:e>
            </m:mr>
          </m:m>
        </m:oMath>
      </m:oMathPara>
    </w:p>
    <w:p>
      <w:bookmarkStart w:id="618" w:name="equation35"/>
      <w:pPr>
        <w:pStyle w:val="EquationCaption"/>
      </w:pPr>
      <w:r>
        <w:t xml:space="preserve">Equation 35. Minimum uniform widening of incompatible forward intervals.</w:t>
      </w:r>
      <w:bookmarkEnd w:id="618"/>
    </w:p>
    <w:p>
      <w:pPr>
        <w:sectPr>
          <w:type w:val="nextPage"/>
          <w:pgSz w:w="11906" w:h="16838" w:orient="portrait"/>
          <w:pgMar w:top="1008" w:bottom="1008" w:left="1152" w:right="1152" w:header="432" w:footer="432" w:gutter="0"/>
          <w:pgNumType w:fmt="decimal"/>
        </w:sectPr>
        <w:spacing w:before="0" w:after="0" w:line="1" w:lineRule="exact"/>
      </w:pPr>
      <w:r>
        <w:rPr>
          <w:sz w:val="2"/>
        </w:rPr>
      </w:r>
    </w:p>
    <w:p>
      <w:pPr>
        <w:pStyle w:val="BodyText"/>
        <w:keepNext/>
        <w:spacing w:after="40"/>
        <w:jc w:val="center"/>
      </w:pPr>
      <w:r>
        <w:drawing>
          <wp:inline>
            <wp:extent cx="5334000" cy="2162432"/>
            <wp:effectExtent b="0" l="0" r="0" t="0"/>
            <wp:docPr descr="Matched-pair forward intervals and an intentionally incompatible quote" title="" id="126" name="Picture"/>
            <a:graphic>
              <a:graphicData uri="http://schemas.openxmlformats.org/drawingml/2006/picture">
                <pic:pic>
                  <pic:nvPicPr>
                    <pic:cNvPr descr="/workspace/scratch/62b9274b9d7e/spx-density-research/figures/figure_24_paired_forward_intervals.png" id="127" name="Picture"/>
                    <pic:cNvPicPr>
                      <a:picLocks noChangeArrowheads="1" noChangeAspect="1"/>
                    </pic:cNvPicPr>
                  </pic:nvPicPr>
                  <pic:blipFill>
                    <a:blip r:embed="rId125"/>
                    <a:stretch>
                      <a:fillRect/>
                    </a:stretch>
                  </pic:blipFill>
                  <pic:spPr bwMode="auto">
                    <a:xfrm>
                      <a:off x="0" y="0"/>
                      <a:ext cx="5334000" cy="2162432"/>
                    </a:xfrm>
                    <a:prstGeom prst="rect">
                      <a:avLst/>
                    </a:prstGeom>
                    <a:noFill/>
                    <a:ln w="9525">
                      <a:noFill/>
                      <a:headEnd/>
                      <a:tailEnd/>
                    </a:ln>
                  </pic:spPr>
                </pic:pic>
              </a:graphicData>
            </a:graphic>
          </wp:inline>
        </w:drawing>
      </w:r>
    </w:p>
    <w:p>
      <w:bookmarkStart w:id="619" w:name="figure24"/>
      <w:pPr>
        <w:pStyle w:val="FigureCaption"/>
      </w:pPr>
      <w:r>
        <w:t xml:space="preserve">Figure 24. Conditional forward bounds for the first synthetic horizon. Each vertical segment is one call–put pair’s interval from Equation (8). The left panel has a common intersection. The right panel adds five points to the first call’s bid and ask while leaving the put unchanged; the largest lower bound then exceeds the smallest upper bound. The dotted line is the known fixture forward, available only because this example is synthetic. The shaded compatible band is not a confidence interval.</w:t>
      </w:r>
      <w:bookmarkEnd w:id="619"/>
    </w:p>
    <w:p>
      <w:pPr>
        <w:sectPr>
          <w:type w:val="nextPage"/>
          <w:pgSz w:w="16838" w:h="11906" w:orient="landscape"/>
          <w:pgMar w:top="1008" w:bottom="1008" w:left="1152" w:right="1152" w:header="432" w:footer="432" w:gutter="0"/>
          <w:pgNumType w:fmt="decimal"/>
        </w:sectPr>
        <w:spacing w:before="0" w:after="0" w:line="1" w:lineRule="exact"/>
      </w:pPr>
      <w:r>
        <w:rPr>
          <w:sz w:val="2"/>
        </w:rPr>
      </w:r>
    </w:p>
    <w:p>
      <w:pPr>
        <w:pStyle w:val="BodyText"/>
      </w:pPr>
      <w:r>
        <w:t xml:space="preserve">In the synthetic example, shifting one call’s bid and ask by five points leaves its row positive and ordered but destroys the common intersection. The required widening is 1.7234 forward points. Row screening therefore cannot replace cross-strike compatibility checks.</w:t>
      </w:r>
    </w:p>
    <w:p>
      <w:pPr>
        <w:pStyle w:val="BodyText"/>
      </w:pPr>
      <w:r>
        <w:t xml:space="preserve">As Cawley and Talbot’s discussion of selection makes clear [17], inferred inputs are part of the procedure being evaluated. Whole call–put pairs are held out, and the forward is recomputed from each training subset. Equation (36) extends the selection score accordingly. Endpoints stay in training and exact score ties choose the larger coefficient.</w:t>
      </w:r>
    </w:p>
    <w:p>
      <w:pPr>
        <w:pStyle w:val="BodyText"/>
        <w:keepNext/>
        <w:spacing w:before="120" w:after="40"/>
        <w:jc w:val="center"/>
      </w:pPr>
      <m:oMathPara>
        <m:oMathParaPr>
          <m:jc m:val="center"/>
        </m:oMathParaPr>
        <m:oMath>
          <m:m>
            <m:mPr>
              <m:baseJc m:val="center"/>
              <m:plcHide m:val="on"/>
              <m:mcs>
                <m:mc>
                  <m:mcPr>
                    <m:mcJc m:val="center"/>
                    <m:count m:val="1"/>
                  </m:mcPr>
                </m:mc>
              </m:mcs>
            </m:mPr>
            <m:mr>
              <m:e>
                <m:sSub>
                  <m:e>
                    <m:r>
                      <m:rPr>
                        <m:sty m:val="p"/>
                      </m:rPr>
                      <m:t>CV</m:t>
                    </m:r>
                  </m:e>
                  <m:sub>
                    <m:r>
                      <m:t>F</m:t>
                    </m:r>
                  </m:sub>
                </m:sSub>
                <m:d>
                  <m:dPr>
                    <m:begChr m:val="("/>
                    <m:endChr m:val=")"/>
                    <m:sepChr m:val=""/>
                    <m:grow/>
                  </m:dPr>
                  <m:e>
                    <m:r>
                      <m:t>λ</m:t>
                    </m:r>
                  </m:e>
                </m:d>
                <m:r>
                  <m:rPr>
                    <m:sty m:val="p"/>
                  </m:rPr>
                  <m:t>=</m:t>
                </m:r>
                <m:f>
                  <m:fPr>
                    <m:type m:val="bar"/>
                  </m:fPr>
                  <m:num>
                    <m:nary>
                      <m:naryPr>
                        <m:chr m:val="∑"/>
                        <m:limLoc m:val="undOvr"/>
                        <m:subHide m:val="off"/>
                        <m:supHide m:val="on"/>
                      </m:naryPr>
                      <m:sub>
                        <m:r>
                          <m:t>k</m:t>
                        </m:r>
                        <m:r>
                          <m:rPr>
                            <m:sty m:val="p"/>
                          </m:rPr>
                          <m:t>,</m:t>
                        </m:r>
                        <m:r>
                          <m:t>m</m:t>
                        </m:r>
                      </m:sub>
                      <m:sup>
                        <m:r>
                          <m:t>​</m:t>
                        </m:r>
                      </m:sup>
                      <m:e>
                        <m:nary>
                          <m:naryPr>
                            <m:chr m:val="∑"/>
                            <m:limLoc m:val="undOvr"/>
                            <m:subHide m:val="off"/>
                            <m:supHide m:val="on"/>
                          </m:naryPr>
                          <m:sub>
                            <m:r>
                              <m:t>i</m:t>
                            </m:r>
                            <m:r>
                              <m:rPr>
                                <m:sty m:val="p"/>
                              </m:rPr>
                              <m:t>∈</m:t>
                            </m:r>
                            <m:sSub>
                              <m:e>
                                <m:r>
                                  <m:rPr>
                                    <m:sty m:val="p"/>
                                    <m:scr m:val="script"/>
                                  </m:rPr>
                                  <m:t>H</m:t>
                                </m:r>
                              </m:e>
                              <m:sub>
                                <m:r>
                                  <m:t>k</m:t>
                                </m:r>
                                <m:r>
                                  <m:t>m</m:t>
                                </m:r>
                              </m:sub>
                            </m:sSub>
                          </m:sub>
                          <m:sup>
                            <m:r>
                              <m:t>​</m:t>
                            </m:r>
                          </m:sup>
                          <m:e>
                            <m:sSup>
                              <m:e>
                                <m:d>
                                  <m:dPr>
                                    <m:begChr m:val="["/>
                                    <m:endChr m:val="]"/>
                                    <m:sepChr m:val=""/>
                                    <m:grow/>
                                  </m:dPr>
                                  <m:e>
                                    <m:f>
                                      <m:fPr>
                                        <m:type m:val="bar"/>
                                      </m:fPr>
                                      <m:num>
                                        <m:sSubSup>
                                          <m:e>
                                            <m:acc>
                                              <m:accPr>
                                                <m:chr m:val="̂"/>
                                              </m:accPr>
                                              <m:e>
                                                <m:r>
                                                  <m:t>C</m:t>
                                                </m:r>
                                              </m:e>
                                            </m:acc>
                                          </m:e>
                                          <m:sub>
                                            <m:r>
                                              <m:t>m</m:t>
                                            </m:r>
                                            <m:r>
                                              <m:rPr>
                                                <m:sty m:val="p"/>
                                              </m:rPr>
                                              <m:t>,</m:t>
                                            </m:r>
                                            <m:r>
                                              <m:t>λ</m:t>
                                            </m:r>
                                          </m:sub>
                                          <m:sup>
                                            <m:d>
                                              <m:dPr>
                                                <m:begChr m:val="("/>
                                                <m:endChr m:val=")"/>
                                                <m:sepChr m:val=""/>
                                                <m:grow/>
                                              </m:dPr>
                                              <m:e>
                                                <m:r>
                                                  <m:rPr>
                                                    <m:sty m:val="p"/>
                                                  </m:rPr>
                                                  <m:t>−</m:t>
                                                </m:r>
                                                <m:r>
                                                  <m:t>k</m:t>
                                                </m:r>
                                              </m:e>
                                            </m:d>
                                          </m:sup>
                                        </m:sSubSup>
                                        <m:d>
                                          <m:dPr>
                                            <m:begChr m:val="("/>
                                            <m:endChr m:val=")"/>
                                            <m:sepChr m:val=""/>
                                            <m:grow/>
                                          </m:dPr>
                                          <m:e>
                                            <m:sSub>
                                              <m:e>
                                                <m:r>
                                                  <m:t>K</m:t>
                                                </m:r>
                                              </m:e>
                                              <m:sub>
                                                <m:r>
                                                  <m:t>m</m:t>
                                                </m:r>
                                                <m:r>
                                                  <m:t>i</m:t>
                                                </m:r>
                                              </m:sub>
                                            </m:sSub>
                                            <m:r>
                                              <m:rPr>
                                                <m:sty m:val="p"/>
                                              </m:rPr>
                                              <m:t>;</m:t>
                                            </m:r>
                                            <m:sSubSup>
                                              <m:e>
                                                <m:acc>
                                                  <m:accPr>
                                                    <m:chr m:val="̂"/>
                                                  </m:accPr>
                                                  <m:e>
                                                    <m:r>
                                                      <m:t>F</m:t>
                                                    </m:r>
                                                  </m:e>
                                                </m:acc>
                                              </m:e>
                                              <m:sub>
                                                <m:r>
                                                  <m:t>m</m:t>
                                                </m:r>
                                              </m:sub>
                                              <m:sup>
                                                <m:d>
                                                  <m:dPr>
                                                    <m:begChr m:val="("/>
                                                    <m:endChr m:val=")"/>
                                                    <m:sepChr m:val=""/>
                                                    <m:grow/>
                                                  </m:dPr>
                                                  <m:e>
                                                    <m:r>
                                                      <m:rPr>
                                                        <m:sty m:val="p"/>
                                                      </m:rPr>
                                                      <m:t>−</m:t>
                                                    </m:r>
                                                    <m:r>
                                                      <m:t>k</m:t>
                                                    </m:r>
                                                  </m:e>
                                                </m:d>
                                              </m:sup>
                                            </m:sSubSup>
                                          </m:e>
                                        </m:d>
                                        <m:r>
                                          <m:rPr>
                                            <m:sty m:val="p"/>
                                          </m:rPr>
                                          <m:t>−</m:t>
                                        </m:r>
                                        <m:sSubSup>
                                          <m:e>
                                            <m:r>
                                              <m:t>C</m:t>
                                            </m:r>
                                          </m:e>
                                          <m:sub>
                                            <m:r>
                                              <m:t>m</m:t>
                                            </m:r>
                                            <m:r>
                                              <m:t>i</m:t>
                                            </m:r>
                                          </m:sub>
                                          <m:sup>
                                            <m:r>
                                              <m:rPr>
                                                <m:sty m:val="p"/>
                                              </m:rPr>
                                              <m:t>m</m:t>
                                            </m:r>
                                            <m:r>
                                              <m:rPr>
                                                <m:sty m:val="p"/>
                                              </m:rPr>
                                              <m:t>i</m:t>
                                            </m:r>
                                            <m:r>
                                              <m:rPr>
                                                <m:sty m:val="p"/>
                                              </m:rPr>
                                              <m:t>d</m:t>
                                            </m:r>
                                          </m:sup>
                                        </m:sSubSup>
                                      </m:num>
                                      <m:den>
                                        <m:sSubSup>
                                          <m:e>
                                            <m:acc>
                                              <m:accPr>
                                                <m:chr m:val="̂"/>
                                              </m:accPr>
                                              <m:e>
                                                <m:r>
                                                  <m:t>F</m:t>
                                                </m:r>
                                              </m:e>
                                            </m:acc>
                                          </m:e>
                                          <m:sub>
                                            <m:r>
                                              <m:t>m</m:t>
                                            </m:r>
                                          </m:sub>
                                          <m:sup>
                                            <m:d>
                                              <m:dPr>
                                                <m:begChr m:val="("/>
                                                <m:endChr m:val=")"/>
                                                <m:sepChr m:val=""/>
                                                <m:grow/>
                                              </m:dPr>
                                              <m:e>
                                                <m:r>
                                                  <m:rPr>
                                                    <m:sty m:val="p"/>
                                                  </m:rPr>
                                                  <m:t>−</m:t>
                                                </m:r>
                                                <m:r>
                                                  <m:t>k</m:t>
                                                </m:r>
                                              </m:e>
                                            </m:d>
                                          </m:sup>
                                        </m:sSubSup>
                                      </m:den>
                                    </m:f>
                                  </m:e>
                                </m:d>
                              </m:e>
                              <m:sup>
                                <m:r>
                                  <m:t>2</m:t>
                                </m:r>
                              </m:sup>
                            </m:sSup>
                          </m:e>
                        </m:nary>
                      </m:e>
                    </m:nary>
                  </m:num>
                  <m:den>
                    <m:nary>
                      <m:naryPr>
                        <m:chr m:val="∑"/>
                        <m:limLoc m:val="undOvr"/>
                        <m:subHide m:val="off"/>
                        <m:supHide m:val="on"/>
                      </m:naryPr>
                      <m:sub>
                        <m:r>
                          <m:t>k</m:t>
                        </m:r>
                        <m:r>
                          <m:rPr>
                            <m:sty m:val="p"/>
                          </m:rPr>
                          <m:t>,</m:t>
                        </m:r>
                        <m:r>
                          <m:t>m</m:t>
                        </m:r>
                      </m:sub>
                      <m:sup>
                        <m:r>
                          <m:t>​</m:t>
                        </m:r>
                      </m:sup>
                      <m:e>
                        <m:d>
                          <m:dPr>
                            <m:begChr m:val="|"/>
                            <m:endChr m:val="|"/>
                            <m:sepChr m:val=""/>
                            <m:grow/>
                          </m:dPr>
                          <m:e>
                            <m:sSub>
                              <m:e>
                                <m:r>
                                  <m:rPr>
                                    <m:sty m:val="p"/>
                                    <m:scr m:val="script"/>
                                  </m:rPr>
                                  <m:t>H</m:t>
                                </m:r>
                              </m:e>
                              <m:sub>
                                <m:r>
                                  <m:t>k</m:t>
                                </m:r>
                                <m:r>
                                  <m:t>m</m:t>
                                </m:r>
                              </m:sub>
                            </m:sSub>
                          </m:e>
                        </m:d>
                      </m:e>
                    </m:nary>
                  </m:den>
                </m:f>
              </m:e>
            </m:mr>
            <m:mr>
              <m:e>
                <m:acc>
                  <m:accPr>
                    <m:chr m:val="̂"/>
                  </m:accPr>
                  <m:e>
                    <m:r>
                      <m:t>λ</m:t>
                    </m:r>
                  </m:e>
                </m:acc>
                <m:r>
                  <m:rPr>
                    <m:sty m:val="p"/>
                  </m:rPr>
                  <m:t>=</m:t>
                </m:r>
                <m:r>
                  <m:rPr>
                    <m:sty m:val="p"/>
                  </m:rPr>
                  <m:t>arg</m:t>
                </m:r>
                <m:limLow>
                  <m:e>
                    <m:r>
                      <m:rPr>
                        <m:sty m:val="p"/>
                      </m:rPr>
                      <m:t>min</m:t>
                    </m:r>
                  </m:e>
                  <m:lim>
                    <m:r>
                      <m:t>λ</m:t>
                    </m:r>
                    <m:r>
                      <m:rPr>
                        <m:sty m:val="p"/>
                      </m:rPr>
                      <m:t>∈</m:t>
                    </m:r>
                    <m:r>
                      <m:t>Λ</m:t>
                    </m:r>
                  </m:lim>
                </m:limLow>
                <m:sSub>
                  <m:e>
                    <m:r>
                      <m:rPr>
                        <m:sty m:val="p"/>
                      </m:rPr>
                      <m:t>CV</m:t>
                    </m:r>
                  </m:e>
                  <m:sub>
                    <m:r>
                      <m:t>F</m:t>
                    </m:r>
                  </m:sub>
                </m:sSub>
                <m:d>
                  <m:dPr>
                    <m:begChr m:val="("/>
                    <m:endChr m:val=")"/>
                    <m:sepChr m:val=""/>
                    <m:grow/>
                  </m:dPr>
                  <m:e>
                    <m:r>
                      <m:t>λ</m:t>
                    </m:r>
                  </m:e>
                </m:d>
                <m:r>
                  <m:rPr>
                    <m:sty m:val="p"/>
                  </m:rPr>
                  <m:t>.</m:t>
                </m:r>
              </m:e>
            </m:mr>
          </m:m>
        </m:oMath>
      </m:oMathPara>
    </w:p>
    <w:p>
      <w:bookmarkStart w:id="620" w:name="equation36"/>
      <w:pPr>
        <w:pStyle w:val="EquationCaption"/>
      </w:pPr>
      <w:r>
        <w:t xml:space="preserve">Equation 36. Smoothing selection with training-only inferred forwards.</w:t>
      </w:r>
      <w:bookmarkEnd w:id="620"/>
    </w:p>
    <w:bookmarkEnd w:id="128"/>
    <w:bookmarkStart w:id="132" w:name="synthetic-acceptance-exercise"/>
    <w:p>
      <w:bookmarkStart w:id="621" w:name="h32"/>
      <w:pPr>
        <w:pStyle w:val="Heading2"/>
        <w:numPr>
          <w:ilvl w:val="1"/>
          <w:numId w:val="70"/>
        </w:numPr>
      </w:pPr>
      <w:bookmarkEnd w:id="621"/>
      <w:r>
        <w:t>Synthetic acceptance exercise</w:t>
      </w:r>
    </w:p>
    <w:p>
      <w:pPr>
        <w:pStyle w:val="FirstParagraph"/>
      </w:pPr>
      <w:r>
        <w:t xml:space="preserve">The fixture contains 282 invented quote rows: 41, 47 and 53 pairs across three nominal horizons. Prices come from the two-lognormal mixture. Each analytical price receives a half-spread equal to the smaller of 0.75 points and 8% of that price; a midpoint perturbation of at most one fifth of the half-spread leaves the known price inside the range. Seed entropy is (20260921, 9). Dates, sizes and identifiers test the input process and do not claim actual exchange observations.</w:t>
      </w:r>
    </w:p>
    <w:p>
      <w:pPr>
        <w:sectPr>
          <w:type w:val="nextPage"/>
          <w:pgSz w:w="11906" w:h="16838" w:orient="portrait"/>
          <w:pgMar w:top="1008" w:bottom="1008" w:left="1152" w:right="1152" w:header="432" w:footer="432" w:gutter="0"/>
          <w:pgNumType w:fmt="decimal"/>
        </w:sectPr>
        <w:spacing w:before="0" w:after="0" w:line="1" w:lineRule="exact"/>
      </w:pPr>
      <w:r>
        <w:rPr>
          <w:sz w:val="2"/>
        </w:rPr>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009"/>
        <w:gridCol w:w="2292"/>
        <w:gridCol w:w="2292"/>
        <w:gridCol w:w="2292"/>
        <w:gridCol w:w="2292"/>
        <w:gridCol w:w="2149"/>
      </w:tblGrid>
      <w:tr>
        <w:trPr>
          <w:tblHeader w:val="true"/>
          <w:cantSplit/>
          <w:tblHeader/>
        </w:trPr>
        <w:tc>
          <w:tcPr>
            <w:tcW w:type="dxa" w:w="3009"/>
            <w:vAlign w:val="center"/>
            <w:shd w:fill="E9EEF3"/>
          </w:tcPr>
          <w:p>
            <w:pPr>
              <w:pStyle w:val="Compact"/>
              <w:keepNext/>
              <w:keepLines/>
              <w:spacing w:after="40" w:before="40" w:line="252" w:lineRule="auto"/>
              <w:jc w:val="left"/>
            </w:pPr>
            <w:r>
              <w:rPr>
                <w:b/>
                <w:sz w:val="20"/>
              </w:rPr>
              <w:t xml:space="preserve">Nominal horizon</w:t>
            </w:r>
          </w:p>
        </w:tc>
        <w:tc>
          <w:tcPr>
            <w:tcW w:type="dxa" w:w="2292"/>
            <w:vAlign w:val="center"/>
            <w:shd w:fill="E9EEF3"/>
          </w:tcPr>
          <w:p>
            <w:pPr>
              <w:pStyle w:val="Compact"/>
              <w:keepNext/>
              <w:keepLines/>
              <w:spacing w:after="40" w:before="40" w:line="252" w:lineRule="auto"/>
              <w:jc w:val="right"/>
            </w:pPr>
            <w:r>
              <w:rPr>
                <w:b/>
                <w:sz w:val="20"/>
              </w:rPr>
              <w:t xml:space="preserve">Elapsed years</w:t>
            </w:r>
          </w:p>
        </w:tc>
        <w:tc>
          <w:tcPr>
            <w:tcW w:type="dxa" w:w="2292"/>
            <w:vAlign w:val="center"/>
            <w:shd w:fill="E9EEF3"/>
          </w:tcPr>
          <w:p>
            <w:pPr>
              <w:pStyle w:val="Compact"/>
              <w:keepNext/>
              <w:keepLines/>
              <w:spacing w:after="40" w:before="40" w:line="252" w:lineRule="auto"/>
              <w:jc w:val="right"/>
            </w:pPr>
            <w:r>
              <w:rPr>
                <w:b/>
                <w:sz w:val="20"/>
              </w:rPr>
              <w:t xml:space="preserve">Pairs</w:t>
            </w:r>
          </w:p>
        </w:tc>
        <w:tc>
          <w:tcPr>
            <w:tcW w:type="dxa" w:w="2292"/>
            <w:vAlign w:val="center"/>
            <w:shd w:fill="E9EEF3"/>
          </w:tcPr>
          <w:p>
            <w:pPr>
              <w:pStyle w:val="Compact"/>
              <w:keepNext/>
              <w:keepLines/>
              <w:spacing w:after="40" w:before="40" w:line="252" w:lineRule="auto"/>
              <w:jc w:val="left"/>
            </w:pPr>
            <w:r>
              <w:rPr>
                <w:b/>
                <w:sz w:val="20"/>
              </w:rPr>
              <w:t xml:space="preserve">Conditional forward interval</w:t>
            </w:r>
          </w:p>
        </w:tc>
        <w:tc>
          <w:tcPr>
            <w:tcW w:type="dxa" w:w="2292"/>
            <w:vAlign w:val="center"/>
            <w:shd w:fill="E9EEF3"/>
          </w:tcPr>
          <w:p>
            <w:pPr>
              <w:pStyle w:val="Compact"/>
              <w:keepNext/>
              <w:keepLines/>
              <w:spacing w:after="40" w:before="40" w:line="252" w:lineRule="auto"/>
              <w:jc w:val="right"/>
            </w:pPr>
            <w:r>
              <w:rPr>
                <w:b/>
                <w:sz w:val="20"/>
              </w:rPr>
              <w:t xml:space="preserve">Chosen forward</w:t>
            </w:r>
          </w:p>
        </w:tc>
        <w:tc>
          <w:tcPr>
            <w:tcW w:type="dxa" w:w="2149"/>
            <w:vAlign w:val="center"/>
            <w:shd w:fill="E9EEF3"/>
          </w:tcPr>
          <w:p>
            <w:pPr>
              <w:pStyle w:val="Compact"/>
              <w:keepNext/>
              <w:keepLines/>
              <w:spacing w:after="40" w:before="40" w:line="252" w:lineRule="auto"/>
              <w:jc w:val="right"/>
            </w:pPr>
            <w:r>
              <w:rPr>
                <w:b/>
                <w:sz w:val="20"/>
              </w:rPr>
              <w:t xml:space="preserve">Error from known forward</w:t>
            </w:r>
          </w:p>
        </w:tc>
      </w:tr>
      <w:tr>
        <w:trPr>
          <w:cantSplit/>
        </w:trPr>
        <w:tc>
          <w:tcPr>
            <w:tcW w:type="dxa" w:w="3009"/>
            <w:vAlign w:val="center"/>
          </w:tcPr>
          <w:p>
            <w:pPr>
              <w:pStyle w:val="Compact"/>
              <w:keepNext/>
              <w:keepLines/>
              <w:spacing w:after="40" w:before="40" w:line="252" w:lineRule="auto"/>
              <w:jc w:val="right"/>
            </w:pPr>
            <w:r>
              <w:rPr>
                <w:b w:val="0"/>
                <w:sz w:val="20"/>
              </w:rPr>
              <w:t xml:space="preserve">60 days</w:t>
            </w:r>
          </w:p>
        </w:tc>
        <w:tc>
          <w:tcPr>
            <w:tcW w:type="dxa" w:w="2292"/>
            <w:vAlign w:val="center"/>
          </w:tcPr>
          <w:p>
            <w:pPr>
              <w:pStyle w:val="Compact"/>
              <w:keepNext/>
              <w:keepLines/>
              <w:spacing w:after="40" w:before="40" w:line="252" w:lineRule="auto"/>
              <w:jc w:val="right"/>
            </w:pPr>
            <w:r>
              <w:rPr>
                <w:b w:val="0"/>
                <w:sz w:val="20"/>
              </w:rPr>
              <w:t xml:space="preserve">0.16429795</w:t>
            </w:r>
          </w:p>
        </w:tc>
        <w:tc>
          <w:tcPr>
            <w:tcW w:type="dxa" w:w="2292"/>
            <w:vAlign w:val="center"/>
          </w:tcPr>
          <w:p>
            <w:pPr>
              <w:pStyle w:val="Compact"/>
              <w:keepNext/>
              <w:keepLines/>
              <w:spacing w:after="40" w:before="40" w:line="252" w:lineRule="auto"/>
              <w:jc w:val="right"/>
            </w:pPr>
            <w:r>
              <w:rPr>
                <w:b w:val="0"/>
                <w:sz w:val="20"/>
              </w:rPr>
              <w:t xml:space="preserve">41</w:t>
            </w:r>
          </w:p>
        </w:tc>
        <w:tc>
          <w:tcPr>
            <w:tcW w:type="dxa" w:w="2292"/>
            <w:vAlign w:val="center"/>
          </w:tcPr>
          <w:p>
            <w:pPr>
              <w:pStyle w:val="Compact"/>
              <w:keepNext/>
              <w:keepLines/>
              <w:spacing w:after="40" w:before="40" w:line="252" w:lineRule="auto"/>
              <w:jc w:val="left"/>
            </w:pPr>
            <w:r>
              <w:rPr>
                <w:b w:val="0"/>
                <w:sz w:val="20"/>
              </w:rPr>
              <w:t xml:space="preserve">[6024.0571, 6025.3527]</w:t>
            </w:r>
          </w:p>
        </w:tc>
        <w:tc>
          <w:tcPr>
            <w:tcW w:type="dxa" w:w="2292"/>
            <w:vAlign w:val="center"/>
          </w:tcPr>
          <w:p>
            <w:pPr>
              <w:pStyle w:val="Compact"/>
              <w:keepNext/>
              <w:keepLines/>
              <w:spacing w:after="40" w:before="40" w:line="252" w:lineRule="auto"/>
              <w:jc w:val="right"/>
            </w:pPr>
            <w:r>
              <w:rPr>
                <w:b w:val="0"/>
                <w:sz w:val="20"/>
              </w:rPr>
              <w:t xml:space="preserve">6024.7049</w:t>
            </w:r>
          </w:p>
        </w:tc>
        <w:tc>
          <w:tcPr>
            <w:tcW w:type="dxa" w:w="2149"/>
            <w:vAlign w:val="center"/>
          </w:tcPr>
          <w:p>
            <w:pPr>
              <w:pStyle w:val="Compact"/>
              <w:keepNext/>
              <w:keepLines/>
              <w:spacing w:after="40" w:before="40" w:line="252" w:lineRule="auto"/>
              <w:jc w:val="right"/>
            </w:pPr>
            <w:r>
              <w:rPr>
                <w:b w:val="0"/>
                <w:sz w:val="20"/>
              </w:rPr>
              <w:t xml:space="preserve">+0.0095</w:t>
            </w:r>
          </w:p>
        </w:tc>
      </w:tr>
      <w:tr>
        <w:trPr>
          <w:cantSplit/>
        </w:trPr>
        <w:tc>
          <w:tcPr>
            <w:tcW w:type="dxa" w:w="3009"/>
            <w:vAlign w:val="center"/>
          </w:tcPr>
          <w:p>
            <w:pPr>
              <w:pStyle w:val="Compact"/>
              <w:keepNext/>
              <w:keepLines/>
              <w:spacing w:after="40" w:before="40" w:line="252" w:lineRule="auto"/>
              <w:jc w:val="right"/>
            </w:pPr>
            <w:r>
              <w:rPr>
                <w:b w:val="0"/>
                <w:sz w:val="20"/>
              </w:rPr>
              <w:t xml:space="preserve">120 days</w:t>
            </w:r>
          </w:p>
        </w:tc>
        <w:tc>
          <w:tcPr>
            <w:tcW w:type="dxa" w:w="2292"/>
            <w:vAlign w:val="center"/>
          </w:tcPr>
          <w:p>
            <w:pPr>
              <w:pStyle w:val="Compact"/>
              <w:keepNext/>
              <w:keepLines/>
              <w:spacing w:after="40" w:before="40" w:line="252" w:lineRule="auto"/>
              <w:jc w:val="right"/>
            </w:pPr>
            <w:r>
              <w:rPr>
                <w:b w:val="0"/>
                <w:sz w:val="20"/>
              </w:rPr>
              <w:t xml:space="preserve">0.32868151</w:t>
            </w:r>
          </w:p>
        </w:tc>
        <w:tc>
          <w:tcPr>
            <w:tcW w:type="dxa" w:w="2292"/>
            <w:vAlign w:val="center"/>
          </w:tcPr>
          <w:p>
            <w:pPr>
              <w:pStyle w:val="Compact"/>
              <w:keepNext/>
              <w:keepLines/>
              <w:spacing w:after="40" w:before="40" w:line="252" w:lineRule="auto"/>
              <w:jc w:val="right"/>
            </w:pPr>
            <w:r>
              <w:rPr>
                <w:b w:val="0"/>
                <w:sz w:val="20"/>
              </w:rPr>
              <w:t xml:space="preserve">47</w:t>
            </w:r>
          </w:p>
        </w:tc>
        <w:tc>
          <w:tcPr>
            <w:tcW w:type="dxa" w:w="2292"/>
            <w:vAlign w:val="center"/>
          </w:tcPr>
          <w:p>
            <w:pPr>
              <w:pStyle w:val="Compact"/>
              <w:keepNext/>
              <w:keepLines/>
              <w:spacing w:after="40" w:before="40" w:line="252" w:lineRule="auto"/>
              <w:jc w:val="left"/>
            </w:pPr>
            <w:r>
              <w:rPr>
                <w:b w:val="0"/>
                <w:sz w:val="20"/>
              </w:rPr>
              <w:t xml:space="preserve">[6048.6398, 6050.5771]</w:t>
            </w:r>
          </w:p>
        </w:tc>
        <w:tc>
          <w:tcPr>
            <w:tcW w:type="dxa" w:w="2292"/>
            <w:vAlign w:val="center"/>
          </w:tcPr>
          <w:p>
            <w:pPr>
              <w:pStyle w:val="Compact"/>
              <w:keepNext/>
              <w:keepLines/>
              <w:spacing w:after="40" w:before="40" w:line="252" w:lineRule="auto"/>
              <w:jc w:val="right"/>
            </w:pPr>
            <w:r>
              <w:rPr>
                <w:b w:val="0"/>
                <w:sz w:val="20"/>
              </w:rPr>
              <w:t xml:space="preserve">6049.6084</w:t>
            </w:r>
          </w:p>
        </w:tc>
        <w:tc>
          <w:tcPr>
            <w:tcW w:type="dxa" w:w="2149"/>
            <w:vAlign w:val="center"/>
          </w:tcPr>
          <w:p>
            <w:pPr>
              <w:pStyle w:val="Compact"/>
              <w:keepNext/>
              <w:keepLines/>
              <w:spacing w:after="40" w:before="40" w:line="252" w:lineRule="auto"/>
              <w:jc w:val="right"/>
            </w:pPr>
            <w:r>
              <w:rPr>
                <w:b w:val="0"/>
                <w:sz w:val="20"/>
              </w:rPr>
              <w:t xml:space="preserve">+0.1031</w:t>
            </w:r>
          </w:p>
        </w:tc>
      </w:tr>
      <w:tr>
        <w:trPr>
          <w:cantSplit/>
        </w:trPr>
        <w:tc>
          <w:tcPr>
            <w:tcW w:type="dxa" w:w="3009"/>
            <w:vAlign w:val="center"/>
          </w:tcPr>
          <w:p>
            <w:pPr>
              <w:pStyle w:val="Compact"/>
              <w:keepNext/>
              <w:keepLines/>
              <w:spacing w:after="40" w:before="40" w:line="252" w:lineRule="auto"/>
              <w:jc w:val="right"/>
            </w:pPr>
            <w:r>
              <w:rPr>
                <w:b w:val="0"/>
                <w:sz w:val="20"/>
              </w:rPr>
              <w:t xml:space="preserve">240 days</w:t>
            </w:r>
          </w:p>
        </w:tc>
        <w:tc>
          <w:tcPr>
            <w:tcW w:type="dxa" w:w="2292"/>
            <w:vAlign w:val="center"/>
          </w:tcPr>
          <w:p>
            <w:pPr>
              <w:pStyle w:val="Compact"/>
              <w:keepNext/>
              <w:keepLines/>
              <w:spacing w:after="40" w:before="40" w:line="252" w:lineRule="auto"/>
              <w:jc w:val="right"/>
            </w:pPr>
            <w:r>
              <w:rPr>
                <w:b w:val="0"/>
                <w:sz w:val="20"/>
              </w:rPr>
              <w:t xml:space="preserve">0.65744863</w:t>
            </w:r>
          </w:p>
        </w:tc>
        <w:tc>
          <w:tcPr>
            <w:tcW w:type="dxa" w:w="2292"/>
            <w:vAlign w:val="center"/>
          </w:tcPr>
          <w:p>
            <w:pPr>
              <w:pStyle w:val="Compact"/>
              <w:keepNext/>
              <w:keepLines/>
              <w:spacing w:after="40" w:before="40" w:line="252" w:lineRule="auto"/>
              <w:jc w:val="right"/>
            </w:pPr>
            <w:r>
              <w:rPr>
                <w:b w:val="0"/>
                <w:sz w:val="20"/>
              </w:rPr>
              <w:t xml:space="preserve">53</w:t>
            </w:r>
          </w:p>
        </w:tc>
        <w:tc>
          <w:tcPr>
            <w:tcW w:type="dxa" w:w="2292"/>
            <w:vAlign w:val="center"/>
          </w:tcPr>
          <w:p>
            <w:pPr>
              <w:pStyle w:val="Compact"/>
              <w:keepNext/>
              <w:keepLines/>
              <w:spacing w:after="40" w:before="40" w:line="252" w:lineRule="auto"/>
              <w:jc w:val="left"/>
            </w:pPr>
            <w:r>
              <w:rPr>
                <w:b w:val="0"/>
                <w:sz w:val="20"/>
              </w:rPr>
              <w:t xml:space="preserve">[6098.1441, 6100.6864]</w:t>
            </w:r>
          </w:p>
        </w:tc>
        <w:tc>
          <w:tcPr>
            <w:tcW w:type="dxa" w:w="2292"/>
            <w:vAlign w:val="center"/>
          </w:tcPr>
          <w:p>
            <w:pPr>
              <w:pStyle w:val="Compact"/>
              <w:keepNext/>
              <w:keepLines/>
              <w:spacing w:after="40" w:before="40" w:line="252" w:lineRule="auto"/>
              <w:jc w:val="right"/>
            </w:pPr>
            <w:r>
              <w:rPr>
                <w:b w:val="0"/>
                <w:sz w:val="20"/>
              </w:rPr>
              <w:t xml:space="preserve">6099.4153</w:t>
            </w:r>
          </w:p>
        </w:tc>
        <w:tc>
          <w:tcPr>
            <w:tcW w:type="dxa" w:w="2149"/>
            <w:vAlign w:val="center"/>
          </w:tcPr>
          <w:p>
            <w:pPr>
              <w:pStyle w:val="Compact"/>
              <w:keepNext/>
              <w:keepLines/>
              <w:spacing w:after="40" w:before="40" w:line="252" w:lineRule="auto"/>
              <w:jc w:val="right"/>
            </w:pPr>
            <w:r>
              <w:rPr>
                <w:b w:val="0"/>
                <w:sz w:val="20"/>
              </w:rPr>
              <w:t xml:space="preserve">-0.0169</w:t>
            </w:r>
          </w:p>
        </w:tc>
      </w:tr>
    </w:tbl>
    <w:p>
      <w:bookmarkStart w:id="622" w:name="table23"/>
      <w:pPr>
        <w:pStyle w:val="TableCaption"/>
      </w:pPr>
      <w:r>
        <w:t xml:space="preserve">Table 23. Verified synthetic input pairs and full-data forward inference. Interval endpoints, forward estimates and forward errors are in index points. Known forwards are available only for the fixture.</w:t>
      </w:r>
      <w:bookmarkEnd w:id="622"/>
    </w:p>
    <w:p>
      <w:pPr>
        <w:sectPr>
          <w:type w:val="nextPage"/>
          <w:pgSz w:w="16838" w:h="11906" w:orient="landscape"/>
          <w:pgMar w:top="1008" w:bottom="1008" w:left="1152" w:right="1152" w:header="432" w:footer="432" w:gutter="0"/>
          <w:pgNumType w:fmt="decimal"/>
        </w:sectPr>
        <w:spacing w:before="0" w:after="0" w:line="1" w:lineRule="exact"/>
      </w:pPr>
      <w:r>
        <w:rPr>
          <w:sz w:val="2"/>
        </w:rPr>
      </w:r>
    </w:p>
    <w:p>
      <w:pPr>
        <w:pStyle w:val="BodyText"/>
      </w:pPr>
      <w:r>
        <w:t xml:space="preserve">The three candidate scores select</w:t>
      </w:r>
      <w:r>
        <w:t xml:space="preserve"> </w:t>
      </w:r>
      <m:oMath>
        <m:sSup>
          <m:e>
            <m:r>
              <m:t>10</m:t>
            </m:r>
          </m:e>
          <m:sup>
            <m:r>
              <m:rPr>
                <m:sty m:val="p"/>
              </m:rPr>
              <m:t>−</m:t>
            </m:r>
            <m:r>
              <m:t>7</m:t>
            </m:r>
          </m:sup>
        </m:sSup>
      </m:oMath>
      <w:r>
        <w:t xml:space="preserve">, the lower grid boundary. Nine training fits and one refit produce ten accepted joint fits. Separate analytical prices at 138 strike midpoints and the known density are used only after fitting. Equation (37) defines a point-distance diagnostic for both option types, including puts inferred from parity.</w:t>
      </w:r>
    </w:p>
    <w:p>
      <w:pPr>
        <w:pStyle w:val="BodyText"/>
        <w:keepNext/>
        <w:spacing w:before="120" w:after="40"/>
        <w:jc w:val="center"/>
      </w:pPr>
      <m:oMathPara>
        <m:oMathParaPr>
          <m:jc m:val="center"/>
        </m:oMathParaPr>
        <m:oMath>
          <m:sSubSup>
            <m:e>
              <m:r>
                <m:t>d</m:t>
              </m:r>
            </m:e>
            <m:sub>
              <m:r>
                <m:t>m</m:t>
              </m:r>
              <m:r>
                <m:t>i</m:t>
              </m:r>
              <m:r>
                <m:rPr>
                  <m:sty m:val="p"/>
                </m:rPr>
                <m:t>,</m:t>
              </m:r>
              <m:r>
                <m:t>o</m:t>
              </m:r>
            </m:sub>
            <m:sup>
              <m:r>
                <m:rPr>
                  <m:sty m:val="p"/>
                </m:rPr>
                <m:t>s</m:t>
              </m:r>
              <m:r>
                <m:rPr>
                  <m:sty m:val="p"/>
                </m:rPr>
                <m:t>p</m:t>
              </m:r>
              <m:r>
                <m:rPr>
                  <m:sty m:val="p"/>
                </m:rPr>
                <m:t>r</m:t>
              </m:r>
              <m:r>
                <m:rPr>
                  <m:sty m:val="p"/>
                </m:rPr>
                <m:t>e</m:t>
              </m:r>
              <m:r>
                <m:rPr>
                  <m:sty m:val="p"/>
                </m:rPr>
                <m:t>a</m:t>
              </m:r>
              <m:r>
                <m:rPr>
                  <m:sty m:val="p"/>
                </m:rPr>
                <m:t>d</m:t>
              </m:r>
            </m:sup>
          </m:sSubSup>
          <m:r>
            <m:rPr>
              <m:sty m:val="p"/>
            </m:rPr>
            <m:t>=</m:t>
          </m:r>
          <m:r>
            <m:rPr>
              <m:sty m:val="p"/>
            </m:rPr>
            <m:t>max</m:t>
          </m:r>
          <m:r>
            <m:rPr>
              <m:sty m:val="p"/>
            </m:rPr>
            <m:t>{</m:t>
          </m:r>
          <m:sSub>
            <m:e>
              <m:r>
                <m:t>B</m:t>
              </m:r>
            </m:e>
            <m:sub>
              <m:r>
                <m:t>m</m:t>
              </m:r>
              <m:r>
                <m:t>i</m:t>
              </m:r>
              <m:r>
                <m:rPr>
                  <m:sty m:val="p"/>
                </m:rPr>
                <m:t>,</m:t>
              </m:r>
              <m:r>
                <m:t>o</m:t>
              </m:r>
            </m:sub>
          </m:sSub>
          <m:r>
            <m:rPr>
              <m:sty m:val="p"/>
            </m:rPr>
            <m:t>−</m:t>
          </m:r>
          <m:sSub>
            <m:e>
              <m:acc>
                <m:accPr>
                  <m:chr m:val="̂"/>
                </m:accPr>
                <m:e>
                  <m:r>
                    <m:t>V</m:t>
                  </m:r>
                </m:e>
              </m:acc>
            </m:e>
            <m:sub>
              <m:r>
                <m:t>m</m:t>
              </m:r>
              <m:r>
                <m:t>i</m:t>
              </m:r>
              <m:r>
                <m:rPr>
                  <m:sty m:val="p"/>
                </m:rPr>
                <m:t>,</m:t>
              </m:r>
              <m:r>
                <m:t>o</m:t>
              </m:r>
            </m:sub>
          </m:sSub>
          <m:r>
            <m:rPr>
              <m:sty m:val="p"/>
            </m:rPr>
            <m:t>,</m:t>
          </m:r>
          <m:r>
            <m:t> </m:t>
          </m:r>
          <m:sSub>
            <m:e>
              <m:acc>
                <m:accPr>
                  <m:chr m:val="̂"/>
                </m:accPr>
                <m:e>
                  <m:r>
                    <m:t>V</m:t>
                  </m:r>
                </m:e>
              </m:acc>
            </m:e>
            <m:sub>
              <m:r>
                <m:t>m</m:t>
              </m:r>
              <m:r>
                <m:t>i</m:t>
              </m:r>
              <m:r>
                <m:rPr>
                  <m:sty m:val="p"/>
                </m:rPr>
                <m:t>,</m:t>
              </m:r>
              <m:r>
                <m:t>o</m:t>
              </m:r>
            </m:sub>
          </m:sSub>
          <m:r>
            <m:rPr>
              <m:sty m:val="p"/>
            </m:rPr>
            <m:t>−</m:t>
          </m:r>
          <m:sSub>
            <m:e>
              <m:r>
                <m:t>A</m:t>
              </m:r>
            </m:e>
            <m:sub>
              <m:r>
                <m:t>m</m:t>
              </m:r>
              <m:r>
                <m:t>i</m:t>
              </m:r>
              <m:r>
                <m:rPr>
                  <m:sty m:val="p"/>
                </m:rPr>
                <m:t>,</m:t>
              </m:r>
              <m:r>
                <m:t>o</m:t>
              </m:r>
            </m:sub>
          </m:sSub>
          <m:r>
            <m:rPr>
              <m:sty m:val="p"/>
            </m:rPr>
            <m:t>,</m:t>
          </m:r>
          <m:r>
            <m:t> </m:t>
          </m:r>
          <m:r>
            <m:t>0</m:t>
          </m:r>
          <m:r>
            <m:rPr>
              <m:sty m:val="p"/>
            </m:rPr>
            <m:t>}</m:t>
          </m:r>
          <m:r>
            <m:rPr>
              <m:sty m:val="p"/>
            </m:rPr>
            <m:t>.</m:t>
          </m:r>
        </m:oMath>
      </m:oMathPara>
    </w:p>
    <w:p>
      <w:bookmarkStart w:id="623" w:name="equation37"/>
      <w:pPr>
        <w:pStyle w:val="EquationCaption"/>
      </w:pPr>
      <w:r>
        <w:t xml:space="preserve">Equation 37. Fitted option-price distance outside its bid–ask range.</w:t>
      </w:r>
      <w:bookmarkEnd w:id="623"/>
    </w:p>
    <w:p>
      <w:pPr>
        <w:sectPr>
          <w:type w:val="nextPage"/>
          <w:pgSz w:w="11906" w:h="16838" w:orient="portrait"/>
          <w:pgMar w:top="1008" w:bottom="1008" w:left="1152" w:right="1152" w:header="432" w:footer="432" w:gutter="0"/>
          <w:pgNumType w:fmt="decimal"/>
        </w:sectPr>
        <w:spacing w:before="0" w:after="0" w:line="1" w:lineRule="exact"/>
      </w:pPr>
      <w:r>
        <w:rPr>
          <w:sz w:val="2"/>
        </w:rPr>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152"/>
        <w:gridCol w:w="3152"/>
        <w:gridCol w:w="2866"/>
        <w:gridCol w:w="2579"/>
        <w:gridCol w:w="2579"/>
      </w:tblGrid>
      <w:tr>
        <w:trPr>
          <w:tblHeader w:val="true"/>
          <w:cantSplit/>
          <w:tblHeader/>
        </w:trPr>
        <w:tc>
          <w:tcPr>
            <w:tcW w:type="dxa" w:w="3152"/>
            <w:vAlign w:val="center"/>
            <w:shd w:fill="E9EEF3"/>
          </w:tcPr>
          <w:p>
            <w:pPr>
              <w:pStyle w:val="Compact"/>
              <w:keepNext/>
              <w:keepLines/>
              <w:spacing w:after="40" w:before="40" w:line="252" w:lineRule="auto"/>
              <w:jc w:val="left"/>
            </w:pPr>
            <w:r>
              <w:rPr>
                <w:b/>
                <w:sz w:val="20"/>
              </w:rPr>
              <w:t xml:space="preserve">Nominal horizon</w:t>
            </w:r>
          </w:p>
        </w:tc>
        <w:tc>
          <w:tcPr>
            <w:tcW w:type="dxa" w:w="3152"/>
            <w:vAlign w:val="center"/>
            <w:shd w:fill="E9EEF3"/>
          </w:tcPr>
          <w:p>
            <w:pPr>
              <w:pStyle w:val="Compact"/>
              <w:keepNext/>
              <w:keepLines/>
              <w:spacing w:after="40" w:before="40" w:line="252" w:lineRule="auto"/>
              <w:jc w:val="right"/>
            </w:pPr>
            <w:r>
              <w:rPr>
                <w:b/>
                <w:sz w:val="20"/>
              </w:rPr>
              <w:t xml:space="preserve">Separate clean-price RMSE (points)</w:t>
            </w:r>
          </w:p>
        </w:tc>
        <w:tc>
          <w:tcPr>
            <w:tcW w:type="dxa" w:w="2866"/>
            <w:vAlign w:val="center"/>
            <w:shd w:fill="E9EEF3"/>
          </w:tcPr>
          <w:p>
            <w:pPr>
              <w:pStyle w:val="Compact"/>
              <w:keepNext/>
              <w:keepLines/>
              <w:spacing w:after="40" w:before="40" w:line="252" w:lineRule="auto"/>
              <w:jc w:val="right"/>
            </w:pPr>
            <w:r>
              <w:rPr>
                <w:b/>
                <w:sz w:val="20"/>
              </w:rPr>
              <w:t xml:space="preserve">Full-domain density L1</w:t>
            </w:r>
          </w:p>
        </w:tc>
        <w:tc>
          <w:tcPr>
            <w:tcW w:type="dxa" w:w="2579"/>
            <w:vAlign w:val="center"/>
            <w:shd w:fill="E9EEF3"/>
          </w:tcPr>
          <w:p>
            <w:pPr>
              <w:pStyle w:val="Compact"/>
              <w:keepNext/>
              <w:keepLines/>
              <w:spacing w:after="40" w:before="40" w:line="252" w:lineRule="auto"/>
              <w:jc w:val="right"/>
            </w:pPr>
            <w:r>
              <w:rPr>
                <w:b/>
                <w:sz w:val="20"/>
              </w:rPr>
              <w:t xml:space="preserve">Quotes outside spread</w:t>
            </w:r>
          </w:p>
        </w:tc>
        <w:tc>
          <w:tcPr>
            <w:tcW w:type="dxa" w:w="2579"/>
            <w:vAlign w:val="center"/>
            <w:shd w:fill="E9EEF3"/>
          </w:tcPr>
          <w:p>
            <w:pPr>
              <w:pStyle w:val="Compact"/>
              <w:keepNext/>
              <w:keepLines/>
              <w:spacing w:after="40" w:before="40" w:line="252" w:lineRule="auto"/>
              <w:jc w:val="right"/>
            </w:pPr>
            <w:r>
              <w:rPr>
                <w:b/>
                <w:sz w:val="20"/>
              </w:rPr>
              <w:t xml:space="preserve">Largest spread distance (points)</w:t>
            </w:r>
          </w:p>
        </w:tc>
      </w:tr>
      <w:tr>
        <w:trPr>
          <w:cantSplit/>
        </w:trPr>
        <w:tc>
          <w:tcPr>
            <w:tcW w:type="dxa" w:w="3152"/>
            <w:vAlign w:val="center"/>
          </w:tcPr>
          <w:p>
            <w:pPr>
              <w:pStyle w:val="Compact"/>
              <w:keepNext/>
              <w:keepLines/>
              <w:spacing w:after="40" w:before="40" w:line="252" w:lineRule="auto"/>
              <w:jc w:val="right"/>
            </w:pPr>
            <w:r>
              <w:rPr>
                <w:b w:val="0"/>
                <w:sz w:val="20"/>
              </w:rPr>
              <w:t xml:space="preserve">60 days</w:t>
            </w:r>
          </w:p>
        </w:tc>
        <w:tc>
          <w:tcPr>
            <w:tcW w:type="dxa" w:w="3152"/>
            <w:vAlign w:val="center"/>
          </w:tcPr>
          <w:p>
            <w:pPr>
              <w:pStyle w:val="Compact"/>
              <w:keepNext/>
              <w:keepLines/>
              <w:spacing w:after="40" w:before="40" w:line="252" w:lineRule="auto"/>
              <w:jc w:val="right"/>
            </w:pPr>
            <w:r>
              <w:rPr>
                <w:b w:val="0"/>
                <w:sz w:val="20"/>
              </w:rPr>
              <w:t xml:space="preserve">0.05257</w:t>
            </w:r>
          </w:p>
        </w:tc>
        <w:tc>
          <w:tcPr>
            <w:tcW w:type="dxa" w:w="2866"/>
            <w:vAlign w:val="center"/>
          </w:tcPr>
          <w:p>
            <w:pPr>
              <w:pStyle w:val="Compact"/>
              <w:keepNext/>
              <w:keepLines/>
              <w:spacing w:after="40" w:before="40" w:line="252" w:lineRule="auto"/>
              <w:jc w:val="right"/>
            </w:pPr>
            <w:r>
              <w:rPr>
                <w:b w:val="0"/>
                <w:sz w:val="20"/>
              </w:rPr>
              <w:t xml:space="preserve">0.04960</w:t>
            </w:r>
          </w:p>
        </w:tc>
        <w:tc>
          <w:tcPr>
            <w:tcW w:type="dxa" w:w="2579"/>
            <w:vAlign w:val="center"/>
          </w:tcPr>
          <w:p>
            <w:pPr>
              <w:pStyle w:val="Compact"/>
              <w:keepNext/>
              <w:keepLines/>
              <w:spacing w:after="40" w:before="40" w:line="252" w:lineRule="auto"/>
              <w:jc w:val="right"/>
            </w:pPr>
            <w:r>
              <w:rPr>
                <w:b w:val="0"/>
                <w:sz w:val="20"/>
              </w:rPr>
              <w:t xml:space="preserve">1 / 82</w:t>
            </w:r>
          </w:p>
        </w:tc>
        <w:tc>
          <w:tcPr>
            <w:tcW w:type="dxa" w:w="2579"/>
            <w:vAlign w:val="center"/>
          </w:tcPr>
          <w:p>
            <w:pPr>
              <w:pStyle w:val="Compact"/>
              <w:keepNext/>
              <w:keepLines/>
              <w:spacing w:after="40" w:before="40" w:line="252" w:lineRule="auto"/>
              <w:jc w:val="right"/>
            </w:pPr>
            <w:r>
              <w:rPr>
                <w:b w:val="0"/>
                <w:sz w:val="20"/>
              </w:rPr>
              <w:t xml:space="preserve">0.01993</w:t>
            </w:r>
          </w:p>
        </w:tc>
      </w:tr>
      <w:tr>
        <w:trPr>
          <w:cantSplit/>
        </w:trPr>
        <w:tc>
          <w:tcPr>
            <w:tcW w:type="dxa" w:w="3152"/>
            <w:vAlign w:val="center"/>
          </w:tcPr>
          <w:p>
            <w:pPr>
              <w:pStyle w:val="Compact"/>
              <w:keepNext/>
              <w:keepLines/>
              <w:spacing w:after="40" w:before="40" w:line="252" w:lineRule="auto"/>
              <w:jc w:val="right"/>
            </w:pPr>
            <w:r>
              <w:rPr>
                <w:b w:val="0"/>
                <w:sz w:val="20"/>
              </w:rPr>
              <w:t xml:space="preserve">120 days</w:t>
            </w:r>
          </w:p>
        </w:tc>
        <w:tc>
          <w:tcPr>
            <w:tcW w:type="dxa" w:w="3152"/>
            <w:vAlign w:val="center"/>
          </w:tcPr>
          <w:p>
            <w:pPr>
              <w:pStyle w:val="Compact"/>
              <w:keepNext/>
              <w:keepLines/>
              <w:spacing w:after="40" w:before="40" w:line="252" w:lineRule="auto"/>
              <w:jc w:val="right"/>
            </w:pPr>
            <w:r>
              <w:rPr>
                <w:b w:val="0"/>
                <w:sz w:val="20"/>
              </w:rPr>
              <w:t xml:space="preserve">0.05195</w:t>
            </w:r>
          </w:p>
        </w:tc>
        <w:tc>
          <w:tcPr>
            <w:tcW w:type="dxa" w:w="2866"/>
            <w:vAlign w:val="center"/>
          </w:tcPr>
          <w:p>
            <w:pPr>
              <w:pStyle w:val="Compact"/>
              <w:keepNext/>
              <w:keepLines/>
              <w:spacing w:after="40" w:before="40" w:line="252" w:lineRule="auto"/>
              <w:jc w:val="right"/>
            </w:pPr>
            <w:r>
              <w:rPr>
                <w:b w:val="0"/>
                <w:sz w:val="20"/>
              </w:rPr>
              <w:t xml:space="preserve">0.04411</w:t>
            </w:r>
          </w:p>
        </w:tc>
        <w:tc>
          <w:tcPr>
            <w:tcW w:type="dxa" w:w="2579"/>
            <w:vAlign w:val="center"/>
          </w:tcPr>
          <w:p>
            <w:pPr>
              <w:pStyle w:val="Compact"/>
              <w:keepNext/>
              <w:keepLines/>
              <w:spacing w:after="40" w:before="40" w:line="252" w:lineRule="auto"/>
              <w:jc w:val="right"/>
            </w:pPr>
            <w:r>
              <w:rPr>
                <w:b w:val="0"/>
                <w:sz w:val="20"/>
              </w:rPr>
              <w:t xml:space="preserve">0 / 94</w:t>
            </w:r>
          </w:p>
        </w:tc>
        <w:tc>
          <w:tcPr>
            <w:tcW w:type="dxa" w:w="2579"/>
            <w:vAlign w:val="center"/>
          </w:tcPr>
          <w:p>
            <w:pPr>
              <w:pStyle w:val="Compact"/>
              <w:keepNext/>
              <w:keepLines/>
              <w:spacing w:after="40" w:before="40" w:line="252" w:lineRule="auto"/>
              <w:jc w:val="right"/>
            </w:pPr>
            <w:r>
              <w:rPr>
                <w:b w:val="0"/>
                <w:sz w:val="20"/>
              </w:rPr>
              <w:t xml:space="preserve">0.00000</w:t>
            </w:r>
          </w:p>
        </w:tc>
      </w:tr>
      <w:tr>
        <w:trPr>
          <w:cantSplit/>
        </w:trPr>
        <w:tc>
          <w:tcPr>
            <w:tcW w:type="dxa" w:w="3152"/>
            <w:vAlign w:val="center"/>
          </w:tcPr>
          <w:p>
            <w:pPr>
              <w:pStyle w:val="Compact"/>
              <w:keepNext/>
              <w:keepLines/>
              <w:spacing w:after="40" w:before="40" w:line="252" w:lineRule="auto"/>
              <w:jc w:val="right"/>
            </w:pPr>
            <w:r>
              <w:rPr>
                <w:b w:val="0"/>
                <w:sz w:val="20"/>
              </w:rPr>
              <w:t xml:space="preserve">240 days</w:t>
            </w:r>
          </w:p>
        </w:tc>
        <w:tc>
          <w:tcPr>
            <w:tcW w:type="dxa" w:w="3152"/>
            <w:vAlign w:val="center"/>
          </w:tcPr>
          <w:p>
            <w:pPr>
              <w:pStyle w:val="Compact"/>
              <w:keepNext/>
              <w:keepLines/>
              <w:spacing w:after="40" w:before="40" w:line="252" w:lineRule="auto"/>
              <w:jc w:val="right"/>
            </w:pPr>
            <w:r>
              <w:rPr>
                <w:b w:val="0"/>
                <w:sz w:val="20"/>
              </w:rPr>
              <w:t xml:space="preserve">0.03808</w:t>
            </w:r>
          </w:p>
        </w:tc>
        <w:tc>
          <w:tcPr>
            <w:tcW w:type="dxa" w:w="2866"/>
            <w:vAlign w:val="center"/>
          </w:tcPr>
          <w:p>
            <w:pPr>
              <w:pStyle w:val="Compact"/>
              <w:keepNext/>
              <w:keepLines/>
              <w:spacing w:after="40" w:before="40" w:line="252" w:lineRule="auto"/>
              <w:jc w:val="right"/>
            </w:pPr>
            <w:r>
              <w:rPr>
                <w:b w:val="0"/>
                <w:sz w:val="20"/>
              </w:rPr>
              <w:t xml:space="preserve">0.06150</w:t>
            </w:r>
          </w:p>
        </w:tc>
        <w:tc>
          <w:tcPr>
            <w:tcW w:type="dxa" w:w="2579"/>
            <w:vAlign w:val="center"/>
          </w:tcPr>
          <w:p>
            <w:pPr>
              <w:pStyle w:val="Compact"/>
              <w:keepNext/>
              <w:keepLines/>
              <w:spacing w:after="40" w:before="40" w:line="252" w:lineRule="auto"/>
              <w:jc w:val="right"/>
            </w:pPr>
            <w:r>
              <w:rPr>
                <w:b w:val="0"/>
                <w:sz w:val="20"/>
              </w:rPr>
              <w:t xml:space="preserve">0 / 106</w:t>
            </w:r>
          </w:p>
        </w:tc>
        <w:tc>
          <w:tcPr>
            <w:tcW w:type="dxa" w:w="2579"/>
            <w:vAlign w:val="center"/>
          </w:tcPr>
          <w:p>
            <w:pPr>
              <w:pStyle w:val="Compact"/>
              <w:keepNext/>
              <w:keepLines/>
              <w:spacing w:after="40" w:before="40" w:line="252" w:lineRule="auto"/>
              <w:jc w:val="right"/>
            </w:pPr>
            <w:r>
              <w:rPr>
                <w:b w:val="0"/>
                <w:sz w:val="20"/>
              </w:rPr>
              <w:t xml:space="preserve">0.00000</w:t>
            </w:r>
          </w:p>
        </w:tc>
      </w:tr>
    </w:tbl>
    <w:p>
      <w:bookmarkStart w:id="624" w:name="table24"/>
      <w:pPr>
        <w:pStyle w:val="TableCaption"/>
      </w:pPr>
      <w:r>
        <w:t xml:space="preserve">Table 24. Independent fixture recovery and in-sample spread diagnostics. The clean-price column uses separate strike midpoints. The spread columns assess the supplied input quotes; the two roles should not be conflated.</w:t>
      </w:r>
      <w:bookmarkEnd w:id="624"/>
    </w:p>
    <w:p>
      <w:pPr>
        <w:sectPr>
          <w:type w:val="nextPage"/>
          <w:pgSz w:w="16838" w:h="11906" w:orient="landscape"/>
          <w:pgMar w:top="1008" w:bottom="1008" w:left="1152" w:right="1152" w:header="432" w:footer="432" w:gutter="0"/>
          <w:pgNumType w:fmt="decimal"/>
        </w:sectPr>
        <w:spacing w:before="0" w:after="0" w:line="1" w:lineRule="exact"/>
      </w:pPr>
      <w:r>
        <w:rPr>
          <w:sz w:val="2"/>
        </w:rPr>
      </w:r>
    </w:p>
    <w:p>
      <w:pPr>
        <w:pStyle w:val="BodyText"/>
        <w:keepNext/>
        <w:spacing w:after="40"/>
        <w:jc w:val="center"/>
      </w:pPr>
      <w:r>
        <w:drawing>
          <wp:inline>
            <wp:extent cx="5334000" cy="3085785"/>
            <wp:effectExtent b="0" l="0" r="0" t="0"/>
            <wp:docPr descr="Synthetic input-fixture density recovery and bid–ask residuals" title="" id="130" name="Picture"/>
            <a:graphic>
              <a:graphicData uri="http://schemas.openxmlformats.org/drawingml/2006/picture">
                <pic:pic>
                  <pic:nvPicPr>
                    <pic:cNvPr descr="/workspace/scratch/62b9274b9d7e/spx-density-research/figures/figure_25_fixture_density_and_spreads.png" id="131" name="Picture"/>
                    <pic:cNvPicPr>
                      <a:picLocks noChangeArrowheads="1" noChangeAspect="1"/>
                    </pic:cNvPicPr>
                  </pic:nvPicPr>
                  <pic:blipFill>
                    <a:blip r:embed="rId129"/>
                    <a:stretch>
                      <a:fillRect/>
                    </a:stretch>
                  </pic:blipFill>
                  <pic:spPr bwMode="auto">
                    <a:xfrm>
                      <a:off x="0" y="0"/>
                      <a:ext cx="5334000" cy="3085785"/>
                    </a:xfrm>
                    <a:prstGeom prst="rect">
                      <a:avLst/>
                    </a:prstGeom>
                    <a:noFill/>
                    <a:ln w="9525">
                      <a:noFill/>
                      <a:headEnd/>
                      <a:tailEnd/>
                    </a:ln>
                  </pic:spPr>
                </pic:pic>
              </a:graphicData>
            </a:graphic>
          </wp:inline>
        </w:drawing>
      </w:r>
    </w:p>
    <w:p>
      <w:bookmarkStart w:id="625" w:name="figure25"/>
      <w:pPr>
        <w:pStyle w:val="FigureCaption"/>
      </w:pPr>
      <w:r>
        <w:t xml:space="preserve">Figure 25. Density recovery and quote-range checks in the synthetic fixture. The upper panels compare the fitted histogram with the known mixture in fixed reference-forward coordinates. Only</w:t>
      </w:r>
      <w:r>
        <w:t xml:space="preserve"> </w:t>
      </w:r>
      <m:oMath>
        <m:r>
          <m:t>0.4</m:t>
        </m:r>
      </m:oMath>
      <w:r>
        <w:t xml:space="preserve">–</w:t>
      </w:r>
      <m:oMath>
        <m:r>
          <m:t>1.8</m:t>
        </m:r>
      </m:oMath>
      <w:r>
        <w:t xml:space="preserve"> </w:t>
      </w:r>
      <w:r>
        <w:t xml:space="preserve">is displayed; Table 24’s density error covers the full positive domain. The lower panels divide midpoint residuals by each quote’s half-spread: values between</w:t>
      </w:r>
      <w:r>
        <w:t xml:space="preserve"> </w:t>
      </w:r>
      <m:oMath>
        <m:r>
          <m:rPr>
            <m:sty m:val="p"/>
          </m:rPr>
          <m:t>−</m:t>
        </m:r>
        <m:r>
          <m:t>1</m:t>
        </m:r>
      </m:oMath>
      <w:r>
        <w:t xml:space="preserve"> </w:t>
      </w:r>
      <w:r>
        <w:t xml:space="preserve">and</w:t>
      </w:r>
      <w:r>
        <w:t xml:space="preserve"> </w:t>
      </w:r>
      <m:oMath>
        <m:r>
          <m:t>1</m:t>
        </m:r>
      </m:oMath>
      <w:r>
        <w:t xml:space="preserve"> </w:t>
      </w:r>
      <w:r>
        <w:t xml:space="preserve">lie inside the bid/ask interval. Both option types are shown. Half-spreads are positive in this fixture; the stored point-distance diagnostic also works for a valid zero-width quote.</w:t>
      </w:r>
      <w:bookmarkEnd w:id="625"/>
    </w:p>
    <w:p>
      <w:pPr>
        <w:sectPr>
          <w:type w:val="nextPage"/>
          <w:pgSz w:w="16838" w:h="11906" w:orient="landscape"/>
          <w:pgMar w:top="1008" w:bottom="1008" w:left="1152" w:right="1152" w:header="432" w:footer="432" w:gutter="0"/>
          <w:pgNumType w:fmt="decimal"/>
        </w:sectPr>
        <w:spacing w:before="0" w:after="0" w:line="1" w:lineRule="exact"/>
      </w:pPr>
      <w:r>
        <w:rPr>
          <w:sz w:val="2"/>
        </w:rPr>
      </w:r>
    </w:p>
    <w:p>
      <w:pPr>
        <w:pStyle w:val="BodyText"/>
      </w:pPr>
      <w:r>
        <w:t xml:space="preserve">One fitted price lies approximately 0.01993 points outside its quoted range. The result is retained. Parity compatibility does not imply that a regularised midpoint objective will satisfy every spread, and this residual does not prove that a spread-feasible fit is impossible. The distinction becomes central in Chapter 8.</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4788"/>
        <w:gridCol w:w="4788"/>
      </w:tblGrid>
      <w:tr>
        <w:trPr>
          <w:tblHeader w:val="true"/>
          <w:cantSplit/>
          <w:tblHeader/>
        </w:trPr>
        <w:tc>
          <w:tcPr>
            <w:tcW w:type="dxa" w:w="4788"/>
            <w:vAlign w:val="center"/>
            <w:shd w:fill="E9EEF3"/>
          </w:tcPr>
          <w:p>
            <w:pPr>
              <w:pStyle w:val="Compact"/>
              <w:keepNext/>
              <w:keepLines/>
              <w:spacing w:after="40" w:before="40" w:line="252" w:lineRule="auto"/>
              <w:jc w:val="left"/>
            </w:pPr>
            <w:r>
              <w:rPr>
                <w:b/>
                <w:sz w:val="21"/>
              </w:rPr>
              <w:t xml:space="preserve">Deliberate input change</w:t>
            </w:r>
          </w:p>
        </w:tc>
        <w:tc>
          <w:tcPr>
            <w:tcW w:type="dxa" w:w="4788"/>
            <w:vAlign w:val="center"/>
            <w:shd w:fill="E9EEF3"/>
          </w:tcPr>
          <w:p>
            <w:pPr>
              <w:pStyle w:val="Compact"/>
              <w:keepNext/>
              <w:keepLines/>
              <w:spacing w:after="40" w:before="40" w:line="252" w:lineRule="auto"/>
              <w:jc w:val="left"/>
            </w:pPr>
            <w:r>
              <w:rPr>
                <w:b/>
                <w:sz w:val="21"/>
              </w:rPr>
              <w:t xml:space="preserve">Observed response</w:t>
            </w:r>
          </w:p>
        </w:tc>
      </w:tr>
      <w:tr>
        <w:trPr>
          <w:cantSplit/>
        </w:trPr>
        <w:tc>
          <w:tcPr>
            <w:tcW w:type="dxa" w:w="4788"/>
            <w:vAlign w:val="center"/>
          </w:tcPr>
          <w:p>
            <w:pPr>
              <w:pStyle w:val="Compact"/>
              <w:keepNext/>
              <w:keepLines/>
              <w:spacing w:after="40" w:before="40" w:line="252" w:lineRule="auto"/>
              <w:jc w:val="left"/>
            </w:pPr>
            <w:r>
              <w:rPr>
                <w:b w:val="0"/>
                <w:sz w:val="21"/>
              </w:rPr>
              <w:t xml:space="preserve">Missing quote timezone</w:t>
            </w:r>
          </w:p>
        </w:tc>
        <w:tc>
          <w:tcPr>
            <w:tcW w:type="dxa" w:w="4788"/>
            <w:vAlign w:val="center"/>
          </w:tcPr>
          <w:p>
            <w:pPr>
              <w:pStyle w:val="Compact"/>
              <w:keepNext/>
              <w:keepLines/>
              <w:spacing w:after="40" w:before="40" w:line="252" w:lineRule="auto"/>
              <w:jc w:val="left"/>
            </w:pPr>
            <w:r>
              <w:rPr>
                <w:b w:val="0"/>
                <w:sz w:val="21"/>
              </w:rPr>
              <w:t xml:space="preserve">Blocked</w:t>
            </w:r>
          </w:p>
        </w:tc>
      </w:tr>
      <w:tr>
        <w:trPr>
          <w:cantSplit/>
        </w:trPr>
        <w:tc>
          <w:tcPr>
            <w:tcW w:type="dxa" w:w="4788"/>
            <w:vAlign w:val="center"/>
          </w:tcPr>
          <w:p>
            <w:pPr>
              <w:pStyle w:val="Compact"/>
              <w:keepNext/>
              <w:keepLines/>
              <w:spacing w:after="40" w:before="40" w:line="252" w:lineRule="auto"/>
              <w:jc w:val="left"/>
            </w:pPr>
            <w:r>
              <w:rPr>
                <w:b w:val="0"/>
                <w:sz w:val="21"/>
              </w:rPr>
              <w:t xml:space="preserve">Unsynchronised quote</w:t>
            </w:r>
          </w:p>
        </w:tc>
        <w:tc>
          <w:tcPr>
            <w:tcW w:type="dxa" w:w="4788"/>
            <w:vAlign w:val="center"/>
          </w:tcPr>
          <w:p>
            <w:pPr>
              <w:pStyle w:val="Compact"/>
              <w:keepNext/>
              <w:keepLines/>
              <w:spacing w:after="40" w:before="40" w:line="252" w:lineRule="auto"/>
              <w:jc w:val="left"/>
            </w:pPr>
            <w:r>
              <w:rPr>
                <w:b w:val="0"/>
                <w:sz w:val="21"/>
              </w:rPr>
              <w:t xml:space="preserve">Blocked</w:t>
            </w:r>
          </w:p>
        </w:tc>
      </w:tr>
      <w:tr>
        <w:trPr>
          <w:cantSplit/>
        </w:trPr>
        <w:tc>
          <w:tcPr>
            <w:tcW w:type="dxa" w:w="4788"/>
            <w:vAlign w:val="center"/>
          </w:tcPr>
          <w:p>
            <w:pPr>
              <w:pStyle w:val="Compact"/>
              <w:keepNext/>
              <w:keepLines/>
              <w:spacing w:after="40" w:before="40" w:line="252" w:lineRule="auto"/>
              <w:jc w:val="left"/>
            </w:pPr>
            <w:r>
              <w:rPr>
                <w:b w:val="0"/>
                <w:sz w:val="21"/>
              </w:rPr>
              <w:t xml:space="preserve">Conflicting settlement time</w:t>
            </w:r>
          </w:p>
        </w:tc>
        <w:tc>
          <w:tcPr>
            <w:tcW w:type="dxa" w:w="4788"/>
            <w:vAlign w:val="center"/>
          </w:tcPr>
          <w:p>
            <w:pPr>
              <w:pStyle w:val="Compact"/>
              <w:keepNext/>
              <w:keepLines/>
              <w:spacing w:after="40" w:before="40" w:line="252" w:lineRule="auto"/>
              <w:jc w:val="left"/>
            </w:pPr>
            <w:r>
              <w:rPr>
                <w:b w:val="0"/>
                <w:sz w:val="21"/>
              </w:rPr>
              <w:t xml:space="preserve">Blocked</w:t>
            </w:r>
          </w:p>
        </w:tc>
      </w:tr>
      <w:tr>
        <w:trPr>
          <w:cantSplit/>
        </w:trPr>
        <w:tc>
          <w:tcPr>
            <w:tcW w:type="dxa" w:w="4788"/>
            <w:vAlign w:val="center"/>
          </w:tcPr>
          <w:p>
            <w:pPr>
              <w:pStyle w:val="Compact"/>
              <w:keepNext/>
              <w:keepLines/>
              <w:spacing w:after="40" w:before="40" w:line="252" w:lineRule="auto"/>
              <w:jc w:val="left"/>
            </w:pPr>
            <w:r>
              <w:rPr>
                <w:b w:val="0"/>
                <w:sz w:val="21"/>
              </w:rPr>
              <w:t xml:space="preserve">Discount published after the snapshot</w:t>
            </w:r>
          </w:p>
        </w:tc>
        <w:tc>
          <w:tcPr>
            <w:tcW w:type="dxa" w:w="4788"/>
            <w:vAlign w:val="center"/>
          </w:tcPr>
          <w:p>
            <w:pPr>
              <w:pStyle w:val="Compact"/>
              <w:keepNext/>
              <w:keepLines/>
              <w:spacing w:after="40" w:before="40" w:line="252" w:lineRule="auto"/>
              <w:jc w:val="left"/>
            </w:pPr>
            <w:r>
              <w:rPr>
                <w:b w:val="0"/>
                <w:sz w:val="21"/>
              </w:rPr>
              <w:t xml:space="preserve">Blocked</w:t>
            </w:r>
          </w:p>
        </w:tc>
      </w:tr>
      <w:tr>
        <w:trPr>
          <w:cantSplit/>
        </w:trPr>
        <w:tc>
          <w:tcPr>
            <w:tcW w:type="dxa" w:w="4788"/>
            <w:vAlign w:val="center"/>
          </w:tcPr>
          <w:p>
            <w:pPr>
              <w:pStyle w:val="Compact"/>
              <w:keepNext/>
              <w:keepLines/>
              <w:spacing w:after="40" w:before="40" w:line="252" w:lineRule="auto"/>
              <w:jc w:val="left"/>
            </w:pPr>
            <w:r>
              <w:rPr>
                <w:b w:val="0"/>
                <w:sz w:val="21"/>
              </w:rPr>
              <w:t xml:space="preserve">Discount older than the declared limit</w:t>
            </w:r>
          </w:p>
        </w:tc>
        <w:tc>
          <w:tcPr>
            <w:tcW w:type="dxa" w:w="4788"/>
            <w:vAlign w:val="center"/>
          </w:tcPr>
          <w:p>
            <w:pPr>
              <w:pStyle w:val="Compact"/>
              <w:keepNext/>
              <w:keepLines/>
              <w:spacing w:after="40" w:before="40" w:line="252" w:lineRule="auto"/>
              <w:jc w:val="left"/>
            </w:pPr>
            <w:r>
              <w:rPr>
                <w:b w:val="0"/>
                <w:sz w:val="21"/>
              </w:rPr>
              <w:t xml:space="preserve">Blocked</w:t>
            </w:r>
          </w:p>
        </w:tc>
      </w:tr>
      <w:tr>
        <w:trPr>
          <w:cantSplit/>
        </w:trPr>
        <w:tc>
          <w:tcPr>
            <w:tcW w:type="dxa" w:w="4788"/>
            <w:vAlign w:val="center"/>
          </w:tcPr>
          <w:p>
            <w:pPr>
              <w:pStyle w:val="Compact"/>
              <w:keepNext/>
              <w:keepLines/>
              <w:spacing w:after="40" w:before="40" w:line="252" w:lineRule="auto"/>
              <w:jc w:val="left"/>
            </w:pPr>
            <w:r>
              <w:rPr>
                <w:b w:val="0"/>
                <w:sz w:val="21"/>
              </w:rPr>
              <w:t xml:space="preserve">Call bid and ask at the first strike increased by 5 points</w:t>
            </w:r>
          </w:p>
        </w:tc>
        <w:tc>
          <w:tcPr>
            <w:tcW w:type="dxa" w:w="4788"/>
            <w:vAlign w:val="center"/>
          </w:tcPr>
          <w:p>
            <w:pPr>
              <w:pStyle w:val="Compact"/>
              <w:keepNext/>
              <w:keepLines/>
              <w:spacing w:after="40" w:before="40" w:line="252" w:lineRule="auto"/>
              <w:jc w:val="left"/>
            </w:pPr>
            <w:r>
              <w:rPr>
                <w:b w:val="0"/>
                <w:sz w:val="21"/>
              </w:rPr>
              <w:t xml:space="preserve">Blocked by parity</w:t>
            </w:r>
          </w:p>
        </w:tc>
      </w:tr>
      <w:tr>
        <w:trPr>
          <w:cantSplit/>
        </w:trPr>
        <w:tc>
          <w:tcPr>
            <w:tcW w:type="dxa" w:w="4788"/>
            <w:vAlign w:val="center"/>
          </w:tcPr>
          <w:p>
            <w:pPr>
              <w:pStyle w:val="Compact"/>
              <w:keepNext/>
              <w:keepLines/>
              <w:spacing w:after="40" w:before="40" w:line="252" w:lineRule="auto"/>
              <w:jc w:val="left"/>
            </w:pPr>
            <w:r>
              <w:rPr>
                <w:b w:val="0"/>
                <w:sz w:val="21"/>
              </w:rPr>
              <w:t xml:space="preserve">Zero size and a duplicated call quote</w:t>
            </w:r>
          </w:p>
        </w:tc>
        <w:tc>
          <w:tcPr>
            <w:tcW w:type="dxa" w:w="4788"/>
            <w:vAlign w:val="center"/>
          </w:tcPr>
          <w:p>
            <w:pPr>
              <w:pStyle w:val="Compact"/>
              <w:keepNext/>
              <w:keepLines/>
              <w:spacing w:after="40" w:before="40" w:line="252" w:lineRule="auto"/>
              <w:jc w:val="right"/>
            </w:pPr>
            <w:r>
              <w:rPr>
                <w:b w:val="0"/>
                <w:sz w:val="21"/>
              </w:rPr>
              <w:t xml:space="preserve">5 rows excluded</w:t>
            </w:r>
          </w:p>
        </w:tc>
      </w:tr>
    </w:tbl>
    <w:p>
      <w:bookmarkStart w:id="626" w:name="table25"/>
      <w:pPr>
        <w:pStyle w:val="TableCaption"/>
      </w:pPr>
      <w:r>
        <w:t xml:space="preserve">Table 25. Input-failure exercises applied to the saved fixture. These are designed checks, not failures discovered in market observations. Mutations and returned reasons are retained in</w:t>
      </w:r>
      <w:r>
        <w:t xml:space="preserve"> </w:t>
      </w:r>
      <w:r>
        <w:rPr>
          <w:rStyle w:val="VerbatimChar"/>
        </w:rPr>
        <w:t xml:space="preserve">results/empirical_preparation.json</w:t>
      </w:r>
      <w:r>
        <w:t xml:space="preserve">.</w:t>
      </w:r>
      <w:bookmarkEnd w:id="626"/>
    </w:p>
    <w:p>
      <w:pPr>
        <w:pStyle w:val="BodyText"/>
      </w:pPr>
      <w:r>
        <w:t xml:space="preserve">The deliberately invalid fixtures test missing or conflicting metadata, unsuitable discounts and incompatible forwards. Additional checks change held-out observations and verify that their training-only inputs remain unchanged. The fixture demonstrates a complete file-to-fit process; it is kept distinct from the empirical evidence that follows.</w:t>
      </w:r>
    </w:p>
    <w:bookmarkEnd w:id="132"/>
    <w:bookmarkStart w:id="133" w:name="X0b7dba9fe911180f5ae5cfd8a35b437bf9f3e37"/>
    <w:p>
      <w:bookmarkStart w:id="627" w:name="h33"/>
      <w:pPr>
        <w:pStyle w:val="Heading2"/>
        <w:numPr>
          <w:ilvl w:val="1"/>
          <w:numId w:val="70"/>
        </w:numPr>
      </w:pPr>
      <w:bookmarkEnd w:id="627"/>
      <w:r>
        <w:t>The supplied market files and contract scope</w:t>
      </w:r>
    </w:p>
    <w:p>
      <w:pPr>
        <w:pStyle w:val="FirstParagraph"/>
      </w:pPr>
      <w:r>
        <w:t xml:space="preserve">Cboe’s marking-price documentation distinguishes indicative prices from exchange BBO fields [21]. The application uses the last-disseminated market bid and ask columns for calls and puts, not the final indicative marks. The supplied files were matched byte-for-byte to the advertised downloads, with hashes and retrieval records retained. Table 26 describes their initial roles; all three are analysed in Chapter 8.</w:t>
      </w:r>
    </w:p>
    <w:p>
      <w:pPr>
        <w:sectPr>
          <w:type w:val="nextPage"/>
          <w:pgSz w:w="11906" w:h="16838" w:orient="portrait"/>
          <w:pgMar w:top="1008" w:bottom="1008" w:left="1152" w:right="1152" w:header="432" w:footer="432" w:gutter="0"/>
          <w:pgNumType w:fmt="decimal"/>
        </w:sectPr>
        <w:spacing w:before="0" w:after="0" w:line="1" w:lineRule="exact"/>
      </w:pPr>
      <w:r>
        <w:rPr>
          <w:sz w:val="2"/>
        </w:rPr>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009"/>
        <w:gridCol w:w="2292"/>
        <w:gridCol w:w="2292"/>
        <w:gridCol w:w="2292"/>
        <w:gridCol w:w="2292"/>
        <w:gridCol w:w="2149"/>
      </w:tblGrid>
      <w:tr>
        <w:trPr>
          <w:tblHeader w:val="true"/>
          <w:cantSplit/>
          <w:tblHeader/>
        </w:trPr>
        <w:tc>
          <w:tcPr>
            <w:tcW w:type="dxa" w:w="3009"/>
            <w:vAlign w:val="center"/>
            <w:shd w:fill="E9EEF3"/>
          </w:tcPr>
          <w:p>
            <w:pPr>
              <w:pStyle w:val="Compact"/>
              <w:keepNext/>
              <w:keepLines/>
              <w:spacing w:after="40" w:before="40" w:line="252" w:lineRule="auto"/>
              <w:jc w:val="left"/>
            </w:pPr>
            <w:r>
              <w:rPr>
                <w:b/>
                <w:sz w:val="20"/>
              </w:rPr>
              <w:t xml:space="preserve">File</w:t>
            </w:r>
          </w:p>
        </w:tc>
        <w:tc>
          <w:tcPr>
            <w:tcW w:type="dxa" w:w="2292"/>
            <w:vAlign w:val="center"/>
            <w:shd w:fill="E9EEF3"/>
          </w:tcPr>
          <w:p>
            <w:pPr>
              <w:pStyle w:val="Compact"/>
              <w:keepNext/>
              <w:keepLines/>
              <w:spacing w:after="40" w:before="40" w:line="252" w:lineRule="auto"/>
              <w:jc w:val="left"/>
            </w:pPr>
            <w:r>
              <w:rPr>
                <w:b/>
                <w:sz w:val="20"/>
              </w:rPr>
              <w:t xml:space="preserve">Date</w:t>
            </w:r>
          </w:p>
        </w:tc>
        <w:tc>
          <w:tcPr>
            <w:tcW w:type="dxa" w:w="2292"/>
            <w:vAlign w:val="center"/>
            <w:shd w:fill="E9EEF3"/>
          </w:tcPr>
          <w:p>
            <w:pPr>
              <w:pStyle w:val="Compact"/>
              <w:keepNext/>
              <w:keepLines/>
              <w:spacing w:after="40" w:before="40" w:line="252" w:lineRule="auto"/>
              <w:jc w:val="left"/>
            </w:pPr>
            <w:r>
              <w:rPr>
                <w:b/>
                <w:sz w:val="20"/>
              </w:rPr>
              <w:t xml:space="preserve">CT</w:t>
            </w:r>
          </w:p>
        </w:tc>
        <w:tc>
          <w:tcPr>
            <w:tcW w:type="dxa" w:w="2292"/>
            <w:vAlign w:val="center"/>
            <w:shd w:fill="E9EEF3"/>
          </w:tcPr>
          <w:p>
            <w:pPr>
              <w:pStyle w:val="Compact"/>
              <w:keepNext/>
              <w:keepLines/>
              <w:spacing w:after="40" w:before="40" w:line="252" w:lineRule="auto"/>
              <w:jc w:val="left"/>
            </w:pPr>
            <w:r>
              <w:rPr>
                <w:b/>
                <w:sz w:val="20"/>
              </w:rPr>
              <w:t xml:space="preserve">All rows</w:t>
            </w:r>
          </w:p>
        </w:tc>
        <w:tc>
          <w:tcPr>
            <w:tcW w:type="dxa" w:w="2292"/>
            <w:vAlign w:val="center"/>
            <w:shd w:fill="E9EEF3"/>
          </w:tcPr>
          <w:p>
            <w:pPr>
              <w:pStyle w:val="Compact"/>
              <w:keepNext/>
              <w:keepLines/>
              <w:spacing w:after="40" w:before="40" w:line="252" w:lineRule="auto"/>
              <w:jc w:val="left"/>
            </w:pPr>
            <w:r>
              <w:rPr>
                <w:b/>
                <w:sz w:val="20"/>
              </w:rPr>
              <w:t xml:space="preserve">SPX/SPXW pairs</w:t>
            </w:r>
          </w:p>
        </w:tc>
        <w:tc>
          <w:tcPr>
            <w:tcW w:type="dxa" w:w="2149"/>
            <w:vAlign w:val="center"/>
            <w:shd w:fill="E9EEF3"/>
          </w:tcPr>
          <w:p>
            <w:pPr>
              <w:pStyle w:val="Compact"/>
              <w:keepNext/>
              <w:keepLines/>
              <w:spacing w:after="40" w:before="40" w:line="252" w:lineRule="auto"/>
              <w:jc w:val="left"/>
            </w:pPr>
            <w:r>
              <w:rPr>
                <w:b/>
                <w:sz w:val="20"/>
              </w:rPr>
              <w:t xml:space="preserve">Use here</w:t>
            </w:r>
          </w:p>
        </w:tc>
      </w:tr>
      <w:tr>
        <w:trPr>
          <w:cantSplit/>
        </w:trPr>
        <w:tc>
          <w:tcPr>
            <w:tcW w:type="dxa" w:w="3009"/>
            <w:vAlign w:val="center"/>
          </w:tcPr>
          <w:p>
            <w:pPr>
              <w:pStyle w:val="Compact"/>
              <w:keepNext/>
              <w:keepLines/>
              <w:spacing w:after="40" w:before="40" w:line="252" w:lineRule="auto"/>
              <w:jc w:val="left"/>
            </w:pPr>
            <w:r>
              <w:rPr>
                <w:b w:val="0"/>
                <w:sz w:val="20"/>
              </w:rPr>
              <w:t xml:space="preserve">eom_marking_prices_list.csv</w:t>
            </w:r>
          </w:p>
        </w:tc>
        <w:tc>
          <w:tcPr>
            <w:tcW w:type="dxa" w:w="2292"/>
            <w:vAlign w:val="center"/>
          </w:tcPr>
          <w:p>
            <w:pPr>
              <w:pStyle w:val="Compact"/>
              <w:keepNext/>
              <w:keepLines/>
              <w:spacing w:after="40" w:before="40" w:line="252" w:lineRule="auto"/>
              <w:jc w:val="right"/>
            </w:pPr>
            <w:r>
              <w:rPr>
                <w:b w:val="0"/>
                <w:sz w:val="20"/>
              </w:rPr>
              <w:t xml:space="preserve">2026-08-31</w:t>
            </w:r>
          </w:p>
        </w:tc>
        <w:tc>
          <w:tcPr>
            <w:tcW w:type="dxa" w:w="2292"/>
            <w:vAlign w:val="center"/>
          </w:tcPr>
          <w:p>
            <w:pPr>
              <w:pStyle w:val="Compact"/>
              <w:keepNext/>
              <w:keepLines/>
              <w:spacing w:after="40" w:before="40" w:line="252" w:lineRule="auto"/>
              <w:jc w:val="right"/>
            </w:pPr>
            <w:r>
              <w:rPr>
                <w:b w:val="0"/>
                <w:sz w:val="20"/>
              </w:rPr>
              <w:t xml:space="preserve">15:00</w:t>
            </w:r>
          </w:p>
        </w:tc>
        <w:tc>
          <w:tcPr>
            <w:tcW w:type="dxa" w:w="2292"/>
            <w:vAlign w:val="center"/>
          </w:tcPr>
          <w:p>
            <w:pPr>
              <w:pStyle w:val="Compact"/>
              <w:keepNext/>
              <w:keepLines/>
              <w:spacing w:after="40" w:before="40" w:line="252" w:lineRule="auto"/>
              <w:jc w:val="right"/>
            </w:pPr>
            <w:r>
              <w:rPr>
                <w:b w:val="0"/>
                <w:sz w:val="20"/>
              </w:rPr>
              <w:t xml:space="preserve">39,945</w:t>
            </w:r>
          </w:p>
        </w:tc>
        <w:tc>
          <w:tcPr>
            <w:tcW w:type="dxa" w:w="2292"/>
            <w:vAlign w:val="center"/>
          </w:tcPr>
          <w:p>
            <w:pPr>
              <w:pStyle w:val="Compact"/>
              <w:keepNext/>
              <w:keepLines/>
              <w:spacing w:after="40" w:before="40" w:line="252" w:lineRule="auto"/>
              <w:jc w:val="right"/>
            </w:pPr>
            <w:r>
              <w:rPr>
                <w:b w:val="0"/>
                <w:sz w:val="20"/>
              </w:rPr>
              <w:t xml:space="preserve">13,813</w:t>
            </w:r>
          </w:p>
        </w:tc>
        <w:tc>
          <w:tcPr>
            <w:tcW w:type="dxa" w:w="2149"/>
            <w:vAlign w:val="center"/>
          </w:tcPr>
          <w:p>
            <w:pPr>
              <w:pStyle w:val="Compact"/>
              <w:keepNext/>
              <w:keepLines/>
              <w:spacing w:after="40" w:before="40" w:line="252" w:lineRule="auto"/>
              <w:jc w:val="left"/>
            </w:pPr>
            <w:r>
              <w:rPr>
                <w:b w:val="0"/>
                <w:sz w:val="20"/>
              </w:rPr>
              <w:t xml:space="preserve">reserved date comparison</w:t>
            </w:r>
          </w:p>
        </w:tc>
      </w:tr>
      <w:tr>
        <w:trPr>
          <w:cantSplit/>
        </w:trPr>
        <w:tc>
          <w:tcPr>
            <w:tcW w:type="dxa" w:w="3009"/>
            <w:vAlign w:val="center"/>
          </w:tcPr>
          <w:p>
            <w:pPr>
              <w:pStyle w:val="Compact"/>
              <w:keepNext/>
              <w:keepLines/>
              <w:spacing w:after="40" w:before="40" w:line="252" w:lineRule="auto"/>
              <w:jc w:val="left"/>
            </w:pPr>
            <w:r>
              <w:rPr>
                <w:b w:val="0"/>
                <w:sz w:val="20"/>
              </w:rPr>
              <w:t xml:space="preserve">eod_marking_prices_list.csv</w:t>
            </w:r>
          </w:p>
        </w:tc>
        <w:tc>
          <w:tcPr>
            <w:tcW w:type="dxa" w:w="2292"/>
            <w:vAlign w:val="center"/>
          </w:tcPr>
          <w:p>
            <w:pPr>
              <w:pStyle w:val="Compact"/>
              <w:keepNext/>
              <w:keepLines/>
              <w:spacing w:after="40" w:before="40" w:line="252" w:lineRule="auto"/>
              <w:jc w:val="right"/>
            </w:pPr>
            <w:r>
              <w:rPr>
                <w:b w:val="0"/>
                <w:sz w:val="20"/>
              </w:rPr>
              <w:t xml:space="preserve">2026-09-18</w:t>
            </w:r>
          </w:p>
        </w:tc>
        <w:tc>
          <w:tcPr>
            <w:tcW w:type="dxa" w:w="2292"/>
            <w:vAlign w:val="center"/>
          </w:tcPr>
          <w:p>
            <w:pPr>
              <w:pStyle w:val="Compact"/>
              <w:keepNext/>
              <w:keepLines/>
              <w:spacing w:after="40" w:before="40" w:line="252" w:lineRule="auto"/>
              <w:jc w:val="right"/>
            </w:pPr>
            <w:r>
              <w:rPr>
                <w:b w:val="0"/>
                <w:sz w:val="20"/>
              </w:rPr>
              <w:t xml:space="preserve">15:00</w:t>
            </w:r>
          </w:p>
        </w:tc>
        <w:tc>
          <w:tcPr>
            <w:tcW w:type="dxa" w:w="2292"/>
            <w:vAlign w:val="center"/>
          </w:tcPr>
          <w:p>
            <w:pPr>
              <w:pStyle w:val="Compact"/>
              <w:keepNext/>
              <w:keepLines/>
              <w:spacing w:after="40" w:before="40" w:line="252" w:lineRule="auto"/>
              <w:jc w:val="right"/>
            </w:pPr>
            <w:r>
              <w:rPr>
                <w:b w:val="0"/>
                <w:sz w:val="20"/>
              </w:rPr>
              <w:t xml:space="preserve">39,346</w:t>
            </w:r>
          </w:p>
        </w:tc>
        <w:tc>
          <w:tcPr>
            <w:tcW w:type="dxa" w:w="2292"/>
            <w:vAlign w:val="center"/>
          </w:tcPr>
          <w:p>
            <w:pPr>
              <w:pStyle w:val="Compact"/>
              <w:keepNext/>
              <w:keepLines/>
              <w:spacing w:after="40" w:before="40" w:line="252" w:lineRule="auto"/>
              <w:jc w:val="right"/>
            </w:pPr>
            <w:r>
              <w:rPr>
                <w:b w:val="0"/>
                <w:sz w:val="20"/>
              </w:rPr>
              <w:t xml:space="preserve">13,891</w:t>
            </w:r>
          </w:p>
        </w:tc>
        <w:tc>
          <w:tcPr>
            <w:tcW w:type="dxa" w:w="2149"/>
            <w:vAlign w:val="center"/>
          </w:tcPr>
          <w:p>
            <w:pPr>
              <w:pStyle w:val="Compact"/>
              <w:keepNext/>
              <w:keepLines/>
              <w:spacing w:after="40" w:before="40" w:line="252" w:lineRule="auto"/>
              <w:jc w:val="left"/>
            </w:pPr>
            <w:r>
              <w:rPr>
                <w:b w:val="0"/>
                <w:sz w:val="20"/>
              </w:rPr>
              <w:t xml:space="preserve">primary calibration</w:t>
            </w:r>
          </w:p>
        </w:tc>
      </w:tr>
      <w:tr>
        <w:trPr>
          <w:cantSplit/>
        </w:trPr>
        <w:tc>
          <w:tcPr>
            <w:tcW w:type="dxa" w:w="3009"/>
            <w:vAlign w:val="center"/>
          </w:tcPr>
          <w:p>
            <w:pPr>
              <w:pStyle w:val="Compact"/>
              <w:keepNext/>
              <w:keepLines/>
              <w:spacing w:after="40" w:before="40" w:line="252" w:lineRule="auto"/>
              <w:jc w:val="left"/>
            </w:pPr>
            <w:r>
              <w:rPr>
                <w:b w:val="0"/>
                <w:sz w:val="20"/>
              </w:rPr>
              <w:t xml:space="preserve">eod_marking_prices_late_list.csv</w:t>
            </w:r>
          </w:p>
        </w:tc>
        <w:tc>
          <w:tcPr>
            <w:tcW w:type="dxa" w:w="2292"/>
            <w:vAlign w:val="center"/>
          </w:tcPr>
          <w:p>
            <w:pPr>
              <w:pStyle w:val="Compact"/>
              <w:keepNext/>
              <w:keepLines/>
              <w:spacing w:after="40" w:before="40" w:line="252" w:lineRule="auto"/>
              <w:jc w:val="right"/>
            </w:pPr>
            <w:r>
              <w:rPr>
                <w:b w:val="0"/>
                <w:sz w:val="20"/>
              </w:rPr>
              <w:t xml:space="preserve">2026-09-18</w:t>
            </w:r>
          </w:p>
        </w:tc>
        <w:tc>
          <w:tcPr>
            <w:tcW w:type="dxa" w:w="2292"/>
            <w:vAlign w:val="center"/>
          </w:tcPr>
          <w:p>
            <w:pPr>
              <w:pStyle w:val="Compact"/>
              <w:keepNext/>
              <w:keepLines/>
              <w:spacing w:after="40" w:before="40" w:line="252" w:lineRule="auto"/>
              <w:jc w:val="right"/>
            </w:pPr>
            <w:r>
              <w:rPr>
                <w:b w:val="0"/>
                <w:sz w:val="20"/>
              </w:rPr>
              <w:t xml:space="preserve">15:15</w:t>
            </w:r>
          </w:p>
        </w:tc>
        <w:tc>
          <w:tcPr>
            <w:tcW w:type="dxa" w:w="2292"/>
            <w:vAlign w:val="center"/>
          </w:tcPr>
          <w:p>
            <w:pPr>
              <w:pStyle w:val="Compact"/>
              <w:keepNext/>
              <w:keepLines/>
              <w:spacing w:after="40" w:before="40" w:line="252" w:lineRule="auto"/>
              <w:jc w:val="right"/>
            </w:pPr>
            <w:r>
              <w:rPr>
                <w:b w:val="0"/>
                <w:sz w:val="20"/>
              </w:rPr>
              <w:t xml:space="preserve">38,995</w:t>
            </w:r>
          </w:p>
        </w:tc>
        <w:tc>
          <w:tcPr>
            <w:tcW w:type="dxa" w:w="2292"/>
            <w:vAlign w:val="center"/>
          </w:tcPr>
          <w:p>
            <w:pPr>
              <w:pStyle w:val="Compact"/>
              <w:keepNext/>
              <w:keepLines/>
              <w:spacing w:after="40" w:before="40" w:line="252" w:lineRule="auto"/>
              <w:jc w:val="right"/>
            </w:pPr>
            <w:r>
              <w:rPr>
                <w:b w:val="0"/>
                <w:sz w:val="20"/>
              </w:rPr>
              <w:t xml:space="preserve">13,891</w:t>
            </w:r>
          </w:p>
        </w:tc>
        <w:tc>
          <w:tcPr>
            <w:tcW w:type="dxa" w:w="2149"/>
            <w:vAlign w:val="center"/>
          </w:tcPr>
          <w:p>
            <w:pPr>
              <w:pStyle w:val="Compact"/>
              <w:keepNext/>
              <w:keepLines/>
              <w:spacing w:after="40" w:before="40" w:line="252" w:lineRule="auto"/>
              <w:jc w:val="left"/>
            </w:pPr>
            <w:r>
              <w:rPr>
                <w:b w:val="0"/>
                <w:sz w:val="20"/>
              </w:rPr>
              <w:t xml:space="preserve">reserved intraday comparison</w:t>
            </w:r>
          </w:p>
        </w:tc>
      </w:tr>
    </w:tbl>
    <w:p>
      <w:bookmarkStart w:id="628" w:name="table26"/>
      <w:pPr>
        <w:pStyle w:val="TableCaption"/>
      </w:pPr>
      <w:r>
        <w:t xml:space="preserve">Table 26. Supplied file coverage and assigned role. Each target row contains a call and put at one strike. Counts include all SPX/SPXW expiries before screening. CT means Chicago civil time; all three observation dates are on UTC−05:00.</w:t>
      </w:r>
      <w:bookmarkEnd w:id="628"/>
    </w:p>
    <w:p>
      <w:pPr>
        <w:sectPr>
          <w:type w:val="nextPage"/>
          <w:pgSz w:w="16838" w:h="11906" w:orient="landscape"/>
          <w:pgMar w:top="1008" w:bottom="1008" w:left="1152" w:right="1152" w:header="432" w:footer="432" w:gutter="0"/>
          <w:pgNumType w:fmt="decimal"/>
        </w:sectPr>
        <w:spacing w:before="0" w:after="0" w:line="1" w:lineRule="exact"/>
      </w:pPr>
      <w:r>
        <w:rPr>
          <w:sz w:val="2"/>
        </w:rPr>
      </w:r>
    </w:p>
    <w:p>
      <w:pPr>
        <w:pStyle w:val="BodyText"/>
      </w:pPr>
      <w:r>
        <w:t xml:space="preserve">The files supply two observation dates and three snapshots. Concatenating the two September snapshots would mix observation instants. Indicative size entries of one are not demonstrated market depth. A separate exchange-BBO adapter records actual size as unavailable and makes no consolidated NBBO or execution-depth claim; the original external-curve profile remains separate.</w:t>
      </w:r>
    </w:p>
    <w:p>
      <w:pPr>
        <w:pStyle w:val="BodyText"/>
      </w:pPr>
      <w:r>
        <w:t xml:space="preserve">The first market case uses 18 September 2026 at 15:00 Chicago time, with SPXW expiries on 16 October, 20 November and 18 December. Cboe’s specifications and 2026 schedule support the PM settlement convention used here [5,22]. Settlement is represented at 16:00 New York civil time, including the November offset change. The elapsed horizons are 28, 63 plus 1/24, and 91 plus 1/24 days. The extra hour comes from daylight saving, not an additional trading session.</w:t>
      </w:r>
    </w:p>
    <w:p>
      <w:pPr>
        <w:pStyle w:val="BodyText"/>
      </w:pPr>
      <w:r>
        <w:t xml:space="preserve">The adapter checks the encoded root, expiry, type and strike, requires finite positive ordered prices on both sides, limits each relative spread to 25%, and excludes duplicates without averaging. Both last-update messages must be no later than the snapshot and no more than sixty seconds old. These are declared activity criteria, not proof of execution availability. The three selected expiries retain 364, 344 and 261 pairs: 969 pairs and 1,938 option intervals.</w:t>
      </w:r>
    </w:p>
    <w:bookmarkEnd w:id="133"/>
    <w:bookmarkStart w:id="134" w:name="inferring-a-quote-implied-carry-proxy"/>
    <w:p>
      <w:bookmarkStart w:id="629" w:name="h34"/>
      <w:pPr>
        <w:pStyle w:val="Heading2"/>
        <w:numPr>
          <w:ilvl w:val="1"/>
          <w:numId w:val="70"/>
        </w:numPr>
      </w:pPr>
      <w:bookmarkEnd w:id="629"/>
      <w:r>
        <w:t>Inferring a quote-implied carry proxy</w:t>
      </w:r>
    </w:p>
    <w:p>
      <w:pPr>
        <w:pStyle w:val="FirstParagraph"/>
      </w:pPr>
      <w:r>
        <w:t xml:space="preserve">The files do not contain a discount curve. Rearranging the parity relationship discussed by Aït-Sahalia and Lo [10] gives Equation (38), where</w:t>
      </w:r>
      <w:r>
        <w:t xml:space="preserve"> </w:t>
      </w:r>
      <m:oMath>
        <m:sSub>
          <m:e>
            <m:r>
              <m:t>H</m:t>
            </m:r>
          </m:e>
          <m:sub>
            <m:r>
              <m:t>m</m:t>
            </m:r>
          </m:sub>
        </m:sSub>
        <m:r>
          <m:rPr>
            <m:sty m:val="p"/>
          </m:rPr>
          <m:t>=</m:t>
        </m:r>
        <m:sSub>
          <m:e>
            <m:r>
              <m:t>D</m:t>
            </m:r>
          </m:e>
          <m:sub>
            <m:r>
              <m:t>m</m:t>
            </m:r>
          </m:sub>
        </m:sSub>
        <m:sSub>
          <m:e>
            <m:r>
              <m:t>F</m:t>
            </m:r>
          </m:e>
          <m:sub>
            <m:r>
              <m:t>m</m:t>
            </m:r>
          </m:sub>
        </m:sSub>
      </m:oMath>
      <w:r>
        <w:t xml:space="preserve"> </w:t>
      </w:r>
      <w:r>
        <w:t xml:space="preserve">and opposite bid–ask sides define the admissible difference range.</w:t>
      </w:r>
    </w:p>
    <w:p>
      <w:pPr>
        <w:pStyle w:val="BodyText"/>
        <w:keepNext/>
        <w:spacing w:before="120" w:after="40"/>
        <w:jc w:val="center"/>
      </w:pPr>
      <m:oMathPara>
        <m:oMathParaPr>
          <m:jc m:val="center"/>
        </m:oMathParaPr>
        <m:oMath>
          <m:m>
            <m:mPr>
              <m:baseJc m:val="center"/>
              <m:plcHide m:val="on"/>
              <m:mcs>
                <m:mc>
                  <m:mcPr>
                    <m:mcJc m:val="center"/>
                    <m:count m:val="1"/>
                  </m:mcPr>
                </m:mc>
              </m:mcs>
            </m:mPr>
            <m:mr>
              <m:e>
                <m:sSub>
                  <m:e>
                    <m:r>
                      <m:t>C</m:t>
                    </m:r>
                  </m:e>
                  <m:sub>
                    <m:r>
                      <m:t>m</m:t>
                    </m:r>
                    <m:r>
                      <m:t>i</m:t>
                    </m:r>
                  </m:sub>
                </m:sSub>
                <m:r>
                  <m:rPr>
                    <m:sty m:val="p"/>
                  </m:rPr>
                  <m:t>−</m:t>
                </m:r>
                <m:sSub>
                  <m:e>
                    <m:r>
                      <m:t>P</m:t>
                    </m:r>
                  </m:e>
                  <m:sub>
                    <m:r>
                      <m:t>m</m:t>
                    </m:r>
                    <m:r>
                      <m:t>i</m:t>
                    </m:r>
                  </m:sub>
                </m:sSub>
                <m:r>
                  <m:rPr>
                    <m:sty m:val="p"/>
                  </m:rPr>
                  <m:t>=</m:t>
                </m:r>
                <m:sSub>
                  <m:e>
                    <m:r>
                      <m:t>H</m:t>
                    </m:r>
                  </m:e>
                  <m:sub>
                    <m:r>
                      <m:t>m</m:t>
                    </m:r>
                  </m:sub>
                </m:sSub>
                <m:r>
                  <m:rPr>
                    <m:sty m:val="p"/>
                  </m:rPr>
                  <m:t>−</m:t>
                </m:r>
                <m:sSub>
                  <m:e>
                    <m:r>
                      <m:t>D</m:t>
                    </m:r>
                  </m:e>
                  <m:sub>
                    <m:r>
                      <m:t>m</m:t>
                    </m:r>
                  </m:sub>
                </m:sSub>
                <m:sSub>
                  <m:e>
                    <m:r>
                      <m:t>K</m:t>
                    </m:r>
                  </m:e>
                  <m:sub>
                    <m:r>
                      <m:t>m</m:t>
                    </m:r>
                    <m:r>
                      <m:t>i</m:t>
                    </m:r>
                  </m:sub>
                </m:sSub>
                <m:r>
                  <m:rPr>
                    <m:sty m:val="p"/>
                  </m:rPr>
                  <m:t>,</m:t>
                </m:r>
              </m:e>
            </m:mr>
            <m:mr>
              <m:e>
                <m:sSubSup>
                  <m:e>
                    <m:r>
                      <m:t>b</m:t>
                    </m:r>
                  </m:e>
                  <m:sub>
                    <m:r>
                      <m:t>m</m:t>
                    </m:r>
                    <m:r>
                      <m:t>i</m:t>
                    </m:r>
                  </m:sub>
                  <m:sup>
                    <m:r>
                      <m:rPr>
                        <m:sty m:val="p"/>
                      </m:rPr>
                      <m:t>−</m:t>
                    </m:r>
                  </m:sup>
                </m:sSubSup>
                <m:r>
                  <m:rPr>
                    <m:sty m:val="p"/>
                  </m:rPr>
                  <m:t>=</m:t>
                </m:r>
                <m:sSubSup>
                  <m:e>
                    <m:r>
                      <m:t>C</m:t>
                    </m:r>
                  </m:e>
                  <m:sub>
                    <m:r>
                      <m:t>m</m:t>
                    </m:r>
                    <m:r>
                      <m:t>i</m:t>
                    </m:r>
                  </m:sub>
                  <m:sup>
                    <m:r>
                      <m:rPr>
                        <m:sty m:val="p"/>
                      </m:rPr>
                      <m:t>b</m:t>
                    </m:r>
                    <m:r>
                      <m:rPr>
                        <m:sty m:val="p"/>
                      </m:rPr>
                      <m:t>i</m:t>
                    </m:r>
                    <m:r>
                      <m:rPr>
                        <m:sty m:val="p"/>
                      </m:rPr>
                      <m:t>d</m:t>
                    </m:r>
                  </m:sup>
                </m:sSubSup>
                <m:r>
                  <m:rPr>
                    <m:sty m:val="p"/>
                  </m:rPr>
                  <m:t>−</m:t>
                </m:r>
                <m:sSubSup>
                  <m:e>
                    <m:r>
                      <m:t>P</m:t>
                    </m:r>
                  </m:e>
                  <m:sub>
                    <m:r>
                      <m:t>m</m:t>
                    </m:r>
                    <m:r>
                      <m:t>i</m:t>
                    </m:r>
                  </m:sub>
                  <m:sup>
                    <m:r>
                      <m:rPr>
                        <m:sty m:val="p"/>
                      </m:rPr>
                      <m:t>a</m:t>
                    </m:r>
                    <m:r>
                      <m:rPr>
                        <m:sty m:val="p"/>
                      </m:rPr>
                      <m:t>s</m:t>
                    </m:r>
                    <m:r>
                      <m:rPr>
                        <m:sty m:val="p"/>
                      </m:rPr>
                      <m:t>k</m:t>
                    </m:r>
                  </m:sup>
                </m:sSubSup>
                <m:r>
                  <m:rPr>
                    <m:sty m:val="p"/>
                  </m:rPr>
                  <m:t>,</m:t>
                </m:r>
              </m:e>
            </m:mr>
            <m:mr>
              <m:e>
                <m:sSubSup>
                  <m:e>
                    <m:r>
                      <m:t>b</m:t>
                    </m:r>
                  </m:e>
                  <m:sub>
                    <m:r>
                      <m:t>m</m:t>
                    </m:r>
                    <m:r>
                      <m:t>i</m:t>
                    </m:r>
                  </m:sub>
                  <m:sup>
                    <m:r>
                      <m:rPr>
                        <m:sty m:val="p"/>
                      </m:rPr>
                      <m:t>+</m:t>
                    </m:r>
                  </m:sup>
                </m:sSubSup>
                <m:r>
                  <m:rPr>
                    <m:sty m:val="p"/>
                  </m:rPr>
                  <m:t>=</m:t>
                </m:r>
                <m:sSubSup>
                  <m:e>
                    <m:r>
                      <m:t>C</m:t>
                    </m:r>
                  </m:e>
                  <m:sub>
                    <m:r>
                      <m:t>m</m:t>
                    </m:r>
                    <m:r>
                      <m:t>i</m:t>
                    </m:r>
                  </m:sub>
                  <m:sup>
                    <m:r>
                      <m:rPr>
                        <m:sty m:val="p"/>
                      </m:rPr>
                      <m:t>a</m:t>
                    </m:r>
                    <m:r>
                      <m:rPr>
                        <m:sty m:val="p"/>
                      </m:rPr>
                      <m:t>s</m:t>
                    </m:r>
                    <m:r>
                      <m:rPr>
                        <m:sty m:val="p"/>
                      </m:rPr>
                      <m:t>k</m:t>
                    </m:r>
                  </m:sup>
                </m:sSubSup>
                <m:r>
                  <m:rPr>
                    <m:sty m:val="p"/>
                  </m:rPr>
                  <m:t>−</m:t>
                </m:r>
                <m:sSubSup>
                  <m:e>
                    <m:r>
                      <m:t>P</m:t>
                    </m:r>
                  </m:e>
                  <m:sub>
                    <m:r>
                      <m:t>m</m:t>
                    </m:r>
                    <m:r>
                      <m:t>i</m:t>
                    </m:r>
                  </m:sub>
                  <m:sup>
                    <m:r>
                      <m:rPr>
                        <m:sty m:val="p"/>
                      </m:rPr>
                      <m:t>b</m:t>
                    </m:r>
                    <m:r>
                      <m:rPr>
                        <m:sty m:val="p"/>
                      </m:rPr>
                      <m:t>i</m:t>
                    </m:r>
                    <m:r>
                      <m:rPr>
                        <m:sty m:val="p"/>
                      </m:rPr>
                      <m:t>d</m:t>
                    </m:r>
                  </m:sup>
                </m:sSubSup>
                <m:r>
                  <m:rPr>
                    <m:sty m:val="p"/>
                  </m:rPr>
                  <m:t>.</m:t>
                </m:r>
              </m:e>
            </m:mr>
          </m:m>
        </m:oMath>
      </m:oMathPara>
    </w:p>
    <w:p>
      <w:bookmarkStart w:id="630" w:name="equation38"/>
      <w:pPr>
        <w:pStyle w:val="EquationCaption"/>
      </w:pPr>
      <w:r>
        <w:t xml:space="preserve">Equation 38. Linear put–call parity and bid–ask difference bounds.</w:t>
      </w:r>
      <w:bookmarkEnd w:id="630"/>
    </w:p>
    <w:p>
      <w:pPr>
        <w:pStyle w:val="BodyText"/>
      </w:pPr>
      <w:r>
        <w:t xml:space="preserve">Equation (39) jointly estimates discount and forward through equal-weight constrained least squares. The strike normalisation</w:t>
      </w:r>
      <w:r>
        <w:t xml:space="preserve"> </w:t>
      </w:r>
      <m:oMath>
        <m:sSub>
          <m:e>
            <m:r>
              <m:t>K</m:t>
            </m:r>
          </m:e>
          <m:sub>
            <m:r>
              <m:t>0</m:t>
            </m:r>
            <m:r>
              <m:t>m</m:t>
            </m:r>
          </m:sub>
        </m:sSub>
      </m:oMath>
      <w:r>
        <w:t xml:space="preserve"> </w:t>
      </w:r>
      <w:r>
        <w:t xml:space="preserve">is the median retained strike, and the small positive carry floor is a numerical convention. This estimator is a project choice supported by the convex-QP framework in Boyd and Vandenberghe [11].</w:t>
      </w:r>
    </w:p>
    <w:p>
      <w:pPr>
        <w:pStyle w:val="BodyText"/>
        <w:keepNext/>
        <w:spacing w:before="120" w:after="40"/>
        <w:jc w:val="center"/>
      </w:pPr>
      <m:oMathPara>
        <m:oMathParaPr>
          <m:jc m:val="center"/>
        </m:oMathParaPr>
        <m:oMath>
          <m:m>
            <m:mPr>
              <m:baseJc m:val="center"/>
              <m:plcHide m:val="on"/>
              <m:mcs>
                <m:mc>
                  <m:mcPr>
                    <m:mcJc m:val="center"/>
                    <m:count m:val="1"/>
                  </m:mcPr>
                </m:mc>
              </m:mcs>
            </m:mPr>
            <m:mr>
              <m:e>
                <m:d>
                  <m:dPr>
                    <m:begChr m:val="("/>
                    <m:endChr m:val=")"/>
                    <m:sepChr m:val=""/>
                    <m:grow/>
                  </m:dPr>
                  <m:e>
                    <m:sSub>
                      <m:e>
                        <m:acc>
                          <m:accPr>
                            <m:chr m:val="̂"/>
                          </m:accPr>
                          <m:e>
                            <m:r>
                              <m:t>H</m:t>
                            </m:r>
                          </m:e>
                        </m:acc>
                      </m:e>
                      <m:sub>
                        <m:r>
                          <m:t>m</m:t>
                        </m:r>
                      </m:sub>
                    </m:sSub>
                    <m:r>
                      <m:rPr>
                        <m:sty m:val="p"/>
                      </m:rPr>
                      <m:t>,</m:t>
                    </m:r>
                    <m:sSub>
                      <m:e>
                        <m:acc>
                          <m:accPr>
                            <m:chr m:val="̂"/>
                          </m:accPr>
                          <m:e>
                            <m:r>
                              <m:t>D</m:t>
                            </m:r>
                          </m:e>
                        </m:acc>
                      </m:e>
                      <m:sub>
                        <m:r>
                          <m:t>m</m:t>
                        </m:r>
                      </m:sub>
                    </m:sSub>
                  </m:e>
                </m:d>
                <m:r>
                  <m:rPr>
                    <m:sty m:val="p"/>
                  </m:rPr>
                  <m:t>=</m:t>
                </m:r>
                <m:limLow>
                  <m:e>
                    <m:r>
                      <m:rPr>
                        <m:sty m:val="p"/>
                      </m:rPr>
                      <m:t>arg</m:t>
                    </m:r>
                    <m:r>
                      <m:rPr>
                        <m:sty m:val="p"/>
                      </m:rPr>
                      <m:t>min</m:t>
                    </m:r>
                  </m:e>
                  <m:lim>
                    <m:r>
                      <m:t>H</m:t>
                    </m:r>
                    <m:r>
                      <m:rPr>
                        <m:sty m:val="p"/>
                      </m:rPr>
                      <m:t>,</m:t>
                    </m:r>
                    <m:r>
                      <m:t>D</m:t>
                    </m:r>
                  </m:lim>
                </m:limLow>
                <m:r>
                  <m:t> </m:t>
                </m:r>
                <m:f>
                  <m:fPr>
                    <m:type m:val="bar"/>
                  </m:fPr>
                  <m:num>
                    <m:r>
                      <m:t>1</m:t>
                    </m:r>
                  </m:num>
                  <m:den>
                    <m:sSub>
                      <m:e>
                        <m:r>
                          <m:t>N</m:t>
                        </m:r>
                      </m:e>
                      <m:sub>
                        <m:r>
                          <m:t>m</m:t>
                        </m:r>
                      </m:sub>
                    </m:sSub>
                  </m:den>
                </m:f>
                <m:nary>
                  <m:naryPr>
                    <m:chr m:val="∑"/>
                    <m:limLoc m:val="undOvr"/>
                    <m:subHide m:val="off"/>
                    <m:supHide m:val="off"/>
                  </m:naryPr>
                  <m:sub>
                    <m:r>
                      <m:t>i</m:t>
                    </m:r>
                    <m:r>
                      <m:rPr>
                        <m:sty m:val="p"/>
                      </m:rPr>
                      <m:t>=</m:t>
                    </m:r>
                    <m:r>
                      <m:t>1</m:t>
                    </m:r>
                  </m:sub>
                  <m:sup>
                    <m:sSub>
                      <m:e>
                        <m:r>
                          <m:t>N</m:t>
                        </m:r>
                      </m:e>
                      <m:sub>
                        <m:r>
                          <m:t>m</m:t>
                        </m:r>
                      </m:sub>
                    </m:sSub>
                  </m:sup>
                  <m:e>
                    <m:sSup>
                      <m:e>
                        <m:d>
                          <m:dPr>
                            <m:begChr m:val="("/>
                            <m:endChr m:val=")"/>
                            <m:sepChr m:val=""/>
                            <m:grow/>
                          </m:dPr>
                          <m:e>
                            <m:f>
                              <m:fPr>
                                <m:type m:val="bar"/>
                              </m:fPr>
                              <m:num>
                                <m:r>
                                  <m:t>H</m:t>
                                </m:r>
                                <m:r>
                                  <m:rPr>
                                    <m:sty m:val="p"/>
                                  </m:rPr>
                                  <m:t>−</m:t>
                                </m:r>
                                <m:r>
                                  <m:t>D</m:t>
                                </m:r>
                                <m:sSub>
                                  <m:e>
                                    <m:r>
                                      <m:t>K</m:t>
                                    </m:r>
                                  </m:e>
                                  <m:sub>
                                    <m:r>
                                      <m:t>m</m:t>
                                    </m:r>
                                    <m:r>
                                      <m:t>i</m:t>
                                    </m:r>
                                  </m:sub>
                                </m:sSub>
                                <m:r>
                                  <m:rPr>
                                    <m:sty m:val="p"/>
                                  </m:rPr>
                                  <m:t>−</m:t>
                                </m:r>
                                <m:sSub>
                                  <m:e>
                                    <m:r>
                                      <m:t>y</m:t>
                                    </m:r>
                                  </m:e>
                                  <m:sub>
                                    <m:r>
                                      <m:t>m</m:t>
                                    </m:r>
                                    <m:r>
                                      <m:t>i</m:t>
                                    </m:r>
                                  </m:sub>
                                </m:sSub>
                              </m:num>
                              <m:den>
                                <m:sSub>
                                  <m:e>
                                    <m:r>
                                      <m:t>K</m:t>
                                    </m:r>
                                  </m:e>
                                  <m:sub>
                                    <m:r>
                                      <m:t>0</m:t>
                                    </m:r>
                                    <m:r>
                                      <m:t>m</m:t>
                                    </m:r>
                                  </m:sub>
                                </m:sSub>
                              </m:den>
                            </m:f>
                          </m:e>
                        </m:d>
                      </m:e>
                      <m:sup>
                        <m:r>
                          <m:t>2</m:t>
                        </m:r>
                      </m:sup>
                    </m:sSup>
                  </m:e>
                </m:nary>
                <m:r>
                  <m:rPr>
                    <m:sty m:val="p"/>
                  </m:rPr>
                  <m:t>,</m:t>
                </m:r>
              </m:e>
            </m:mr>
            <m:mr>
              <m:e>
                <m:r>
                  <m:rPr>
                    <m:nor/>
                    <m:sty m:val="p"/>
                  </m:rPr>
                  <m:t>subject to</m:t>
                </m:r>
                <m:r>
                  <m:t> </m:t>
                </m:r>
                <m:sSubSup>
                  <m:e>
                    <m:r>
                      <m:t>b</m:t>
                    </m:r>
                  </m:e>
                  <m:sub>
                    <m:r>
                      <m:t>m</m:t>
                    </m:r>
                    <m:r>
                      <m:t>i</m:t>
                    </m:r>
                  </m:sub>
                  <m:sup>
                    <m:r>
                      <m:rPr>
                        <m:sty m:val="p"/>
                      </m:rPr>
                      <m:t>−</m:t>
                    </m:r>
                  </m:sup>
                </m:sSubSup>
                <m:r>
                  <m:rPr>
                    <m:sty m:val="p"/>
                  </m:rPr>
                  <m:t>≤</m:t>
                </m:r>
                <m:r>
                  <m:t>H</m:t>
                </m:r>
                <m:r>
                  <m:rPr>
                    <m:sty m:val="p"/>
                  </m:rPr>
                  <m:t>−</m:t>
                </m:r>
                <m:r>
                  <m:t>D</m:t>
                </m:r>
                <m:sSub>
                  <m:e>
                    <m:r>
                      <m:t>K</m:t>
                    </m:r>
                  </m:e>
                  <m:sub>
                    <m:r>
                      <m:t>m</m:t>
                    </m:r>
                    <m:r>
                      <m:t>i</m:t>
                    </m:r>
                  </m:sub>
                </m:sSub>
                <m:r>
                  <m:rPr>
                    <m:sty m:val="p"/>
                  </m:rPr>
                  <m:t>≤</m:t>
                </m:r>
                <m:sSubSup>
                  <m:e>
                    <m:r>
                      <m:t>b</m:t>
                    </m:r>
                  </m:e>
                  <m:sub>
                    <m:r>
                      <m:t>m</m:t>
                    </m:r>
                    <m:r>
                      <m:t>i</m:t>
                    </m:r>
                  </m:sub>
                  <m:sup>
                    <m:r>
                      <m:rPr>
                        <m:sty m:val="p"/>
                      </m:rPr>
                      <m:t>+</m:t>
                    </m:r>
                  </m:sup>
                </m:sSubSup>
                <m:r>
                  <m:t> </m:t>
                </m:r>
                <m:r>
                  <m:rPr>
                    <m:nor/>
                    <m:sty m:val="p"/>
                  </m:rPr>
                  <m:t>for every </m:t>
                </m:r>
                <m:r>
                  <m:t>i</m:t>
                </m:r>
                <m:r>
                  <m:rPr>
                    <m:sty m:val="p"/>
                  </m:rPr>
                  <m:t>,</m:t>
                </m:r>
              </m:e>
            </m:mr>
            <m:mr>
              <m:e>
                <m:r>
                  <m:t>D</m:t>
                </m:r>
                <m:r>
                  <m:rPr>
                    <m:sty m:val="p"/>
                  </m:rPr>
                  <m:t>≥</m:t>
                </m:r>
                <m:sSub>
                  <m:e>
                    <m:r>
                      <m:t>ε</m:t>
                    </m:r>
                  </m:e>
                  <m:sub>
                    <m:r>
                      <m:rPr>
                        <m:sty m:val="p"/>
                      </m:rPr>
                      <m:t>c</m:t>
                    </m:r>
                    <m:r>
                      <m:rPr>
                        <m:sty m:val="p"/>
                      </m:rPr>
                      <m:t>a</m:t>
                    </m:r>
                    <m:r>
                      <m:rPr>
                        <m:sty m:val="p"/>
                      </m:rPr>
                      <m:t>r</m:t>
                    </m:r>
                    <m:r>
                      <m:rPr>
                        <m:sty m:val="p"/>
                      </m:rPr>
                      <m:t>r</m:t>
                    </m:r>
                    <m:r>
                      <m:rPr>
                        <m:sty m:val="p"/>
                      </m:rPr>
                      <m:t>y</m:t>
                    </m:r>
                  </m:sub>
                </m:sSub>
                <m:r>
                  <m:rPr>
                    <m:sty m:val="p"/>
                  </m:rPr>
                  <m:t>,</m:t>
                </m:r>
                <m:r>
                  <m:t> </m:t>
                </m:r>
                <m:r>
                  <m:t>H</m:t>
                </m:r>
                <m:r>
                  <m:rPr>
                    <m:sty m:val="p"/>
                  </m:rPr>
                  <m:t>≥</m:t>
                </m:r>
                <m:sSub>
                  <m:e>
                    <m:r>
                      <m:t>ε</m:t>
                    </m:r>
                  </m:e>
                  <m:sub>
                    <m:r>
                      <m:rPr>
                        <m:sty m:val="p"/>
                      </m:rPr>
                      <m:t>c</m:t>
                    </m:r>
                    <m:r>
                      <m:rPr>
                        <m:sty m:val="p"/>
                      </m:rPr>
                      <m:t>a</m:t>
                    </m:r>
                    <m:r>
                      <m:rPr>
                        <m:sty m:val="p"/>
                      </m:rPr>
                      <m:t>r</m:t>
                    </m:r>
                    <m:r>
                      <m:rPr>
                        <m:sty m:val="p"/>
                      </m:rPr>
                      <m:t>r</m:t>
                    </m:r>
                    <m:r>
                      <m:rPr>
                        <m:sty m:val="p"/>
                      </m:rPr>
                      <m:t>y</m:t>
                    </m:r>
                  </m:sub>
                </m:sSub>
                <m:sSub>
                  <m:e>
                    <m:r>
                      <m:t>K</m:t>
                    </m:r>
                  </m:e>
                  <m:sub>
                    <m:r>
                      <m:t>0</m:t>
                    </m:r>
                    <m:r>
                      <m:t>m</m:t>
                    </m:r>
                  </m:sub>
                </m:sSub>
                <m:r>
                  <m:rPr>
                    <m:sty m:val="p"/>
                  </m:rPr>
                  <m:t>,</m:t>
                </m:r>
              </m:e>
            </m:mr>
            <m:mr>
              <m:e>
                <m:sSub>
                  <m:e>
                    <m:r>
                      <m:t>ε</m:t>
                    </m:r>
                  </m:e>
                  <m:sub>
                    <m:r>
                      <m:rPr>
                        <m:sty m:val="p"/>
                      </m:rPr>
                      <m:t>c</m:t>
                    </m:r>
                    <m:r>
                      <m:rPr>
                        <m:sty m:val="p"/>
                      </m:rPr>
                      <m:t>a</m:t>
                    </m:r>
                    <m:r>
                      <m:rPr>
                        <m:sty m:val="p"/>
                      </m:rPr>
                      <m:t>r</m:t>
                    </m:r>
                    <m:r>
                      <m:rPr>
                        <m:sty m:val="p"/>
                      </m:rPr>
                      <m:t>r</m:t>
                    </m:r>
                    <m:r>
                      <m:rPr>
                        <m:sty m:val="p"/>
                      </m:rPr>
                      <m:t>y</m:t>
                    </m:r>
                  </m:sub>
                </m:sSub>
                <m:r>
                  <m:rPr>
                    <m:sty m:val="p"/>
                  </m:rPr>
                  <m:t>=</m:t>
                </m:r>
                <m:sSup>
                  <m:e>
                    <m:r>
                      <m:t>10</m:t>
                    </m:r>
                  </m:e>
                  <m:sup>
                    <m:r>
                      <m:rPr>
                        <m:sty m:val="p"/>
                      </m:rPr>
                      <m:t>−</m:t>
                    </m:r>
                    <m:r>
                      <m:t>8</m:t>
                    </m:r>
                  </m:sup>
                </m:sSup>
                <m:r>
                  <m:rPr>
                    <m:sty m:val="p"/>
                  </m:rPr>
                  <m:t>,</m:t>
                </m:r>
                <m:r>
                  <m:t>  </m:t>
                </m:r>
                <m:sSub>
                  <m:e>
                    <m:acc>
                      <m:accPr>
                        <m:chr m:val="̂"/>
                      </m:accPr>
                      <m:e>
                        <m:r>
                          <m:t>F</m:t>
                        </m:r>
                      </m:e>
                    </m:acc>
                  </m:e>
                  <m:sub>
                    <m:r>
                      <m:t>m</m:t>
                    </m:r>
                  </m:sub>
                </m:sSub>
                <m:r>
                  <m:rPr>
                    <m:sty m:val="p"/>
                  </m:rPr>
                  <m:t>=</m:t>
                </m:r>
                <m:sSub>
                  <m:e>
                    <m:acc>
                      <m:accPr>
                        <m:chr m:val="̂"/>
                      </m:accPr>
                      <m:e>
                        <m:r>
                          <m:t>H</m:t>
                        </m:r>
                      </m:e>
                    </m:acc>
                  </m:e>
                  <m:sub>
                    <m:r>
                      <m:t>m</m:t>
                    </m:r>
                  </m:sub>
                </m:sSub>
                <m:r>
                  <m:rPr>
                    <m:sty m:val="p"/>
                  </m:rPr>
                  <m:t>/</m:t>
                </m:r>
                <m:sSub>
                  <m:e>
                    <m:acc>
                      <m:accPr>
                        <m:chr m:val="̂"/>
                      </m:accPr>
                      <m:e>
                        <m:r>
                          <m:t>D</m:t>
                        </m:r>
                      </m:e>
                    </m:acc>
                  </m:e>
                  <m:sub>
                    <m:r>
                      <m:t>m</m:t>
                    </m:r>
                  </m:sub>
                </m:sSub>
                <m:r>
                  <m:rPr>
                    <m:sty m:val="p"/>
                  </m:rPr>
                  <m:t>.</m:t>
                </m:r>
              </m:e>
            </m:mr>
          </m:m>
        </m:oMath>
      </m:oMathPara>
    </w:p>
    <w:p>
      <w:bookmarkStart w:id="631" w:name="equation39"/>
      <w:pPr>
        <w:pStyle w:val="EquationCaption"/>
      </w:pPr>
      <w:r>
        <w:t xml:space="preserve">Equation 39. Constrained quote-implied discount and forward estimation.</w:t>
      </w:r>
      <w:bookmarkEnd w:id="631"/>
    </w:p>
    <w:p>
      <w:pPr>
        <w:pStyle w:val="BodyText"/>
      </w:pPr>
      <w:r>
        <w:t xml:space="preserve">The implementation centres strikes and independently verifies every parity bound. Separate LPs project the feasible discount interval. That projection is a compatibility set, not a confidence interval. An empty or unbounded projection blocks calibration. The forward is the regression-implied ratio</w:t>
      </w:r>
      <w:r>
        <w:t xml:space="preserve"> </w:t>
      </w:r>
      <m:oMath>
        <m:acc>
          <m:accPr>
            <m:chr m:val="̂"/>
          </m:accPr>
          <m:e>
            <m:r>
              <m:t>H</m:t>
            </m:r>
          </m:e>
        </m:acc>
        <m:r>
          <m:rPr>
            <m:sty m:val="p"/>
          </m:rPr>
          <m:t>/</m:t>
        </m:r>
        <m:acc>
          <m:accPr>
            <m:chr m:val="̂"/>
          </m:accPr>
          <m:e>
            <m:r>
              <m:t>D</m:t>
            </m:r>
          </m:e>
        </m:acc>
      </m:oMath>
      <w:r>
        <w:t xml:space="preserve">, rather than the midpoint of Equation (34)’s conditional interval.</w:t>
      </w:r>
    </w:p>
    <w:p>
      <w:pPr>
        <w:pStyle w:val="BodyText"/>
        <w:keepNext/>
        <w:spacing w:before="120" w:after="40"/>
        <w:jc w:val="center"/>
      </w:pPr>
      <m:oMathPara>
        <m:oMathParaPr>
          <m:jc m:val="center"/>
        </m:oMathParaPr>
        <m:oMath>
          <m:sSub>
            <m:e>
              <m:acc>
                <m:accPr>
                  <m:chr m:val="̂"/>
                </m:accPr>
                <m:e>
                  <m:r>
                    <m:t>r</m:t>
                  </m:r>
                </m:e>
              </m:acc>
            </m:e>
            <m:sub>
              <m:r>
                <m:t>m</m:t>
              </m:r>
            </m:sub>
          </m:sSub>
          <m:r>
            <m:rPr>
              <m:sty m:val="p"/>
            </m:rPr>
            <m:t>=</m:t>
          </m:r>
          <m:r>
            <m:rPr>
              <m:sty m:val="p"/>
            </m:rPr>
            <m:t>−</m:t>
          </m:r>
          <m:f>
            <m:fPr>
              <m:type m:val="bar"/>
            </m:fPr>
            <m:num>
              <m:r>
                <m:rPr>
                  <m:sty m:val="p"/>
                </m:rPr>
                <m:t>log</m:t>
              </m:r>
              <m:sSub>
                <m:e>
                  <m:acc>
                    <m:accPr>
                      <m:chr m:val="̂"/>
                    </m:accPr>
                    <m:e>
                      <m:r>
                        <m:t>D</m:t>
                      </m:r>
                    </m:e>
                  </m:acc>
                </m:e>
                <m:sub>
                  <m:r>
                    <m:t>m</m:t>
                  </m:r>
                </m:sub>
              </m:sSub>
            </m:num>
            <m:den>
              <m:sSub>
                <m:e>
                  <m:r>
                    <m:t>T</m:t>
                  </m:r>
                </m:e>
                <m:sub>
                  <m:r>
                    <m:t>m</m:t>
                  </m:r>
                </m:sub>
              </m:sSub>
            </m:den>
          </m:f>
          <m:r>
            <m:rPr>
              <m:sty m:val="p"/>
            </m:rPr>
            <m:t>.</m:t>
          </m:r>
        </m:oMath>
      </m:oMathPara>
    </w:p>
    <w:p>
      <w:bookmarkStart w:id="632" w:name="equation40"/>
      <w:pPr>
        <w:pStyle w:val="EquationCaption"/>
      </w:pPr>
      <w:r>
        <w:t xml:space="preserve">Equation 40. Quote-implied continuously compounded rate equivalent.</w:t>
      </w:r>
      <w:bookmarkEnd w:id="632"/>
    </w:p>
    <w:p>
      <w:pPr>
        <w:pStyle w:val="BodyText"/>
      </w:pPr>
      <w:r>
        <w:t xml:space="preserve">Equation (40) merely converts the fitted discount into an equivalent continuously compounded rate. It is not an independently observed risk-free curve or a finding about a particular funding mechanism. Bid–ask effects and the assumed parity inputs can influence it.</w:t>
      </w:r>
    </w:p>
    <w:p>
      <w:pPr>
        <w:sectPr>
          <w:type w:val="nextPage"/>
          <w:pgSz w:w="11906" w:h="16838" w:orient="portrait"/>
          <w:pgMar w:top="1008" w:bottom="1008" w:left="1152" w:right="1152" w:header="432" w:footer="432" w:gutter="0"/>
          <w:pgNumType w:fmt="decimal"/>
        </w:sectPr>
        <w:spacing w:before="0" w:after="0" w:line="1" w:lineRule="exact"/>
      </w:pPr>
      <w:r>
        <w:rPr>
          <w:sz w:val="2"/>
        </w:rPr>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047"/>
        <w:gridCol w:w="2047"/>
        <w:gridCol w:w="2047"/>
        <w:gridCol w:w="2047"/>
        <w:gridCol w:w="2047"/>
        <w:gridCol w:w="2047"/>
        <w:gridCol w:w="2047"/>
      </w:tblGrid>
      <w:tr>
        <w:trPr>
          <w:tblHeader w:val="true"/>
          <w:cantSplit/>
          <w:tblHeader/>
        </w:trPr>
        <w:tc>
          <w:tcPr>
            <w:tcW w:type="dxa" w:w="2047"/>
            <w:vAlign w:val="center"/>
            <w:shd w:fill="E9EEF3"/>
          </w:tcPr>
          <w:p>
            <w:pPr>
              <w:pStyle w:val="Compact"/>
              <w:keepNext/>
              <w:keepLines/>
              <w:spacing w:after="40" w:before="40" w:line="252" w:lineRule="auto"/>
              <w:jc w:val="left"/>
            </w:pPr>
            <w:r>
              <w:rPr>
                <w:b/>
                <w:sz w:val="20"/>
              </w:rPr>
              <w:t xml:space="preserve">Expiry</w:t>
            </w:r>
          </w:p>
        </w:tc>
        <w:tc>
          <w:tcPr>
            <w:tcW w:type="dxa" w:w="2047"/>
            <w:vAlign w:val="center"/>
            <w:shd w:fill="E9EEF3"/>
          </w:tcPr>
          <w:p>
            <w:pPr>
              <w:pStyle w:val="Compact"/>
              <w:keepNext/>
              <w:keepLines/>
              <w:spacing w:after="40" w:before="40" w:line="252" w:lineRule="auto"/>
              <w:jc w:val="left"/>
            </w:pPr>
            <w:r>
              <w:rPr>
                <w:b/>
                <w:sz w:val="20"/>
              </w:rPr>
              <w:t xml:space="preserve">Pairs</w:t>
            </w:r>
          </w:p>
        </w:tc>
        <w:tc>
          <w:tcPr>
            <w:tcW w:type="dxa" w:w="2047"/>
            <w:vAlign w:val="center"/>
            <w:shd w:fill="E9EEF3"/>
          </w:tcPr>
          <w:p>
            <w:pPr>
              <w:pStyle w:val="Compact"/>
              <w:keepNext/>
              <w:keepLines/>
              <w:spacing w:after="40" w:before="40" w:line="252" w:lineRule="auto"/>
              <w:jc w:val="left"/>
            </w:pPr>
            <w:r>
              <w:rPr>
                <w:b/>
                <w:sz w:val="20"/>
              </w:rPr>
              <w:t xml:space="preserve">Elapsed days</w:t>
            </w:r>
          </w:p>
        </w:tc>
        <w:tc>
          <w:tcPr>
            <w:tcW w:type="dxa" w:w="2047"/>
            <w:vAlign w:val="center"/>
            <w:shd w:fill="E9EEF3"/>
          </w:tcPr>
          <w:p>
            <w:pPr>
              <w:pStyle w:val="Compact"/>
              <w:keepNext/>
              <w:keepLines/>
              <w:spacing w:after="40" w:before="40" w:line="252" w:lineRule="auto"/>
              <w:jc w:val="left"/>
            </w:pPr>
            <w:r>
              <w:rPr>
                <w:b/>
                <w:sz w:val="20"/>
              </w:rPr>
              <w:t xml:space="preserve">Inferred D</w:t>
            </w:r>
          </w:p>
        </w:tc>
        <w:tc>
          <w:tcPr>
            <w:tcW w:type="dxa" w:w="2047"/>
            <w:vAlign w:val="center"/>
            <w:shd w:fill="E9EEF3"/>
          </w:tcPr>
          <w:p>
            <w:pPr>
              <w:pStyle w:val="Compact"/>
              <w:keepNext/>
              <w:keepLines/>
              <w:spacing w:after="40" w:before="40" w:line="252" w:lineRule="auto"/>
              <w:jc w:val="left"/>
            </w:pPr>
            <w:r>
              <w:rPr>
                <w:b/>
                <w:sz w:val="20"/>
              </w:rPr>
              <w:t xml:space="preserve">Feasible D range</w:t>
            </w:r>
          </w:p>
        </w:tc>
        <w:tc>
          <w:tcPr>
            <w:tcW w:type="dxa" w:w="2047"/>
            <w:vAlign w:val="center"/>
            <w:shd w:fill="E9EEF3"/>
          </w:tcPr>
          <w:p>
            <w:pPr>
              <w:pStyle w:val="Compact"/>
              <w:keepNext/>
              <w:keepLines/>
              <w:spacing w:after="40" w:before="40" w:line="252" w:lineRule="auto"/>
              <w:jc w:val="left"/>
            </w:pPr>
            <w:r>
              <w:rPr>
                <w:b/>
                <w:sz w:val="20"/>
              </w:rPr>
              <w:t xml:space="preserve">Inferred F (points)</w:t>
            </w:r>
          </w:p>
        </w:tc>
        <w:tc>
          <w:tcPr>
            <w:tcW w:type="dxa" w:w="2047"/>
            <w:vAlign w:val="center"/>
            <w:shd w:fill="E9EEF3"/>
          </w:tcPr>
          <w:p>
            <w:pPr>
              <w:pStyle w:val="Compact"/>
              <w:keepNext/>
              <w:keepLines/>
              <w:spacing w:after="40" w:before="40" w:line="252" w:lineRule="auto"/>
              <w:jc w:val="left"/>
            </w:pPr>
            <w:r>
              <w:rPr>
                <w:b/>
                <w:sz w:val="20"/>
              </w:rPr>
              <w:t xml:space="preserve">Implied rate (%/yr)</w:t>
            </w:r>
          </w:p>
        </w:tc>
      </w:tr>
      <w:tr>
        <w:trPr>
          <w:cantSplit/>
        </w:trPr>
        <w:tc>
          <w:tcPr>
            <w:tcW w:type="dxa" w:w="2047"/>
            <w:vAlign w:val="center"/>
          </w:tcPr>
          <w:p>
            <w:pPr>
              <w:pStyle w:val="Compact"/>
              <w:keepNext/>
              <w:keepLines/>
              <w:spacing w:after="40" w:before="40" w:line="252" w:lineRule="auto"/>
              <w:jc w:val="right"/>
            </w:pPr>
            <w:r>
              <w:rPr>
                <w:b w:val="0"/>
                <w:sz w:val="20"/>
              </w:rPr>
              <w:t xml:space="preserve">2026-10-16</w:t>
            </w:r>
          </w:p>
        </w:tc>
        <w:tc>
          <w:tcPr>
            <w:tcW w:type="dxa" w:w="2047"/>
            <w:vAlign w:val="center"/>
          </w:tcPr>
          <w:p>
            <w:pPr>
              <w:pStyle w:val="Compact"/>
              <w:keepNext/>
              <w:keepLines/>
              <w:spacing w:after="40" w:before="40" w:line="252" w:lineRule="auto"/>
              <w:jc w:val="right"/>
            </w:pPr>
            <w:r>
              <w:rPr>
                <w:b w:val="0"/>
                <w:sz w:val="20"/>
              </w:rPr>
              <w:t xml:space="preserve">364</w:t>
            </w:r>
          </w:p>
        </w:tc>
        <w:tc>
          <w:tcPr>
            <w:tcW w:type="dxa" w:w="2047"/>
            <w:vAlign w:val="center"/>
          </w:tcPr>
          <w:p>
            <w:pPr>
              <w:pStyle w:val="Compact"/>
              <w:keepNext/>
              <w:keepLines/>
              <w:spacing w:after="40" w:before="40" w:line="252" w:lineRule="auto"/>
              <w:jc w:val="right"/>
            </w:pPr>
            <w:r>
              <w:rPr>
                <w:b w:val="0"/>
                <w:sz w:val="20"/>
              </w:rPr>
              <w:t xml:space="preserve">28.00000</w:t>
            </w:r>
          </w:p>
        </w:tc>
        <w:tc>
          <w:tcPr>
            <w:tcW w:type="dxa" w:w="2047"/>
            <w:vAlign w:val="center"/>
          </w:tcPr>
          <w:p>
            <w:pPr>
              <w:pStyle w:val="Compact"/>
              <w:keepNext/>
              <w:keepLines/>
              <w:spacing w:after="40" w:before="40" w:line="252" w:lineRule="auto"/>
              <w:jc w:val="right"/>
            </w:pPr>
            <w:r>
              <w:rPr>
                <w:b w:val="0"/>
                <w:sz w:val="20"/>
              </w:rPr>
              <w:t xml:space="preserve">0.99692766</w:t>
            </w:r>
          </w:p>
        </w:tc>
        <w:tc>
          <w:tcPr>
            <w:tcW w:type="dxa" w:w="2047"/>
            <w:vAlign w:val="center"/>
          </w:tcPr>
          <w:p>
            <w:pPr>
              <w:pStyle w:val="Compact"/>
              <w:keepNext/>
              <w:keepLines/>
              <w:spacing w:after="40" w:before="40" w:line="252" w:lineRule="auto"/>
              <w:jc w:val="left"/>
            </w:pPr>
            <w:r>
              <w:rPr>
                <w:b w:val="0"/>
                <w:sz w:val="20"/>
              </w:rPr>
              <w:t xml:space="preserve">[0.99355705, 1.00051635]</w:t>
            </w:r>
          </w:p>
        </w:tc>
        <w:tc>
          <w:tcPr>
            <w:tcW w:type="dxa" w:w="2047"/>
            <w:vAlign w:val="center"/>
          </w:tcPr>
          <w:p>
            <w:pPr>
              <w:pStyle w:val="Compact"/>
              <w:keepNext/>
              <w:keepLines/>
              <w:spacing w:after="40" w:before="40" w:line="252" w:lineRule="auto"/>
              <w:jc w:val="right"/>
            </w:pPr>
            <w:r>
              <w:rPr>
                <w:b w:val="0"/>
                <w:sz w:val="20"/>
              </w:rPr>
              <w:t xml:space="preserve">7666.5433</w:t>
            </w:r>
          </w:p>
        </w:tc>
        <w:tc>
          <w:tcPr>
            <w:tcW w:type="dxa" w:w="2047"/>
            <w:vAlign w:val="center"/>
          </w:tcPr>
          <w:p>
            <w:pPr>
              <w:pStyle w:val="Compact"/>
              <w:keepNext/>
              <w:keepLines/>
              <w:spacing w:after="40" w:before="40" w:line="252" w:lineRule="auto"/>
              <w:jc w:val="right"/>
            </w:pPr>
            <w:r>
              <w:rPr>
                <w:b w:val="0"/>
                <w:sz w:val="20"/>
              </w:rPr>
              <w:t xml:space="preserve">4.0112</w:t>
            </w:r>
          </w:p>
        </w:tc>
      </w:tr>
      <w:tr>
        <w:trPr>
          <w:cantSplit/>
        </w:trPr>
        <w:tc>
          <w:tcPr>
            <w:tcW w:type="dxa" w:w="2047"/>
            <w:vAlign w:val="center"/>
          </w:tcPr>
          <w:p>
            <w:pPr>
              <w:pStyle w:val="Compact"/>
              <w:keepNext/>
              <w:keepLines/>
              <w:spacing w:after="40" w:before="40" w:line="252" w:lineRule="auto"/>
              <w:jc w:val="right"/>
            </w:pPr>
            <w:r>
              <w:rPr>
                <w:b w:val="0"/>
                <w:sz w:val="20"/>
              </w:rPr>
              <w:t xml:space="preserve">2026-11-20</w:t>
            </w:r>
          </w:p>
        </w:tc>
        <w:tc>
          <w:tcPr>
            <w:tcW w:type="dxa" w:w="2047"/>
            <w:vAlign w:val="center"/>
          </w:tcPr>
          <w:p>
            <w:pPr>
              <w:pStyle w:val="Compact"/>
              <w:keepNext/>
              <w:keepLines/>
              <w:spacing w:after="40" w:before="40" w:line="252" w:lineRule="auto"/>
              <w:jc w:val="right"/>
            </w:pPr>
            <w:r>
              <w:rPr>
                <w:b w:val="0"/>
                <w:sz w:val="20"/>
              </w:rPr>
              <w:t xml:space="preserve">344</w:t>
            </w:r>
          </w:p>
        </w:tc>
        <w:tc>
          <w:tcPr>
            <w:tcW w:type="dxa" w:w="2047"/>
            <w:vAlign w:val="center"/>
          </w:tcPr>
          <w:p>
            <w:pPr>
              <w:pStyle w:val="Compact"/>
              <w:keepNext/>
              <w:keepLines/>
              <w:spacing w:after="40" w:before="40" w:line="252" w:lineRule="auto"/>
              <w:jc w:val="right"/>
            </w:pPr>
            <w:r>
              <w:rPr>
                <w:b w:val="0"/>
                <w:sz w:val="20"/>
              </w:rPr>
              <w:t xml:space="preserve">63.04167</w:t>
            </w:r>
          </w:p>
        </w:tc>
        <w:tc>
          <w:tcPr>
            <w:tcW w:type="dxa" w:w="2047"/>
            <w:vAlign w:val="center"/>
          </w:tcPr>
          <w:p>
            <w:pPr>
              <w:pStyle w:val="Compact"/>
              <w:keepNext/>
              <w:keepLines/>
              <w:spacing w:after="40" w:before="40" w:line="252" w:lineRule="auto"/>
              <w:jc w:val="right"/>
            </w:pPr>
            <w:r>
              <w:rPr>
                <w:b w:val="0"/>
                <w:sz w:val="20"/>
              </w:rPr>
              <w:t xml:space="preserve">0.99259513</w:t>
            </w:r>
          </w:p>
        </w:tc>
        <w:tc>
          <w:tcPr>
            <w:tcW w:type="dxa" w:w="2047"/>
            <w:vAlign w:val="center"/>
          </w:tcPr>
          <w:p>
            <w:pPr>
              <w:pStyle w:val="Compact"/>
              <w:keepNext/>
              <w:keepLines/>
              <w:spacing w:after="40" w:before="40" w:line="252" w:lineRule="auto"/>
              <w:jc w:val="left"/>
            </w:pPr>
            <w:r>
              <w:rPr>
                <w:b w:val="0"/>
                <w:sz w:val="20"/>
              </w:rPr>
              <w:t xml:space="preserve">[0.99038168, 0.99531840]</w:t>
            </w:r>
          </w:p>
        </w:tc>
        <w:tc>
          <w:tcPr>
            <w:tcW w:type="dxa" w:w="2047"/>
            <w:vAlign w:val="center"/>
          </w:tcPr>
          <w:p>
            <w:pPr>
              <w:pStyle w:val="Compact"/>
              <w:keepNext/>
              <w:keepLines/>
              <w:spacing w:after="40" w:before="40" w:line="252" w:lineRule="auto"/>
              <w:jc w:val="right"/>
            </w:pPr>
            <w:r>
              <w:rPr>
                <w:b w:val="0"/>
                <w:sz w:val="20"/>
              </w:rPr>
              <w:t xml:space="preserve">7691.7365</w:t>
            </w:r>
          </w:p>
        </w:tc>
        <w:tc>
          <w:tcPr>
            <w:tcW w:type="dxa" w:w="2047"/>
            <w:vAlign w:val="center"/>
          </w:tcPr>
          <w:p>
            <w:pPr>
              <w:pStyle w:val="Compact"/>
              <w:keepNext/>
              <w:keepLines/>
              <w:spacing w:after="40" w:before="40" w:line="252" w:lineRule="auto"/>
              <w:jc w:val="right"/>
            </w:pPr>
            <w:r>
              <w:rPr>
                <w:b w:val="0"/>
                <w:sz w:val="20"/>
              </w:rPr>
              <w:t xml:space="preserve">4.3032</w:t>
            </w:r>
          </w:p>
        </w:tc>
      </w:tr>
      <w:tr>
        <w:trPr>
          <w:cantSplit/>
        </w:trPr>
        <w:tc>
          <w:tcPr>
            <w:tcW w:type="dxa" w:w="2047"/>
            <w:vAlign w:val="center"/>
          </w:tcPr>
          <w:p>
            <w:pPr>
              <w:pStyle w:val="Compact"/>
              <w:keepNext/>
              <w:keepLines/>
              <w:spacing w:after="40" w:before="40" w:line="252" w:lineRule="auto"/>
              <w:jc w:val="right"/>
            </w:pPr>
            <w:r>
              <w:rPr>
                <w:b w:val="0"/>
                <w:sz w:val="20"/>
              </w:rPr>
              <w:t xml:space="preserve">2026-12-18</w:t>
            </w:r>
          </w:p>
        </w:tc>
        <w:tc>
          <w:tcPr>
            <w:tcW w:type="dxa" w:w="2047"/>
            <w:vAlign w:val="center"/>
          </w:tcPr>
          <w:p>
            <w:pPr>
              <w:pStyle w:val="Compact"/>
              <w:keepNext/>
              <w:keepLines/>
              <w:spacing w:after="40" w:before="40" w:line="252" w:lineRule="auto"/>
              <w:jc w:val="right"/>
            </w:pPr>
            <w:r>
              <w:rPr>
                <w:b w:val="0"/>
                <w:sz w:val="20"/>
              </w:rPr>
              <w:t xml:space="preserve">261</w:t>
            </w:r>
          </w:p>
        </w:tc>
        <w:tc>
          <w:tcPr>
            <w:tcW w:type="dxa" w:w="2047"/>
            <w:vAlign w:val="center"/>
          </w:tcPr>
          <w:p>
            <w:pPr>
              <w:pStyle w:val="Compact"/>
              <w:keepNext/>
              <w:keepLines/>
              <w:spacing w:after="40" w:before="40" w:line="252" w:lineRule="auto"/>
              <w:jc w:val="right"/>
            </w:pPr>
            <w:r>
              <w:rPr>
                <w:b w:val="0"/>
                <w:sz w:val="20"/>
              </w:rPr>
              <w:t xml:space="preserve">91.04167</w:t>
            </w:r>
          </w:p>
        </w:tc>
        <w:tc>
          <w:tcPr>
            <w:tcW w:type="dxa" w:w="2047"/>
            <w:vAlign w:val="center"/>
          </w:tcPr>
          <w:p>
            <w:pPr>
              <w:pStyle w:val="Compact"/>
              <w:keepNext/>
              <w:keepLines/>
              <w:spacing w:after="40" w:before="40" w:line="252" w:lineRule="auto"/>
              <w:jc w:val="right"/>
            </w:pPr>
            <w:r>
              <w:rPr>
                <w:b w:val="0"/>
                <w:sz w:val="20"/>
              </w:rPr>
              <w:t xml:space="preserve">0.98895253</w:t>
            </w:r>
          </w:p>
        </w:tc>
        <w:tc>
          <w:tcPr>
            <w:tcW w:type="dxa" w:w="2047"/>
            <w:vAlign w:val="center"/>
          </w:tcPr>
          <w:p>
            <w:pPr>
              <w:pStyle w:val="Compact"/>
              <w:keepNext/>
              <w:keepLines/>
              <w:spacing w:after="40" w:before="40" w:line="252" w:lineRule="auto"/>
              <w:jc w:val="left"/>
            </w:pPr>
            <w:r>
              <w:rPr>
                <w:b w:val="0"/>
                <w:sz w:val="20"/>
              </w:rPr>
              <w:t xml:space="preserve">[0.98664835, 0.99123243]</w:t>
            </w:r>
          </w:p>
        </w:tc>
        <w:tc>
          <w:tcPr>
            <w:tcW w:type="dxa" w:w="2047"/>
            <w:vAlign w:val="center"/>
          </w:tcPr>
          <w:p>
            <w:pPr>
              <w:pStyle w:val="Compact"/>
              <w:keepNext/>
              <w:keepLines/>
              <w:spacing w:after="40" w:before="40" w:line="252" w:lineRule="auto"/>
              <w:jc w:val="right"/>
            </w:pPr>
            <w:r>
              <w:rPr>
                <w:b w:val="0"/>
                <w:sz w:val="20"/>
              </w:rPr>
              <w:t xml:space="preserve">7712.2104</w:t>
            </w:r>
          </w:p>
        </w:tc>
        <w:tc>
          <w:tcPr>
            <w:tcW w:type="dxa" w:w="2047"/>
            <w:vAlign w:val="center"/>
          </w:tcPr>
          <w:p>
            <w:pPr>
              <w:pStyle w:val="Compact"/>
              <w:keepNext/>
              <w:keepLines/>
              <w:spacing w:after="40" w:before="40" w:line="252" w:lineRule="auto"/>
              <w:jc w:val="right"/>
            </w:pPr>
            <w:r>
              <w:rPr>
                <w:b w:val="0"/>
                <w:sz w:val="20"/>
              </w:rPr>
              <w:t xml:space="preserve">4.4537</w:t>
            </w:r>
          </w:p>
        </w:tc>
      </w:tr>
    </w:tbl>
    <w:p>
      <w:bookmarkStart w:id="633" w:name="table27"/>
      <w:pPr>
        <w:pStyle w:val="TableCaption"/>
      </w:pPr>
      <w:r>
        <w:t xml:space="preserve">Table 27. Full-sample quote-implied carry inputs. The discount intervals project all retained pair inequalities. Forward values are in index points; the last column is the equivalent annual rate, expressed as a percentage. Reporting digits aid reconstruction and do not imply this degree of economic precision.</w:t>
      </w:r>
      <w:bookmarkEnd w:id="633"/>
    </w:p>
    <w:p>
      <w:pPr>
        <w:sectPr>
          <w:type w:val="nextPage"/>
          <w:pgSz w:w="16838" w:h="11906" w:orient="landscape"/>
          <w:pgMar w:top="1008" w:bottom="1008" w:left="1152" w:right="1152" w:header="432" w:footer="432" w:gutter="0"/>
          <w:pgNumType w:fmt="decimal"/>
        </w:sectPr>
        <w:spacing w:before="0" w:after="0" w:line="1" w:lineRule="exact"/>
      </w:pPr>
      <w:r>
        <w:rPr>
          <w:sz w:val="2"/>
        </w:rPr>
      </w:r>
    </w:p>
    <w:bookmarkEnd w:id="134"/>
    <w:bookmarkStart w:id="144" w:name="X12ed668463a1d898bcc756a3418aee0dd85cf5b"/>
    <w:p>
      <w:bookmarkStart w:id="634" w:name="h35"/>
      <w:pPr>
        <w:pStyle w:val="Heading2"/>
        <w:numPr>
          <w:ilvl w:val="1"/>
          <w:numId w:val="70"/>
        </w:numPr>
      </w:pPr>
      <w:bookmarkEnd w:id="634"/>
      <w:r>
        <w:t>Market fit, selection and remaining spread misses</w:t>
      </w:r>
    </w:p>
    <w:p>
      <w:pPr>
        <w:pStyle w:val="FirstParagraph"/>
      </w:pPr>
      <w:r>
        <w:t xml:space="preserve">Both discount and forward are re-estimated from training pairs in each of the three interior-strike folds. The primary grid remains</w:t>
      </w:r>
      <w:r>
        <w:t xml:space="preserve"> </w:t>
      </w:r>
      <m:oMath>
        <m:r>
          <m:rPr>
            <m:sty m:val="p"/>
          </m:rPr>
          <m:t>{</m:t>
        </m:r>
        <m:sSup>
          <m:e>
            <m:r>
              <m:t>10</m:t>
            </m:r>
          </m:e>
          <m:sup>
            <m:r>
              <m:rPr>
                <m:sty m:val="p"/>
              </m:rPr>
              <m:t>−</m:t>
            </m:r>
            <m:r>
              <m:t>7</m:t>
            </m:r>
          </m:sup>
        </m:sSup>
        <m:r>
          <m:rPr>
            <m:sty m:val="p"/>
          </m:rPr>
          <m:t>,</m:t>
        </m:r>
        <m:sSup>
          <m:e>
            <m:r>
              <m:t>10</m:t>
            </m:r>
          </m:e>
          <m:sup>
            <m:r>
              <m:rPr>
                <m:sty m:val="p"/>
              </m:rPr>
              <m:t>−</m:t>
            </m:r>
            <m:r>
              <m:t>6</m:t>
            </m:r>
          </m:sup>
        </m:sSup>
        <m:r>
          <m:rPr>
            <m:sty m:val="p"/>
          </m:rPr>
          <m:t>,</m:t>
        </m:r>
        <m:sSup>
          <m:e>
            <m:r>
              <m:t>10</m:t>
            </m:r>
          </m:e>
          <m:sup>
            <m:r>
              <m:rPr>
                <m:sty m:val="p"/>
              </m:rPr>
              <m:t>−</m:t>
            </m:r>
            <m:r>
              <m:t>5</m:t>
            </m:r>
          </m:sup>
        </m:sSup>
        <m:r>
          <m:rPr>
            <m:sty m:val="p"/>
          </m:rPr>
          <m:t>}</m:t>
        </m:r>
      </m:oMath>
      <w:r>
        <w:t xml:space="preserve"> </w:t>
      </w:r>
      <w:r>
        <w:t xml:space="preserve">on 120 bins. Its weakest coefficient wins. The criterion predicts call midpoints; puts provide parity information and separate fit diagnostics.</w:t>
      </w:r>
    </w:p>
    <w:p>
      <w:pPr>
        <w:sectPr>
          <w:type w:val="nextPage"/>
          <w:pgSz w:w="11906" w:h="16838" w:orient="portrait"/>
          <w:pgMar w:top="1008" w:bottom="1008" w:left="1152" w:right="1152" w:header="432" w:footer="432" w:gutter="0"/>
          <w:pgNumType w:fmt="decimal"/>
        </w:sectPr>
        <w:spacing w:before="0" w:after="0" w:line="1" w:lineRule="exact"/>
      </w:pPr>
      <w:r>
        <w:rPr>
          <w:sz w:val="2"/>
        </w:rPr>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009"/>
        <w:gridCol w:w="2292"/>
        <w:gridCol w:w="2292"/>
        <w:gridCol w:w="2292"/>
        <w:gridCol w:w="2292"/>
        <w:gridCol w:w="2149"/>
      </w:tblGrid>
      <w:tr>
        <w:trPr>
          <w:tblHeader w:val="true"/>
          <w:cantSplit/>
          <w:tblHeader/>
        </w:trPr>
        <w:tc>
          <w:tcPr>
            <w:tcW w:type="dxa" w:w="3009"/>
            <w:vAlign w:val="center"/>
            <w:shd w:fill="E9EEF3"/>
          </w:tcPr>
          <w:p>
            <w:pPr>
              <w:pStyle w:val="Compact"/>
              <w:keepNext/>
              <w:keepLines/>
              <w:spacing w:after="40" w:before="40" w:line="252" w:lineRule="auto"/>
              <w:jc w:val="left"/>
            </w:pPr>
            <w:r>
              <w:rPr>
                <w:b/>
                <w:sz w:val="20"/>
              </w:rPr>
              <w:t xml:space="preserve">Expiry</w:t>
            </w:r>
          </w:p>
        </w:tc>
        <w:tc>
          <w:tcPr>
            <w:tcW w:type="dxa" w:w="2292"/>
            <w:vAlign w:val="center"/>
            <w:shd w:fill="E9EEF3"/>
          </w:tcPr>
          <w:p>
            <w:pPr>
              <w:pStyle w:val="Compact"/>
              <w:keepNext/>
              <w:keepLines/>
              <w:spacing w:after="40" w:before="40" w:line="252" w:lineRule="auto"/>
              <w:jc w:val="left"/>
            </w:pPr>
            <w:r>
              <w:rPr>
                <w:b/>
                <w:sz w:val="20"/>
              </w:rPr>
              <w:t xml:space="preserve">Retained K/F range</w:t>
            </w:r>
          </w:p>
        </w:tc>
        <w:tc>
          <w:tcPr>
            <w:tcW w:type="dxa" w:w="2292"/>
            <w:vAlign w:val="center"/>
            <w:shd w:fill="E9EEF3"/>
          </w:tcPr>
          <w:p>
            <w:pPr>
              <w:pStyle w:val="Compact"/>
              <w:keepNext/>
              <w:keepLines/>
              <w:spacing w:after="40" w:before="40" w:line="252" w:lineRule="auto"/>
              <w:jc w:val="left"/>
            </w:pPr>
            <w:r>
              <w:rPr>
                <w:b/>
                <w:sz w:val="20"/>
              </w:rPr>
              <w:t xml:space="preserve">Call RMSE (points)</w:t>
            </w:r>
          </w:p>
        </w:tc>
        <w:tc>
          <w:tcPr>
            <w:tcW w:type="dxa" w:w="2292"/>
            <w:vAlign w:val="center"/>
            <w:shd w:fill="E9EEF3"/>
          </w:tcPr>
          <w:p>
            <w:pPr>
              <w:pStyle w:val="Compact"/>
              <w:keepNext/>
              <w:keepLines/>
              <w:spacing w:after="40" w:before="40" w:line="252" w:lineRule="auto"/>
              <w:jc w:val="left"/>
            </w:pPr>
            <w:r>
              <w:rPr>
                <w:b/>
                <w:sz w:val="20"/>
              </w:rPr>
              <w:t xml:space="preserve">Put RMSE (points)</w:t>
            </w:r>
          </w:p>
        </w:tc>
        <w:tc>
          <w:tcPr>
            <w:tcW w:type="dxa" w:w="2292"/>
            <w:vAlign w:val="center"/>
            <w:shd w:fill="E9EEF3"/>
          </w:tcPr>
          <w:p>
            <w:pPr>
              <w:pStyle w:val="Compact"/>
              <w:keepNext/>
              <w:keepLines/>
              <w:spacing w:after="40" w:before="40" w:line="252" w:lineRule="auto"/>
              <w:jc w:val="left"/>
            </w:pPr>
            <w:r>
              <w:rPr>
                <w:b/>
                <w:sz w:val="20"/>
              </w:rPr>
              <w:t xml:space="preserve">Calls / puts outside</w:t>
            </w:r>
          </w:p>
        </w:tc>
        <w:tc>
          <w:tcPr>
            <w:tcW w:type="dxa" w:w="2149"/>
            <w:vAlign w:val="center"/>
            <w:shd w:fill="E9EEF3"/>
          </w:tcPr>
          <w:p>
            <w:pPr>
              <w:pStyle w:val="Compact"/>
              <w:keepNext/>
              <w:keepLines/>
              <w:spacing w:after="40" w:before="40" w:line="252" w:lineRule="auto"/>
              <w:jc w:val="left"/>
            </w:pPr>
            <w:r>
              <w:rPr>
                <w:b/>
                <w:sz w:val="20"/>
              </w:rPr>
              <w:t xml:space="preserve">Largest spread miss (points)</w:t>
            </w:r>
          </w:p>
        </w:tc>
      </w:tr>
      <w:tr>
        <w:trPr>
          <w:cantSplit/>
        </w:trPr>
        <w:tc>
          <w:tcPr>
            <w:tcW w:type="dxa" w:w="3009"/>
            <w:vAlign w:val="center"/>
          </w:tcPr>
          <w:p>
            <w:pPr>
              <w:pStyle w:val="Compact"/>
              <w:keepNext/>
              <w:keepLines/>
              <w:spacing w:after="40" w:before="40" w:line="252" w:lineRule="auto"/>
              <w:jc w:val="right"/>
            </w:pPr>
            <w:r>
              <w:rPr>
                <w:b w:val="0"/>
                <w:sz w:val="20"/>
              </w:rPr>
              <w:t xml:space="preserve">2026-10-16</w:t>
            </w:r>
          </w:p>
        </w:tc>
        <w:tc>
          <w:tcPr>
            <w:tcW w:type="dxa" w:w="2292"/>
            <w:vAlign w:val="center"/>
          </w:tcPr>
          <w:p>
            <w:pPr>
              <w:pStyle w:val="Compact"/>
              <w:keepNext/>
              <w:keepLines/>
              <w:spacing w:after="40" w:before="40" w:line="252" w:lineRule="auto"/>
              <w:jc w:val="right"/>
            </w:pPr>
            <w:r>
              <w:rPr>
                <w:b w:val="0"/>
                <w:sz w:val="20"/>
              </w:rPr>
              <w:t xml:space="preserve">0.6261–1.0905</w:t>
            </w:r>
          </w:p>
        </w:tc>
        <w:tc>
          <w:tcPr>
            <w:tcW w:type="dxa" w:w="2292"/>
            <w:vAlign w:val="center"/>
          </w:tcPr>
          <w:p>
            <w:pPr>
              <w:pStyle w:val="Compact"/>
              <w:keepNext/>
              <w:keepLines/>
              <w:spacing w:after="40" w:before="40" w:line="252" w:lineRule="auto"/>
              <w:jc w:val="right"/>
            </w:pPr>
            <w:r>
              <w:rPr>
                <w:b w:val="0"/>
                <w:sz w:val="20"/>
              </w:rPr>
              <w:t xml:space="preserve">0.8895</w:t>
            </w:r>
          </w:p>
        </w:tc>
        <w:tc>
          <w:tcPr>
            <w:tcW w:type="dxa" w:w="2292"/>
            <w:vAlign w:val="center"/>
          </w:tcPr>
          <w:p>
            <w:pPr>
              <w:pStyle w:val="Compact"/>
              <w:keepNext/>
              <w:keepLines/>
              <w:spacing w:after="40" w:before="40" w:line="252" w:lineRule="auto"/>
              <w:jc w:val="right"/>
            </w:pPr>
            <w:r>
              <w:rPr>
                <w:b w:val="0"/>
                <w:sz w:val="20"/>
              </w:rPr>
              <w:t xml:space="preserve">1.0036</w:t>
            </w:r>
          </w:p>
        </w:tc>
        <w:tc>
          <w:tcPr>
            <w:tcW w:type="dxa" w:w="2292"/>
            <w:vAlign w:val="center"/>
          </w:tcPr>
          <w:p>
            <w:pPr>
              <w:pStyle w:val="Compact"/>
              <w:keepNext/>
              <w:keepLines/>
              <w:spacing w:after="40" w:before="40" w:line="252" w:lineRule="auto"/>
              <w:jc w:val="right"/>
            </w:pPr>
            <w:r>
              <w:rPr>
                <w:b w:val="0"/>
                <w:sz w:val="20"/>
              </w:rPr>
              <w:t xml:space="preserve">100 / 236</w:t>
            </w:r>
          </w:p>
        </w:tc>
        <w:tc>
          <w:tcPr>
            <w:tcW w:type="dxa" w:w="2149"/>
            <w:vAlign w:val="center"/>
          </w:tcPr>
          <w:p>
            <w:pPr>
              <w:pStyle w:val="Compact"/>
              <w:keepNext/>
              <w:keepLines/>
              <w:spacing w:after="40" w:before="40" w:line="252" w:lineRule="auto"/>
              <w:jc w:val="right"/>
            </w:pPr>
            <w:r>
              <w:rPr>
                <w:b w:val="0"/>
                <w:sz w:val="20"/>
              </w:rPr>
              <w:t xml:space="preserve">1.8661</w:t>
            </w:r>
          </w:p>
        </w:tc>
      </w:tr>
      <w:tr>
        <w:trPr>
          <w:cantSplit/>
        </w:trPr>
        <w:tc>
          <w:tcPr>
            <w:tcW w:type="dxa" w:w="3009"/>
            <w:vAlign w:val="center"/>
          </w:tcPr>
          <w:p>
            <w:pPr>
              <w:pStyle w:val="Compact"/>
              <w:keepNext/>
              <w:keepLines/>
              <w:spacing w:after="40" w:before="40" w:line="252" w:lineRule="auto"/>
              <w:jc w:val="right"/>
            </w:pPr>
            <w:r>
              <w:rPr>
                <w:b w:val="0"/>
                <w:sz w:val="20"/>
              </w:rPr>
              <w:t xml:space="preserve">2026-11-20</w:t>
            </w:r>
          </w:p>
        </w:tc>
        <w:tc>
          <w:tcPr>
            <w:tcW w:type="dxa" w:w="2292"/>
            <w:vAlign w:val="center"/>
          </w:tcPr>
          <w:p>
            <w:pPr>
              <w:pStyle w:val="Compact"/>
              <w:keepNext/>
              <w:keepLines/>
              <w:spacing w:after="40" w:before="40" w:line="252" w:lineRule="auto"/>
              <w:jc w:val="right"/>
            </w:pPr>
            <w:r>
              <w:rPr>
                <w:b w:val="0"/>
                <w:sz w:val="20"/>
              </w:rPr>
              <w:t xml:space="preserve">0.4680–1.1571</w:t>
            </w:r>
          </w:p>
        </w:tc>
        <w:tc>
          <w:tcPr>
            <w:tcW w:type="dxa" w:w="2292"/>
            <w:vAlign w:val="center"/>
          </w:tcPr>
          <w:p>
            <w:pPr>
              <w:pStyle w:val="Compact"/>
              <w:keepNext/>
              <w:keepLines/>
              <w:spacing w:after="40" w:before="40" w:line="252" w:lineRule="auto"/>
              <w:jc w:val="right"/>
            </w:pPr>
            <w:r>
              <w:rPr>
                <w:b w:val="0"/>
                <w:sz w:val="20"/>
              </w:rPr>
              <w:t xml:space="preserve">0.4477</w:t>
            </w:r>
          </w:p>
        </w:tc>
        <w:tc>
          <w:tcPr>
            <w:tcW w:type="dxa" w:w="2292"/>
            <w:vAlign w:val="center"/>
          </w:tcPr>
          <w:p>
            <w:pPr>
              <w:pStyle w:val="Compact"/>
              <w:keepNext/>
              <w:keepLines/>
              <w:spacing w:after="40" w:before="40" w:line="252" w:lineRule="auto"/>
              <w:jc w:val="right"/>
            </w:pPr>
            <w:r>
              <w:rPr>
                <w:b w:val="0"/>
                <w:sz w:val="20"/>
              </w:rPr>
              <w:t xml:space="preserve">0.8228</w:t>
            </w:r>
          </w:p>
        </w:tc>
        <w:tc>
          <w:tcPr>
            <w:tcW w:type="dxa" w:w="2292"/>
            <w:vAlign w:val="center"/>
          </w:tcPr>
          <w:p>
            <w:pPr>
              <w:pStyle w:val="Compact"/>
              <w:keepNext/>
              <w:keepLines/>
              <w:spacing w:after="40" w:before="40" w:line="252" w:lineRule="auto"/>
              <w:jc w:val="right"/>
            </w:pPr>
            <w:r>
              <w:rPr>
                <w:b w:val="0"/>
                <w:sz w:val="20"/>
              </w:rPr>
              <w:t xml:space="preserve">36 / 145</w:t>
            </w:r>
          </w:p>
        </w:tc>
        <w:tc>
          <w:tcPr>
            <w:tcW w:type="dxa" w:w="2149"/>
            <w:vAlign w:val="center"/>
          </w:tcPr>
          <w:p>
            <w:pPr>
              <w:pStyle w:val="Compact"/>
              <w:keepNext/>
              <w:keepLines/>
              <w:spacing w:after="40" w:before="40" w:line="252" w:lineRule="auto"/>
              <w:jc w:val="right"/>
            </w:pPr>
            <w:r>
              <w:rPr>
                <w:b w:val="0"/>
                <w:sz w:val="20"/>
              </w:rPr>
              <w:t xml:space="preserve">1.3688</w:t>
            </w:r>
          </w:p>
        </w:tc>
      </w:tr>
      <w:tr>
        <w:trPr>
          <w:cantSplit/>
        </w:trPr>
        <w:tc>
          <w:tcPr>
            <w:tcW w:type="dxa" w:w="3009"/>
            <w:vAlign w:val="center"/>
          </w:tcPr>
          <w:p>
            <w:pPr>
              <w:pStyle w:val="Compact"/>
              <w:keepNext/>
              <w:keepLines/>
              <w:spacing w:after="40" w:before="40" w:line="252" w:lineRule="auto"/>
              <w:jc w:val="right"/>
            </w:pPr>
            <w:r>
              <w:rPr>
                <w:b w:val="0"/>
                <w:sz w:val="20"/>
              </w:rPr>
              <w:t xml:space="preserve">2026-12-18</w:t>
            </w:r>
          </w:p>
        </w:tc>
        <w:tc>
          <w:tcPr>
            <w:tcW w:type="dxa" w:w="2292"/>
            <w:vAlign w:val="center"/>
          </w:tcPr>
          <w:p>
            <w:pPr>
              <w:pStyle w:val="Compact"/>
              <w:keepNext/>
              <w:keepLines/>
              <w:spacing w:after="40" w:before="40" w:line="252" w:lineRule="auto"/>
              <w:jc w:val="right"/>
            </w:pPr>
            <w:r>
              <w:rPr>
                <w:b w:val="0"/>
                <w:sz w:val="20"/>
              </w:rPr>
              <w:t xml:space="preserve">0.4149–1.2188</w:t>
            </w:r>
          </w:p>
        </w:tc>
        <w:tc>
          <w:tcPr>
            <w:tcW w:type="dxa" w:w="2292"/>
            <w:vAlign w:val="center"/>
          </w:tcPr>
          <w:p>
            <w:pPr>
              <w:pStyle w:val="Compact"/>
              <w:keepNext/>
              <w:keepLines/>
              <w:spacing w:after="40" w:before="40" w:line="252" w:lineRule="auto"/>
              <w:jc w:val="right"/>
            </w:pPr>
            <w:r>
              <w:rPr>
                <w:b w:val="0"/>
                <w:sz w:val="20"/>
              </w:rPr>
              <w:t xml:space="preserve">0.3323</w:t>
            </w:r>
          </w:p>
        </w:tc>
        <w:tc>
          <w:tcPr>
            <w:tcW w:type="dxa" w:w="2292"/>
            <w:vAlign w:val="center"/>
          </w:tcPr>
          <w:p>
            <w:pPr>
              <w:pStyle w:val="Compact"/>
              <w:keepNext/>
              <w:keepLines/>
              <w:spacing w:after="40" w:before="40" w:line="252" w:lineRule="auto"/>
              <w:jc w:val="right"/>
            </w:pPr>
            <w:r>
              <w:rPr>
                <w:b w:val="0"/>
                <w:sz w:val="20"/>
              </w:rPr>
              <w:t xml:space="preserve">0.7146</w:t>
            </w:r>
          </w:p>
        </w:tc>
        <w:tc>
          <w:tcPr>
            <w:tcW w:type="dxa" w:w="2292"/>
            <w:vAlign w:val="center"/>
          </w:tcPr>
          <w:p>
            <w:pPr>
              <w:pStyle w:val="Compact"/>
              <w:keepNext/>
              <w:keepLines/>
              <w:spacing w:after="40" w:before="40" w:line="252" w:lineRule="auto"/>
              <w:jc w:val="right"/>
            </w:pPr>
            <w:r>
              <w:rPr>
                <w:b w:val="0"/>
                <w:sz w:val="20"/>
              </w:rPr>
              <w:t xml:space="preserve">6 / 127</w:t>
            </w:r>
          </w:p>
        </w:tc>
        <w:tc>
          <w:tcPr>
            <w:tcW w:type="dxa" w:w="2149"/>
            <w:vAlign w:val="center"/>
          </w:tcPr>
          <w:p>
            <w:pPr>
              <w:pStyle w:val="Compact"/>
              <w:keepNext/>
              <w:keepLines/>
              <w:spacing w:after="40" w:before="40" w:line="252" w:lineRule="auto"/>
              <w:jc w:val="right"/>
            </w:pPr>
            <w:r>
              <w:rPr>
                <w:b w:val="0"/>
                <w:sz w:val="20"/>
              </w:rPr>
              <w:t xml:space="preserve">0.6305</w:t>
            </w:r>
          </w:p>
        </w:tc>
      </w:tr>
    </w:tbl>
    <w:p>
      <w:bookmarkStart w:id="635" w:name="table28"/>
      <w:pPr>
        <w:pStyle w:val="TableCaption"/>
      </w:pPr>
      <w:r>
        <w:t xml:space="preserve">Table 28. Primary selected fit and quote coverage. RMSE uses retained midpoints. The outside counts separate calls and puts; each has the pair count in Table 27. A low price RMSE does not certify a recovered density.</w:t>
      </w:r>
      <w:bookmarkEnd w:id="635"/>
    </w:p>
    <w:p>
      <w:pPr>
        <w:sectPr>
          <w:type w:val="nextPage"/>
          <w:pgSz w:w="16838" w:h="11906" w:orient="landscape"/>
          <w:pgMar w:top="1008" w:bottom="1008" w:left="1152" w:right="1152" w:header="432" w:footer="432" w:gutter="0"/>
          <w:pgNumType w:fmt="decimal"/>
        </w:sectPr>
        <w:spacing w:before="0" w:after="0" w:line="1" w:lineRule="exact"/>
      </w:pPr>
      <w:r>
        <w:rPr>
          <w:sz w:val="2"/>
        </w:rPr>
      </w:r>
    </w:p>
    <w:p>
      <w:pPr>
        <w:pStyle w:val="BodyText"/>
        <w:keepNext/>
        <w:spacing w:after="40"/>
        <w:jc w:val="center"/>
      </w:pPr>
      <w:r>
        <w:drawing>
          <wp:inline>
            <wp:extent cx="5334000" cy="3155949"/>
            <wp:effectExtent b="0" l="0" r="0" t="0"/>
            <wp:docPr descr="Observed market prices and complete call–put spread residuals" title="" id="136" name="Picture"/>
            <a:graphic>
              <a:graphicData uri="http://schemas.openxmlformats.org/drawingml/2006/picture">
                <pic:pic>
                  <pic:nvPicPr>
                    <pic:cNvPr descr="/workspace/scratch/62b9274b9d7e/spx-density-research/figures/figure_26_market_prices_and_spreads.png" id="137" name="Picture"/>
                    <pic:cNvPicPr>
                      <a:picLocks noChangeArrowheads="1" noChangeAspect="1"/>
                    </pic:cNvPicPr>
                  </pic:nvPicPr>
                  <pic:blipFill>
                    <a:blip r:embed="rId135"/>
                    <a:stretch>
                      <a:fillRect/>
                    </a:stretch>
                  </pic:blipFill>
                  <pic:spPr bwMode="auto">
                    <a:xfrm>
                      <a:off x="0" y="0"/>
                      <a:ext cx="5334000" cy="3155949"/>
                    </a:xfrm>
                    <a:prstGeom prst="rect">
                      <a:avLst/>
                    </a:prstGeom>
                    <a:noFill/>
                    <a:ln w="9525">
                      <a:noFill/>
                      <a:headEnd/>
                      <a:tailEnd/>
                    </a:ln>
                  </pic:spPr>
                </pic:pic>
              </a:graphicData>
            </a:graphic>
          </wp:inline>
        </w:drawing>
      </w:r>
    </w:p>
    <w:p>
      <w:bookmarkStart w:id="636" w:name="figure26"/>
      <w:pPr>
        <w:pStyle w:val="FigureCaption"/>
      </w:pPr>
      <w:r>
        <w:t xml:space="preserve">Figure 26. Primary market fit and bid–ask residuals on 18 September 2026. Upper panels show market call midpoints and the selected fitted call curve. Lower panels show both option types in units of their own half-spread. The shaded band is the bid–ask interval. The common vertical range covers every residual; misses are retained rather than clipped. Prices are index points, not dollars per contract. All retained spreads in this case have positive width.</w:t>
      </w:r>
      <w:bookmarkEnd w:id="636"/>
    </w:p>
    <w:p>
      <w:pPr>
        <w:sectPr>
          <w:type w:val="nextPage"/>
          <w:pgSz w:w="16838" w:h="11906" w:orient="landscape"/>
          <w:pgMar w:top="1008" w:bottom="1008" w:left="1152" w:right="1152" w:header="432" w:footer="432" w:gutter="0"/>
          <w:pgNumType w:fmt="decimal"/>
        </w:sectPr>
        <w:spacing w:before="0" w:after="0" w:line="1" w:lineRule="exact"/>
      </w:pPr>
      <w:r>
        <w:rPr>
          <w:sz w:val="2"/>
        </w:rPr>
      </w:r>
    </w:p>
    <w:p>
      <w:pPr>
        <w:pStyle w:val="BodyText"/>
      </w:pPr>
      <w:r>
        <w:t xml:space="preserve">The curves are close on the plotted price scale, yet 650 of 1,938 fitted call/put values miss their original spreads at a</w:t>
      </w:r>
      <w:r>
        <w:t xml:space="preserve"> </w:t>
      </w:r>
      <m:oMath>
        <m:sSup>
          <m:e>
            <m:r>
              <m:t>10</m:t>
            </m:r>
          </m:e>
          <m:sup>
            <m:r>
              <m:rPr>
                <m:sty m:val="p"/>
              </m:rPr>
              <m:t>−</m:t>
            </m:r>
            <m:r>
              <m:t>7</m:t>
            </m:r>
          </m:sup>
        </m:sSup>
      </m:oMath>
      <w:r>
        <w:t xml:space="preserve">-point counting tolerance. The largest miss is 1.8661 points. Narrow put spreads can amplify modest point discrepancies in half-spread units. This is an in-sample failure of quote reproduction, not a failure of the probability constraints.</w:t>
      </w:r>
    </w:p>
    <w:p>
      <w:pPr>
        <w:pStyle w:val="BodyText"/>
      </w:pPr>
      <w:r>
        <w:t xml:space="preserve">A separately recorded post-hoc grid,</w:t>
      </w:r>
      <w:r>
        <w:t xml:space="preserve"> </w:t>
      </w:r>
      <m:oMath>
        <m:r>
          <m:rPr>
            <m:sty m:val="p"/>
          </m:rPr>
          <m:t>{</m:t>
        </m:r>
        <m:sSup>
          <m:e>
            <m:r>
              <m:t>10</m:t>
            </m:r>
          </m:e>
          <m:sup>
            <m:r>
              <m:rPr>
                <m:sty m:val="p"/>
              </m:rPr>
              <m:t>−</m:t>
            </m:r>
            <m:r>
              <m:t>10</m:t>
            </m:r>
          </m:sup>
        </m:sSup>
        <m:r>
          <m:rPr>
            <m:sty m:val="p"/>
          </m:rPr>
          <m:t>,</m:t>
        </m:r>
        <m:sSup>
          <m:e>
            <m:r>
              <m:t>10</m:t>
            </m:r>
          </m:e>
          <m:sup>
            <m:r>
              <m:rPr>
                <m:sty m:val="p"/>
              </m:rPr>
              <m:t>−</m:t>
            </m:r>
            <m:r>
              <m:t>9</m:t>
            </m:r>
          </m:sup>
        </m:sSup>
        <m:r>
          <m:rPr>
            <m:sty m:val="p"/>
          </m:rPr>
          <m:t>,</m:t>
        </m:r>
        <m:sSup>
          <m:e>
            <m:r>
              <m:t>10</m:t>
            </m:r>
          </m:e>
          <m:sup>
            <m:r>
              <m:rPr>
                <m:sty m:val="p"/>
              </m:rPr>
              <m:t>−</m:t>
            </m:r>
            <m:r>
              <m:t>8</m:t>
            </m:r>
          </m:sup>
        </m:sSup>
        <m:r>
          <m:rPr>
            <m:sty m:val="p"/>
          </m:rPr>
          <m:t>}</m:t>
        </m:r>
      </m:oMath>
      <w:r>
        <w:t xml:space="preserve">, tests whether weaker smoothing explains the result. It selects</w:t>
      </w:r>
      <w:r>
        <w:t xml:space="preserve"> </w:t>
      </w:r>
      <m:oMath>
        <m:sSup>
          <m:e>
            <m:r>
              <m:t>10</m:t>
            </m:r>
          </m:e>
          <m:sup>
            <m:r>
              <m:rPr>
                <m:sty m:val="p"/>
              </m:rPr>
              <m:t>−</m:t>
            </m:r>
            <m:r>
              <m:t>10</m:t>
            </m:r>
          </m:sup>
        </m:sSup>
      </m:oMath>
      <w:r>
        <w:t xml:space="preserve">, again at the boundary, with a call-price score approximately 60% lower. Nevertheless, 501 prices still miss their spreads: three calls and 498 puts. The</w:t>
      </w:r>
      <w:r>
        <w:t xml:space="preserve"> </w:t>
      </w:r>
      <m:oMath>
        <m:sSup>
          <m:e>
            <m:r>
              <m:t>10</m:t>
            </m:r>
          </m:e>
          <m:sup>
            <m:r>
              <m:rPr>
                <m:sty m:val="p"/>
              </m:rPr>
              <m:t>−</m:t>
            </m:r>
            <m:r>
              <m:t>9</m:t>
            </m:r>
          </m:sup>
        </m:sSup>
      </m:oMath>
      <w:r>
        <w:t xml:space="preserve"> </w:t>
      </w:r>
      <w:r>
        <w:t xml:space="preserve">refit has fewer misses, 496, despite a slightly worse score. Optimising call interpolation and satisfying both quote intervals are different targets.</w:t>
      </w:r>
    </w:p>
    <w:p>
      <w:pPr>
        <w:sectPr>
          <w:type w:val="nextPage"/>
          <w:pgSz w:w="11906" w:h="16838" w:orient="portrait"/>
          <w:pgMar w:top="1008" w:bottom="1008" w:left="1152" w:right="1152" w:header="432" w:footer="432" w:gutter="0"/>
          <w:pgNumType w:fmt="decimal"/>
        </w:sectPr>
        <w:spacing w:before="0" w:after="0" w:line="1" w:lineRule="exact"/>
      </w:pPr>
      <w:r>
        <w:rPr>
          <w:sz w:val="2"/>
        </w:rPr>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152"/>
        <w:gridCol w:w="3152"/>
        <w:gridCol w:w="2866"/>
        <w:gridCol w:w="2579"/>
        <w:gridCol w:w="2579"/>
      </w:tblGrid>
      <w:tr>
        <w:trPr>
          <w:tblHeader w:val="true"/>
          <w:cantSplit/>
          <w:tblHeader/>
        </w:trPr>
        <w:tc>
          <w:tcPr>
            <w:tcW w:type="dxa" w:w="3152"/>
            <w:vAlign w:val="center"/>
            <w:shd w:fill="E9EEF3"/>
          </w:tcPr>
          <w:p>
            <w:pPr>
              <w:pStyle w:val="Compact"/>
              <w:keepNext/>
              <w:keepLines/>
              <w:spacing w:after="40" w:before="40" w:line="252" w:lineRule="auto"/>
              <w:jc w:val="left"/>
            </w:pPr>
            <w:r>
              <w:rPr>
                <w:b/>
                <w:sz w:val="20"/>
              </w:rPr>
              <w:t xml:space="preserve">Role</w:t>
            </w:r>
          </w:p>
        </w:tc>
        <w:tc>
          <w:tcPr>
            <w:tcW w:type="dxa" w:w="3152"/>
            <w:vAlign w:val="center"/>
            <w:shd w:fill="E9EEF3"/>
          </w:tcPr>
          <w:p>
            <w:pPr>
              <w:pStyle w:val="Compact"/>
              <w:keepNext/>
              <w:keepLines/>
              <w:spacing w:after="40" w:before="40" w:line="252" w:lineRule="auto"/>
              <w:jc w:val="left"/>
            </w:pPr>
            <w:r>
              <w:rPr>
                <w:b/>
                <w:sz w:val="20"/>
              </w:rPr>
              <w:t xml:space="preserve">λ</w:t>
            </w:r>
          </w:p>
        </w:tc>
        <w:tc>
          <w:tcPr>
            <w:tcW w:type="dxa" w:w="2866"/>
            <w:vAlign w:val="center"/>
            <w:shd w:fill="E9EEF3"/>
          </w:tcPr>
          <w:p>
            <w:pPr>
              <w:pStyle w:val="Compact"/>
              <w:keepNext/>
              <w:keepLines/>
              <w:spacing w:after="40" w:before="40" w:line="252" w:lineRule="auto"/>
              <w:jc w:val="left"/>
            </w:pPr>
            <w:r>
              <w:rPr>
                <w:b/>
                <w:sz w:val="20"/>
              </w:rPr>
              <w:t xml:space="preserve">Pooled held-out score</w:t>
            </w:r>
          </w:p>
        </w:tc>
        <w:tc>
          <w:tcPr>
            <w:tcW w:type="dxa" w:w="2579"/>
            <w:vAlign w:val="center"/>
            <w:shd w:fill="E9EEF3"/>
          </w:tcPr>
          <w:p>
            <w:pPr>
              <w:pStyle w:val="Compact"/>
              <w:keepNext/>
              <w:keepLines/>
              <w:spacing w:after="40" w:before="40" w:line="252" w:lineRule="auto"/>
              <w:jc w:val="left"/>
            </w:pPr>
            <w:r>
              <w:rPr>
                <w:b/>
                <w:sz w:val="20"/>
              </w:rPr>
              <w:t xml:space="preserve">Outside spreads</w:t>
            </w:r>
          </w:p>
        </w:tc>
        <w:tc>
          <w:tcPr>
            <w:tcW w:type="dxa" w:w="2579"/>
            <w:vAlign w:val="center"/>
            <w:shd w:fill="E9EEF3"/>
          </w:tcPr>
          <w:p>
            <w:pPr>
              <w:pStyle w:val="Compact"/>
              <w:keepNext/>
              <w:keepLines/>
              <w:spacing w:after="40" w:before="40" w:line="252" w:lineRule="auto"/>
              <w:jc w:val="left"/>
            </w:pPr>
            <w:r>
              <w:rPr>
                <w:b/>
                <w:sz w:val="20"/>
              </w:rPr>
              <w:t xml:space="preserve">Largest miss (points)</w:t>
            </w:r>
          </w:p>
        </w:tc>
      </w:tr>
      <w:tr>
        <w:trPr>
          <w:cantSplit/>
        </w:trPr>
        <w:tc>
          <w:tcPr>
            <w:tcW w:type="dxa" w:w="3152"/>
            <w:vAlign w:val="center"/>
          </w:tcPr>
          <w:p>
            <w:pPr>
              <w:pStyle w:val="Compact"/>
              <w:keepNext/>
              <w:keepLines/>
              <w:spacing w:after="40" w:before="40" w:line="252" w:lineRule="auto"/>
              <w:jc w:val="left"/>
            </w:pPr>
            <w:r>
              <w:rPr>
                <w:b w:val="0"/>
                <w:sz w:val="20"/>
              </w:rPr>
              <w:t xml:space="preserve">Primary</w:t>
            </w:r>
          </w:p>
        </w:tc>
        <w:tc>
          <w:tcPr>
            <w:tcW w:type="dxa" w:w="3152"/>
            <w:vAlign w:val="center"/>
          </w:tcPr>
          <w:p>
            <w:pPr>
              <w:pStyle w:val="Compact"/>
              <w:keepNext/>
              <w:keepLines/>
              <w:spacing w:after="40" w:before="40" w:line="252" w:lineRule="auto"/>
              <w:jc w:val="right"/>
            </w:pPr>
            <w:r>
              <w:rPr>
                <w:b w:val="0"/>
                <w:sz w:val="20"/>
              </w:rPr>
              <w:t xml:space="preserve">1e-07</w:t>
            </w:r>
          </w:p>
        </w:tc>
        <w:tc>
          <w:tcPr>
            <w:tcW w:type="dxa" w:w="2866"/>
            <w:vAlign w:val="center"/>
          </w:tcPr>
          <w:p>
            <w:pPr>
              <w:pStyle w:val="Compact"/>
              <w:keepNext/>
              <w:keepLines/>
              <w:spacing w:after="40" w:before="40" w:line="252" w:lineRule="auto"/>
              <w:jc w:val="right"/>
            </w:pPr>
            <w:r>
              <w:rPr>
                <w:b w:val="0"/>
                <w:sz w:val="20"/>
              </w:rPr>
              <w:t xml:space="preserve">7.077784e-09</w:t>
            </w:r>
          </w:p>
        </w:tc>
        <w:tc>
          <w:tcPr>
            <w:tcW w:type="dxa" w:w="2579"/>
            <w:vAlign w:val="center"/>
          </w:tcPr>
          <w:p>
            <w:pPr>
              <w:pStyle w:val="Compact"/>
              <w:keepNext/>
              <w:keepLines/>
              <w:spacing w:after="40" w:before="40" w:line="252" w:lineRule="auto"/>
              <w:jc w:val="right"/>
            </w:pPr>
            <w:r>
              <w:rPr>
                <w:b w:val="0"/>
                <w:sz w:val="20"/>
              </w:rPr>
              <w:t xml:space="preserve">650 / 1938</w:t>
            </w:r>
          </w:p>
        </w:tc>
        <w:tc>
          <w:tcPr>
            <w:tcW w:type="dxa" w:w="2579"/>
            <w:vAlign w:val="center"/>
          </w:tcPr>
          <w:p>
            <w:pPr>
              <w:pStyle w:val="Compact"/>
              <w:keepNext/>
              <w:keepLines/>
              <w:spacing w:after="40" w:before="40" w:line="252" w:lineRule="auto"/>
              <w:jc w:val="right"/>
            </w:pPr>
            <w:r>
              <w:rPr>
                <w:b w:val="0"/>
                <w:sz w:val="20"/>
              </w:rPr>
              <w:t xml:space="preserve">1.8661</w:t>
            </w:r>
          </w:p>
        </w:tc>
      </w:tr>
      <w:tr>
        <w:trPr>
          <w:cantSplit/>
        </w:trPr>
        <w:tc>
          <w:tcPr>
            <w:tcW w:type="dxa" w:w="3152"/>
            <w:vAlign w:val="center"/>
          </w:tcPr>
          <w:p>
            <w:pPr>
              <w:pStyle w:val="Compact"/>
              <w:keepNext/>
              <w:keepLines/>
              <w:spacing w:after="40" w:before="40" w:line="252" w:lineRule="auto"/>
              <w:jc w:val="left"/>
            </w:pPr>
            <w:r>
              <w:rPr>
                <w:b w:val="0"/>
                <w:sz w:val="20"/>
              </w:rPr>
              <w:t xml:space="preserve">Primary</w:t>
            </w:r>
          </w:p>
        </w:tc>
        <w:tc>
          <w:tcPr>
            <w:tcW w:type="dxa" w:w="3152"/>
            <w:vAlign w:val="center"/>
          </w:tcPr>
          <w:p>
            <w:pPr>
              <w:pStyle w:val="Compact"/>
              <w:keepNext/>
              <w:keepLines/>
              <w:spacing w:after="40" w:before="40" w:line="252" w:lineRule="auto"/>
              <w:jc w:val="right"/>
            </w:pPr>
            <w:r>
              <w:rPr>
                <w:b w:val="0"/>
                <w:sz w:val="20"/>
              </w:rPr>
              <w:t xml:space="preserve">1e-06</w:t>
            </w:r>
          </w:p>
        </w:tc>
        <w:tc>
          <w:tcPr>
            <w:tcW w:type="dxa" w:w="2866"/>
            <w:vAlign w:val="center"/>
          </w:tcPr>
          <w:p>
            <w:pPr>
              <w:pStyle w:val="Compact"/>
              <w:keepNext/>
              <w:keepLines/>
              <w:spacing w:after="40" w:before="40" w:line="252" w:lineRule="auto"/>
              <w:jc w:val="right"/>
            </w:pPr>
            <w:r>
              <w:rPr>
                <w:b w:val="0"/>
                <w:sz w:val="20"/>
              </w:rPr>
              <w:t xml:space="preserve">3.906252e-08</w:t>
            </w:r>
          </w:p>
        </w:tc>
        <w:tc>
          <w:tcPr>
            <w:tcW w:type="dxa" w:w="2579"/>
            <w:vAlign w:val="center"/>
          </w:tcPr>
          <w:p>
            <w:pPr>
              <w:pStyle w:val="Compact"/>
              <w:keepNext/>
              <w:keepLines/>
              <w:spacing w:after="40" w:before="40" w:line="252" w:lineRule="auto"/>
              <w:jc w:val="right"/>
            </w:pPr>
            <w:r>
              <w:rPr>
                <w:b w:val="0"/>
                <w:sz w:val="20"/>
              </w:rPr>
              <w:t xml:space="preserve">896 / 1938</w:t>
            </w:r>
          </w:p>
        </w:tc>
        <w:tc>
          <w:tcPr>
            <w:tcW w:type="dxa" w:w="2579"/>
            <w:vAlign w:val="center"/>
          </w:tcPr>
          <w:p>
            <w:pPr>
              <w:pStyle w:val="Compact"/>
              <w:keepNext/>
              <w:keepLines/>
              <w:spacing w:after="40" w:before="40" w:line="252" w:lineRule="auto"/>
              <w:jc w:val="right"/>
            </w:pPr>
            <w:r>
              <w:rPr>
                <w:b w:val="0"/>
                <w:sz w:val="20"/>
              </w:rPr>
              <w:t xml:space="preserve">5.7016</w:t>
            </w:r>
          </w:p>
        </w:tc>
      </w:tr>
      <w:tr>
        <w:trPr>
          <w:cantSplit/>
        </w:trPr>
        <w:tc>
          <w:tcPr>
            <w:tcW w:type="dxa" w:w="3152"/>
            <w:vAlign w:val="center"/>
          </w:tcPr>
          <w:p>
            <w:pPr>
              <w:pStyle w:val="Compact"/>
              <w:keepNext/>
              <w:keepLines/>
              <w:spacing w:after="40" w:before="40" w:line="252" w:lineRule="auto"/>
              <w:jc w:val="left"/>
            </w:pPr>
            <w:r>
              <w:rPr>
                <w:b w:val="0"/>
                <w:sz w:val="20"/>
              </w:rPr>
              <w:t xml:space="preserve">Primary</w:t>
            </w:r>
          </w:p>
        </w:tc>
        <w:tc>
          <w:tcPr>
            <w:tcW w:type="dxa" w:w="3152"/>
            <w:vAlign w:val="center"/>
          </w:tcPr>
          <w:p>
            <w:pPr>
              <w:pStyle w:val="Compact"/>
              <w:keepNext/>
              <w:keepLines/>
              <w:spacing w:after="40" w:before="40" w:line="252" w:lineRule="auto"/>
              <w:jc w:val="right"/>
            </w:pPr>
            <w:r>
              <w:rPr>
                <w:b w:val="0"/>
                <w:sz w:val="20"/>
              </w:rPr>
              <w:t xml:space="preserve">1e-05</w:t>
            </w:r>
          </w:p>
        </w:tc>
        <w:tc>
          <w:tcPr>
            <w:tcW w:type="dxa" w:w="2866"/>
            <w:vAlign w:val="center"/>
          </w:tcPr>
          <w:p>
            <w:pPr>
              <w:pStyle w:val="Compact"/>
              <w:keepNext/>
              <w:keepLines/>
              <w:spacing w:after="40" w:before="40" w:line="252" w:lineRule="auto"/>
              <w:jc w:val="right"/>
            </w:pPr>
            <w:r>
              <w:rPr>
                <w:b w:val="0"/>
                <w:sz w:val="20"/>
              </w:rPr>
              <w:t xml:space="preserve">2.482028e-07</w:t>
            </w:r>
          </w:p>
        </w:tc>
        <w:tc>
          <w:tcPr>
            <w:tcW w:type="dxa" w:w="2579"/>
            <w:vAlign w:val="center"/>
          </w:tcPr>
          <w:p>
            <w:pPr>
              <w:pStyle w:val="Compact"/>
              <w:keepNext/>
              <w:keepLines/>
              <w:spacing w:after="40" w:before="40" w:line="252" w:lineRule="auto"/>
              <w:jc w:val="right"/>
            </w:pPr>
            <w:r>
              <w:rPr>
                <w:b w:val="0"/>
                <w:sz w:val="20"/>
              </w:rPr>
              <w:t xml:space="preserve">1083 / 1938</w:t>
            </w:r>
          </w:p>
        </w:tc>
        <w:tc>
          <w:tcPr>
            <w:tcW w:type="dxa" w:w="2579"/>
            <w:vAlign w:val="center"/>
          </w:tcPr>
          <w:p>
            <w:pPr>
              <w:pStyle w:val="Compact"/>
              <w:keepNext/>
              <w:keepLines/>
              <w:spacing w:after="40" w:before="40" w:line="252" w:lineRule="auto"/>
              <w:jc w:val="right"/>
            </w:pPr>
            <w:r>
              <w:rPr>
                <w:b w:val="0"/>
                <w:sz w:val="20"/>
              </w:rPr>
              <w:t xml:space="preserve">13.8752</w:t>
            </w:r>
          </w:p>
        </w:tc>
      </w:tr>
      <w:tr>
        <w:trPr>
          <w:cantSplit/>
        </w:trPr>
        <w:tc>
          <w:tcPr>
            <w:tcW w:type="dxa" w:w="3152"/>
            <w:vAlign w:val="center"/>
          </w:tcPr>
          <w:p>
            <w:pPr>
              <w:pStyle w:val="Compact"/>
              <w:keepNext/>
              <w:keepLines/>
              <w:spacing w:after="40" w:before="40" w:line="252" w:lineRule="auto"/>
              <w:jc w:val="left"/>
            </w:pPr>
            <w:r>
              <w:rPr>
                <w:b w:val="0"/>
                <w:sz w:val="20"/>
              </w:rPr>
              <w:t xml:space="preserve">Post-hoc</w:t>
            </w:r>
          </w:p>
        </w:tc>
        <w:tc>
          <w:tcPr>
            <w:tcW w:type="dxa" w:w="3152"/>
            <w:vAlign w:val="center"/>
          </w:tcPr>
          <w:p>
            <w:pPr>
              <w:pStyle w:val="Compact"/>
              <w:keepNext/>
              <w:keepLines/>
              <w:spacing w:after="40" w:before="40" w:line="252" w:lineRule="auto"/>
              <w:jc w:val="right"/>
            </w:pPr>
            <w:r>
              <w:rPr>
                <w:b w:val="0"/>
                <w:sz w:val="20"/>
              </w:rPr>
              <w:t xml:space="preserve">1e-10</w:t>
            </w:r>
          </w:p>
        </w:tc>
        <w:tc>
          <w:tcPr>
            <w:tcW w:type="dxa" w:w="2866"/>
            <w:vAlign w:val="center"/>
          </w:tcPr>
          <w:p>
            <w:pPr>
              <w:pStyle w:val="Compact"/>
              <w:keepNext/>
              <w:keepLines/>
              <w:spacing w:after="40" w:before="40" w:line="252" w:lineRule="auto"/>
              <w:jc w:val="right"/>
            </w:pPr>
            <w:r>
              <w:rPr>
                <w:b w:val="0"/>
                <w:sz w:val="20"/>
              </w:rPr>
              <w:t xml:space="preserve">2.849965e-09</w:t>
            </w:r>
          </w:p>
        </w:tc>
        <w:tc>
          <w:tcPr>
            <w:tcW w:type="dxa" w:w="2579"/>
            <w:vAlign w:val="center"/>
          </w:tcPr>
          <w:p>
            <w:pPr>
              <w:pStyle w:val="Compact"/>
              <w:keepNext/>
              <w:keepLines/>
              <w:spacing w:after="40" w:before="40" w:line="252" w:lineRule="auto"/>
              <w:jc w:val="right"/>
            </w:pPr>
            <w:r>
              <w:rPr>
                <w:b w:val="0"/>
                <w:sz w:val="20"/>
              </w:rPr>
              <w:t xml:space="preserve">501 / 1938</w:t>
            </w:r>
          </w:p>
        </w:tc>
        <w:tc>
          <w:tcPr>
            <w:tcW w:type="dxa" w:w="2579"/>
            <w:vAlign w:val="center"/>
          </w:tcPr>
          <w:p>
            <w:pPr>
              <w:pStyle w:val="Compact"/>
              <w:keepNext/>
              <w:keepLines/>
              <w:spacing w:after="40" w:before="40" w:line="252" w:lineRule="auto"/>
              <w:jc w:val="right"/>
            </w:pPr>
            <w:r>
              <w:rPr>
                <w:b w:val="0"/>
                <w:sz w:val="20"/>
              </w:rPr>
              <w:t xml:space="preserve">1.3915</w:t>
            </w:r>
          </w:p>
        </w:tc>
      </w:tr>
      <w:tr>
        <w:trPr>
          <w:cantSplit/>
        </w:trPr>
        <w:tc>
          <w:tcPr>
            <w:tcW w:type="dxa" w:w="3152"/>
            <w:vAlign w:val="center"/>
          </w:tcPr>
          <w:p>
            <w:pPr>
              <w:pStyle w:val="Compact"/>
              <w:keepNext/>
              <w:keepLines/>
              <w:spacing w:after="40" w:before="40" w:line="252" w:lineRule="auto"/>
              <w:jc w:val="left"/>
            </w:pPr>
            <w:r>
              <w:rPr>
                <w:b w:val="0"/>
                <w:sz w:val="20"/>
              </w:rPr>
              <w:t xml:space="preserve">Post-hoc</w:t>
            </w:r>
          </w:p>
        </w:tc>
        <w:tc>
          <w:tcPr>
            <w:tcW w:type="dxa" w:w="3152"/>
            <w:vAlign w:val="center"/>
          </w:tcPr>
          <w:p>
            <w:pPr>
              <w:pStyle w:val="Compact"/>
              <w:keepNext/>
              <w:keepLines/>
              <w:spacing w:after="40" w:before="40" w:line="252" w:lineRule="auto"/>
              <w:jc w:val="right"/>
            </w:pPr>
            <w:r>
              <w:rPr>
                <w:b w:val="0"/>
                <w:sz w:val="20"/>
              </w:rPr>
              <w:t xml:space="preserve">1e-09</w:t>
            </w:r>
          </w:p>
        </w:tc>
        <w:tc>
          <w:tcPr>
            <w:tcW w:type="dxa" w:w="2866"/>
            <w:vAlign w:val="center"/>
          </w:tcPr>
          <w:p>
            <w:pPr>
              <w:pStyle w:val="Compact"/>
              <w:keepNext/>
              <w:keepLines/>
              <w:spacing w:after="40" w:before="40" w:line="252" w:lineRule="auto"/>
              <w:jc w:val="right"/>
            </w:pPr>
            <w:r>
              <w:rPr>
                <w:b w:val="0"/>
                <w:sz w:val="20"/>
              </w:rPr>
              <w:t xml:space="preserve">2.927029e-09</w:t>
            </w:r>
          </w:p>
        </w:tc>
        <w:tc>
          <w:tcPr>
            <w:tcW w:type="dxa" w:w="2579"/>
            <w:vAlign w:val="center"/>
          </w:tcPr>
          <w:p>
            <w:pPr>
              <w:pStyle w:val="Compact"/>
              <w:keepNext/>
              <w:keepLines/>
              <w:spacing w:after="40" w:before="40" w:line="252" w:lineRule="auto"/>
              <w:jc w:val="right"/>
            </w:pPr>
            <w:r>
              <w:rPr>
                <w:b w:val="0"/>
                <w:sz w:val="20"/>
              </w:rPr>
              <w:t xml:space="preserve">496 / 1938</w:t>
            </w:r>
          </w:p>
        </w:tc>
        <w:tc>
          <w:tcPr>
            <w:tcW w:type="dxa" w:w="2579"/>
            <w:vAlign w:val="center"/>
          </w:tcPr>
          <w:p>
            <w:pPr>
              <w:pStyle w:val="Compact"/>
              <w:keepNext/>
              <w:keepLines/>
              <w:spacing w:after="40" w:before="40" w:line="252" w:lineRule="auto"/>
              <w:jc w:val="right"/>
            </w:pPr>
            <w:r>
              <w:rPr>
                <w:b w:val="0"/>
                <w:sz w:val="20"/>
              </w:rPr>
              <w:t xml:space="preserve">1.3963</w:t>
            </w:r>
          </w:p>
        </w:tc>
      </w:tr>
      <w:tr>
        <w:trPr>
          <w:cantSplit/>
        </w:trPr>
        <w:tc>
          <w:tcPr>
            <w:tcW w:type="dxa" w:w="3152"/>
            <w:vAlign w:val="center"/>
          </w:tcPr>
          <w:p>
            <w:pPr>
              <w:pStyle w:val="Compact"/>
              <w:keepNext/>
              <w:keepLines/>
              <w:spacing w:after="40" w:before="40" w:line="252" w:lineRule="auto"/>
              <w:jc w:val="left"/>
            </w:pPr>
            <w:r>
              <w:rPr>
                <w:b w:val="0"/>
                <w:sz w:val="20"/>
              </w:rPr>
              <w:t xml:space="preserve">Post-hoc</w:t>
            </w:r>
          </w:p>
        </w:tc>
        <w:tc>
          <w:tcPr>
            <w:tcW w:type="dxa" w:w="3152"/>
            <w:vAlign w:val="center"/>
          </w:tcPr>
          <w:p>
            <w:pPr>
              <w:pStyle w:val="Compact"/>
              <w:keepNext/>
              <w:keepLines/>
              <w:spacing w:after="40" w:before="40" w:line="252" w:lineRule="auto"/>
              <w:jc w:val="right"/>
            </w:pPr>
            <w:r>
              <w:rPr>
                <w:b w:val="0"/>
                <w:sz w:val="20"/>
              </w:rPr>
              <w:t xml:space="preserve">1e-08</w:t>
            </w:r>
          </w:p>
        </w:tc>
        <w:tc>
          <w:tcPr>
            <w:tcW w:type="dxa" w:w="2866"/>
            <w:vAlign w:val="center"/>
          </w:tcPr>
          <w:p>
            <w:pPr>
              <w:pStyle w:val="Compact"/>
              <w:keepNext/>
              <w:keepLines/>
              <w:spacing w:after="40" w:before="40" w:line="252" w:lineRule="auto"/>
              <w:jc w:val="right"/>
            </w:pPr>
            <w:r>
              <w:rPr>
                <w:b w:val="0"/>
                <w:sz w:val="20"/>
              </w:rPr>
              <w:t xml:space="preserve">3.479806e-09</w:t>
            </w:r>
          </w:p>
        </w:tc>
        <w:tc>
          <w:tcPr>
            <w:tcW w:type="dxa" w:w="2579"/>
            <w:vAlign w:val="center"/>
          </w:tcPr>
          <w:p>
            <w:pPr>
              <w:pStyle w:val="Compact"/>
              <w:keepNext/>
              <w:keepLines/>
              <w:spacing w:after="40" w:before="40" w:line="252" w:lineRule="auto"/>
              <w:jc w:val="right"/>
            </w:pPr>
            <w:r>
              <w:rPr>
                <w:b w:val="0"/>
                <w:sz w:val="20"/>
              </w:rPr>
              <w:t xml:space="preserve">556 / 1938</w:t>
            </w:r>
          </w:p>
        </w:tc>
        <w:tc>
          <w:tcPr>
            <w:tcW w:type="dxa" w:w="2579"/>
            <w:vAlign w:val="center"/>
          </w:tcPr>
          <w:p>
            <w:pPr>
              <w:pStyle w:val="Compact"/>
              <w:keepNext/>
              <w:keepLines/>
              <w:spacing w:after="40" w:before="40" w:line="252" w:lineRule="auto"/>
              <w:jc w:val="right"/>
            </w:pPr>
            <w:r>
              <w:rPr>
                <w:b w:val="0"/>
                <w:sz w:val="20"/>
              </w:rPr>
              <w:t xml:space="preserve">1.3791</w:t>
            </w:r>
          </w:p>
        </w:tc>
      </w:tr>
    </w:tbl>
    <w:p>
      <w:bookmarkStart w:id="637" w:name="table29"/>
      <w:pPr>
        <w:pStyle w:val="TableCaption"/>
      </w:pPr>
      <w:r>
        <w:t xml:space="preserve">Table 29. Declared primary grid and subsequent lower-penalty diagnostic. Scores pool held-out call errors divided by training forwards. The outside-spread and maximum-miss columns instead describe full-data refits, so they need not rank coefficients in the same order.</w:t>
      </w:r>
      <w:bookmarkEnd w:id="637"/>
    </w:p>
    <w:p>
      <w:pPr>
        <w:sectPr>
          <w:type w:val="nextPage"/>
          <w:pgSz w:w="16838" w:h="11906" w:orient="landscape"/>
          <w:pgMar w:top="1008" w:bottom="1008" w:left="1152" w:right="1152" w:header="432" w:footer="432" w:gutter="0"/>
          <w:pgNumType w:fmt="decimal"/>
        </w:sectPr>
        <w:spacing w:before="0" w:after="0" w:line="1" w:lineRule="exact"/>
      </w:pPr>
      <w:r>
        <w:rPr>
          <w:sz w:val="2"/>
        </w:rPr>
      </w:r>
    </w:p>
    <w:p>
      <w:pPr>
        <w:pStyle w:val="BodyText"/>
        <w:keepNext/>
        <w:spacing w:after="40"/>
        <w:jc w:val="center"/>
      </w:pPr>
      <w:r>
        <w:drawing>
          <wp:inline>
            <wp:extent cx="5334000" cy="3155949"/>
            <wp:effectExtent b="0" l="0" r="0" t="0"/>
            <wp:docPr descr="Empirical density sensitivity on full support and central detail" title="" id="139" name="Picture"/>
            <a:graphic>
              <a:graphicData uri="http://schemas.openxmlformats.org/drawingml/2006/picture">
                <pic:pic>
                  <pic:nvPicPr>
                    <pic:cNvPr descr="/workspace/scratch/62b9274b9d7e/spx-density-research/figures/figure_27_market_density_sensitivity.png" id="140" name="Picture"/>
                    <pic:cNvPicPr>
                      <a:picLocks noChangeArrowheads="1" noChangeAspect="1"/>
                    </pic:cNvPicPr>
                  </pic:nvPicPr>
                  <pic:blipFill>
                    <a:blip r:embed="rId138"/>
                    <a:stretch>
                      <a:fillRect/>
                    </a:stretch>
                  </pic:blipFill>
                  <pic:spPr bwMode="auto">
                    <a:xfrm>
                      <a:off x="0" y="0"/>
                      <a:ext cx="5334000" cy="3155949"/>
                    </a:xfrm>
                    <a:prstGeom prst="rect">
                      <a:avLst/>
                    </a:prstGeom>
                    <a:noFill/>
                    <a:ln w="9525">
                      <a:noFill/>
                      <a:headEnd/>
                      <a:tailEnd/>
                    </a:ln>
                  </pic:spPr>
                </pic:pic>
              </a:graphicData>
            </a:graphic>
          </wp:inline>
        </w:drawing>
      </w:r>
    </w:p>
    <w:p>
      <w:bookmarkStart w:id="638" w:name="figure27"/>
      <w:pPr>
        <w:pStyle w:val="FigureCaption"/>
      </w:pPr>
      <w:r>
        <w:t xml:space="preserve">Figure 27. Market-density sensitivity to smoothing. The three solid curves use the declared primary coefficients; the dashed curve uses the post-hoc selected</w:t>
      </w:r>
      <w:r>
        <w:t xml:space="preserve"> </w:t>
      </w:r>
      <m:oMath>
        <m:sSup>
          <m:e>
            <m:r>
              <m:t>10</m:t>
            </m:r>
          </m:e>
          <m:sup>
            <m:r>
              <m:rPr>
                <m:sty m:val="p"/>
              </m:rPr>
              <m:t>−</m:t>
            </m:r>
            <m:r>
              <m:t>10</m:t>
            </m:r>
          </m:sup>
        </m:sSup>
      </m:oMath>
      <w:r>
        <w:t xml:space="preserve">. Top panels show the entire fitting support and lower panels enlarge</w:t>
      </w:r>
      <w:r>
        <w:t xml:space="preserve"> </w:t>
      </w:r>
      <m:oMath>
        <m:r>
          <m:t>0.75</m:t>
        </m:r>
        <m:r>
          <m:rPr>
            <m:sty m:val="p"/>
          </m:rPr>
          <m:t>≤</m:t>
        </m:r>
        <m:r>
          <m:t>S</m:t>
        </m:r>
        <m:r>
          <m:rPr>
            <m:sty m:val="p"/>
          </m:rPr>
          <m:t>/</m:t>
        </m:r>
        <m:r>
          <m:t>F</m:t>
        </m:r>
        <m:r>
          <m:rPr>
            <m:sty m:val="p"/>
          </m:rPr>
          <m:t>≤</m:t>
        </m:r>
        <m:r>
          <m:t>1.25</m:t>
        </m:r>
      </m:oMath>
      <w:r>
        <w:t xml:space="preserve">. Dotted vertical lines delimit the retained strike range. Curves are estimated histograms, not analytical benchmark densities. Tiny far-tail masses are easier to compare numerically in Table 30 than on this peak-dominated linear scale.</w:t>
      </w:r>
      <w:bookmarkEnd w:id="638"/>
    </w:p>
    <w:p>
      <w:pPr>
        <w:sectPr>
          <w:type w:val="nextPage"/>
          <w:pgSz w:w="16838" w:h="11906" w:orient="landscape"/>
          <w:pgMar w:top="1008" w:bottom="1008" w:left="1152" w:right="1152" w:header="432" w:footer="432" w:gutter="0"/>
          <w:pgNumType w:fmt="decimal"/>
        </w:sectPr>
        <w:spacing w:before="0" w:after="0" w:line="1" w:lineRule="exact"/>
      </w:pPr>
      <w:r>
        <w:rPr>
          <w:sz w:val="2"/>
        </w:rPr>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009"/>
        <w:gridCol w:w="2292"/>
        <w:gridCol w:w="2292"/>
        <w:gridCol w:w="2292"/>
        <w:gridCol w:w="2292"/>
        <w:gridCol w:w="2149"/>
      </w:tblGrid>
      <w:tr>
        <w:trPr>
          <w:tblHeader w:val="true"/>
          <w:cantSplit/>
          <w:tblHeader/>
        </w:trPr>
        <w:tc>
          <w:tcPr>
            <w:tcW w:type="dxa" w:w="3009"/>
            <w:vAlign w:val="center"/>
            <w:shd w:fill="E9EEF3"/>
          </w:tcPr>
          <w:p>
            <w:pPr>
              <w:pStyle w:val="Compact"/>
              <w:keepNext/>
              <w:keepLines/>
              <w:spacing w:after="40" w:before="40" w:line="252" w:lineRule="auto"/>
              <w:jc w:val="left"/>
            </w:pPr>
            <w:r>
              <w:rPr>
                <w:b/>
                <w:sz w:val="20"/>
              </w:rPr>
              <w:t xml:space="preserve">Fit</w:t>
            </w:r>
          </w:p>
        </w:tc>
        <w:tc>
          <w:tcPr>
            <w:tcW w:type="dxa" w:w="2292"/>
            <w:vAlign w:val="center"/>
            <w:shd w:fill="E9EEF3"/>
          </w:tcPr>
          <w:p>
            <w:pPr>
              <w:pStyle w:val="Compact"/>
              <w:keepNext/>
              <w:keepLines/>
              <w:spacing w:after="40" w:before="40" w:line="252" w:lineRule="auto"/>
              <w:jc w:val="left"/>
            </w:pPr>
            <w:r>
              <w:rPr>
                <w:b/>
                <w:sz w:val="20"/>
              </w:rPr>
              <w:t xml:space="preserve">Expiry</w:t>
            </w:r>
          </w:p>
        </w:tc>
        <w:tc>
          <w:tcPr>
            <w:tcW w:type="dxa" w:w="2292"/>
            <w:vAlign w:val="center"/>
            <w:shd w:fill="E9EEF3"/>
          </w:tcPr>
          <w:p>
            <w:pPr>
              <w:pStyle w:val="Compact"/>
              <w:keepNext/>
              <w:keepLines/>
              <w:spacing w:after="40" w:before="40" w:line="252" w:lineRule="auto"/>
              <w:jc w:val="left"/>
            </w:pPr>
            <w:r>
              <w:rPr>
                <w:b/>
                <w:sz w:val="20"/>
              </w:rPr>
              <w:t xml:space="preserve">Q(S &lt; 0.8F), %</w:t>
            </w:r>
          </w:p>
        </w:tc>
        <w:tc>
          <w:tcPr>
            <w:tcW w:type="dxa" w:w="2292"/>
            <w:vAlign w:val="center"/>
            <w:shd w:fill="E9EEF3"/>
          </w:tcPr>
          <w:p>
            <w:pPr>
              <w:pStyle w:val="Compact"/>
              <w:keepNext/>
              <w:keepLines/>
              <w:spacing w:after="40" w:before="40" w:line="252" w:lineRule="auto"/>
              <w:jc w:val="left"/>
            </w:pPr>
            <w:r>
              <w:rPr>
                <w:b/>
                <w:sz w:val="20"/>
              </w:rPr>
              <w:t xml:space="preserve">Q(S &gt; 1.2F), %</w:t>
            </w:r>
          </w:p>
        </w:tc>
        <w:tc>
          <w:tcPr>
            <w:tcW w:type="dxa" w:w="2292"/>
            <w:vAlign w:val="center"/>
            <w:shd w:fill="E9EEF3"/>
          </w:tcPr>
          <w:p>
            <w:pPr>
              <w:pStyle w:val="Compact"/>
              <w:keepNext/>
              <w:keepLines/>
              <w:spacing w:after="40" w:before="40" w:line="252" w:lineRule="auto"/>
              <w:jc w:val="left"/>
            </w:pPr>
            <w:r>
              <w:rPr>
                <w:b/>
                <w:sz w:val="20"/>
              </w:rPr>
              <w:t xml:space="preserve">Q(S &gt; 1.8F), %</w:t>
            </w:r>
          </w:p>
        </w:tc>
        <w:tc>
          <w:tcPr>
            <w:tcW w:type="dxa" w:w="2149"/>
            <w:vAlign w:val="center"/>
            <w:shd w:fill="E9EEF3"/>
          </w:tcPr>
          <w:p>
            <w:pPr>
              <w:pStyle w:val="Compact"/>
              <w:keepNext/>
              <w:keepLines/>
              <w:spacing w:after="40" w:before="40" w:line="252" w:lineRule="auto"/>
              <w:jc w:val="left"/>
            </w:pPr>
            <w:r>
              <w:rPr>
                <w:b/>
                <w:sz w:val="20"/>
              </w:rPr>
              <w:t xml:space="preserve">Var(S/F)</w:t>
            </w:r>
          </w:p>
        </w:tc>
      </w:tr>
      <w:tr>
        <w:trPr>
          <w:cantSplit/>
        </w:trPr>
        <w:tc>
          <w:tcPr>
            <w:tcW w:type="dxa" w:w="3009"/>
            <w:vAlign w:val="center"/>
          </w:tcPr>
          <w:p>
            <w:pPr>
              <w:pStyle w:val="Compact"/>
              <w:keepNext/>
              <w:keepLines/>
              <w:spacing w:after="40" w:before="40" w:line="252" w:lineRule="auto"/>
              <w:jc w:val="left"/>
            </w:pPr>
            <w:r>
              <w:rPr>
                <w:b w:val="0"/>
                <w:sz w:val="20"/>
              </w:rPr>
              <w:t xml:space="preserve">Primary 1e−7</w:t>
            </w:r>
          </w:p>
        </w:tc>
        <w:tc>
          <w:tcPr>
            <w:tcW w:type="dxa" w:w="2292"/>
            <w:vAlign w:val="center"/>
          </w:tcPr>
          <w:p>
            <w:pPr>
              <w:pStyle w:val="Compact"/>
              <w:keepNext/>
              <w:keepLines/>
              <w:spacing w:after="40" w:before="40" w:line="252" w:lineRule="auto"/>
              <w:jc w:val="right"/>
            </w:pPr>
            <w:r>
              <w:rPr>
                <w:b w:val="0"/>
                <w:sz w:val="20"/>
              </w:rPr>
              <w:t xml:space="preserve">2026-10-16</w:t>
            </w:r>
          </w:p>
        </w:tc>
        <w:tc>
          <w:tcPr>
            <w:tcW w:type="dxa" w:w="2292"/>
            <w:vAlign w:val="center"/>
          </w:tcPr>
          <w:p>
            <w:pPr>
              <w:pStyle w:val="Compact"/>
              <w:keepNext/>
              <w:keepLines/>
              <w:spacing w:after="40" w:before="40" w:line="252" w:lineRule="auto"/>
              <w:jc w:val="right"/>
            </w:pPr>
            <w:r>
              <w:rPr>
                <w:b w:val="0"/>
                <w:sz w:val="20"/>
              </w:rPr>
              <w:t xml:space="preserve">0.37970</w:t>
            </w:r>
          </w:p>
        </w:tc>
        <w:tc>
          <w:tcPr>
            <w:tcW w:type="dxa" w:w="2292"/>
            <w:vAlign w:val="center"/>
          </w:tcPr>
          <w:p>
            <w:pPr>
              <w:pStyle w:val="Compact"/>
              <w:keepNext/>
              <w:keepLines/>
              <w:spacing w:after="40" w:before="40" w:line="252" w:lineRule="auto"/>
              <w:jc w:val="right"/>
            </w:pPr>
            <w:r>
              <w:rPr>
                <w:b w:val="0"/>
                <w:sz w:val="20"/>
              </w:rPr>
              <w:t xml:space="preserve">0.0096739</w:t>
            </w:r>
          </w:p>
        </w:tc>
        <w:tc>
          <w:tcPr>
            <w:tcW w:type="dxa" w:w="2292"/>
            <w:vAlign w:val="center"/>
          </w:tcPr>
          <w:p>
            <w:pPr>
              <w:pStyle w:val="Compact"/>
              <w:keepNext/>
              <w:keepLines/>
              <w:spacing w:after="40" w:before="40" w:line="252" w:lineRule="auto"/>
              <w:jc w:val="right"/>
            </w:pPr>
            <w:r>
              <w:rPr>
                <w:b w:val="0"/>
                <w:sz w:val="20"/>
              </w:rPr>
              <w:t xml:space="preserve">0.009673851</w:t>
            </w:r>
          </w:p>
        </w:tc>
        <w:tc>
          <w:tcPr>
            <w:tcW w:type="dxa" w:w="2149"/>
            <w:vAlign w:val="center"/>
          </w:tcPr>
          <w:p>
            <w:pPr>
              <w:pStyle w:val="Compact"/>
              <w:keepNext/>
              <w:keepLines/>
              <w:spacing w:after="40" w:before="40" w:line="252" w:lineRule="auto"/>
              <w:jc w:val="right"/>
            </w:pPr>
            <w:r>
              <w:rPr>
                <w:b w:val="0"/>
                <w:sz w:val="20"/>
              </w:rPr>
              <w:t xml:space="preserve">0.0016523</w:t>
            </w:r>
          </w:p>
        </w:tc>
      </w:tr>
      <w:tr>
        <w:trPr>
          <w:cantSplit/>
        </w:trPr>
        <w:tc>
          <w:tcPr>
            <w:tcW w:type="dxa" w:w="3009"/>
            <w:vAlign w:val="center"/>
          </w:tcPr>
          <w:p>
            <w:pPr>
              <w:pStyle w:val="Compact"/>
              <w:keepNext/>
              <w:keepLines/>
              <w:spacing w:after="40" w:before="40" w:line="252" w:lineRule="auto"/>
              <w:jc w:val="left"/>
            </w:pPr>
            <w:r>
              <w:rPr>
                <w:b w:val="0"/>
                <w:sz w:val="20"/>
              </w:rPr>
              <w:t xml:space="preserve">Primary 1e−7</w:t>
            </w:r>
          </w:p>
        </w:tc>
        <w:tc>
          <w:tcPr>
            <w:tcW w:type="dxa" w:w="2292"/>
            <w:vAlign w:val="center"/>
          </w:tcPr>
          <w:p>
            <w:pPr>
              <w:pStyle w:val="Compact"/>
              <w:keepNext/>
              <w:keepLines/>
              <w:spacing w:after="40" w:before="40" w:line="252" w:lineRule="auto"/>
              <w:jc w:val="right"/>
            </w:pPr>
            <w:r>
              <w:rPr>
                <w:b w:val="0"/>
                <w:sz w:val="20"/>
              </w:rPr>
              <w:t xml:space="preserve">2026-11-20</w:t>
            </w:r>
          </w:p>
        </w:tc>
        <w:tc>
          <w:tcPr>
            <w:tcW w:type="dxa" w:w="2292"/>
            <w:vAlign w:val="center"/>
          </w:tcPr>
          <w:p>
            <w:pPr>
              <w:pStyle w:val="Compact"/>
              <w:keepNext/>
              <w:keepLines/>
              <w:spacing w:after="40" w:before="40" w:line="252" w:lineRule="auto"/>
              <w:jc w:val="right"/>
            </w:pPr>
            <w:r>
              <w:rPr>
                <w:b w:val="0"/>
                <w:sz w:val="20"/>
              </w:rPr>
              <w:t xml:space="preserve">1.24439</w:t>
            </w:r>
          </w:p>
        </w:tc>
        <w:tc>
          <w:tcPr>
            <w:tcW w:type="dxa" w:w="2292"/>
            <w:vAlign w:val="center"/>
          </w:tcPr>
          <w:p>
            <w:pPr>
              <w:pStyle w:val="Compact"/>
              <w:keepNext/>
              <w:keepLines/>
              <w:spacing w:after="40" w:before="40" w:line="252" w:lineRule="auto"/>
              <w:jc w:val="right"/>
            </w:pPr>
            <w:r>
              <w:rPr>
                <w:b w:val="0"/>
                <w:sz w:val="20"/>
              </w:rPr>
              <w:t xml:space="preserve">0.0096739</w:t>
            </w:r>
          </w:p>
        </w:tc>
        <w:tc>
          <w:tcPr>
            <w:tcW w:type="dxa" w:w="2292"/>
            <w:vAlign w:val="center"/>
          </w:tcPr>
          <w:p>
            <w:pPr>
              <w:pStyle w:val="Compact"/>
              <w:keepNext/>
              <w:keepLines/>
              <w:spacing w:after="40" w:before="40" w:line="252" w:lineRule="auto"/>
              <w:jc w:val="right"/>
            </w:pPr>
            <w:r>
              <w:rPr>
                <w:b w:val="0"/>
                <w:sz w:val="20"/>
              </w:rPr>
              <w:t xml:space="preserve">0.009673851</w:t>
            </w:r>
          </w:p>
        </w:tc>
        <w:tc>
          <w:tcPr>
            <w:tcW w:type="dxa" w:w="2149"/>
            <w:vAlign w:val="center"/>
          </w:tcPr>
          <w:p>
            <w:pPr>
              <w:pStyle w:val="Compact"/>
              <w:keepNext/>
              <w:keepLines/>
              <w:spacing w:after="40" w:before="40" w:line="252" w:lineRule="auto"/>
              <w:jc w:val="right"/>
            </w:pPr>
            <w:r>
              <w:rPr>
                <w:b w:val="0"/>
                <w:sz w:val="20"/>
              </w:rPr>
              <w:t xml:space="preserve">0.0044610</w:t>
            </w:r>
          </w:p>
        </w:tc>
      </w:tr>
      <w:tr>
        <w:trPr>
          <w:cantSplit/>
        </w:trPr>
        <w:tc>
          <w:tcPr>
            <w:tcW w:type="dxa" w:w="3009"/>
            <w:vAlign w:val="center"/>
          </w:tcPr>
          <w:p>
            <w:pPr>
              <w:pStyle w:val="Compact"/>
              <w:keepNext/>
              <w:keepLines/>
              <w:spacing w:after="40" w:before="40" w:line="252" w:lineRule="auto"/>
              <w:jc w:val="left"/>
            </w:pPr>
            <w:r>
              <w:rPr>
                <w:b w:val="0"/>
                <w:sz w:val="20"/>
              </w:rPr>
              <w:t xml:space="preserve">Primary 1e−7</w:t>
            </w:r>
          </w:p>
        </w:tc>
        <w:tc>
          <w:tcPr>
            <w:tcW w:type="dxa" w:w="2292"/>
            <w:vAlign w:val="center"/>
          </w:tcPr>
          <w:p>
            <w:pPr>
              <w:pStyle w:val="Compact"/>
              <w:keepNext/>
              <w:keepLines/>
              <w:spacing w:after="40" w:before="40" w:line="252" w:lineRule="auto"/>
              <w:jc w:val="right"/>
            </w:pPr>
            <w:r>
              <w:rPr>
                <w:b w:val="0"/>
                <w:sz w:val="20"/>
              </w:rPr>
              <w:t xml:space="preserve">2026-12-18</w:t>
            </w:r>
          </w:p>
        </w:tc>
        <w:tc>
          <w:tcPr>
            <w:tcW w:type="dxa" w:w="2292"/>
            <w:vAlign w:val="center"/>
          </w:tcPr>
          <w:p>
            <w:pPr>
              <w:pStyle w:val="Compact"/>
              <w:keepNext/>
              <w:keepLines/>
              <w:spacing w:after="40" w:before="40" w:line="252" w:lineRule="auto"/>
              <w:jc w:val="right"/>
            </w:pPr>
            <w:r>
              <w:rPr>
                <w:b w:val="0"/>
                <w:sz w:val="20"/>
              </w:rPr>
              <w:t xml:space="preserve">2.34564</w:t>
            </w:r>
          </w:p>
        </w:tc>
        <w:tc>
          <w:tcPr>
            <w:tcW w:type="dxa" w:w="2292"/>
            <w:vAlign w:val="center"/>
          </w:tcPr>
          <w:p>
            <w:pPr>
              <w:pStyle w:val="Compact"/>
              <w:keepNext/>
              <w:keepLines/>
              <w:spacing w:after="40" w:before="40" w:line="252" w:lineRule="auto"/>
              <w:jc w:val="right"/>
            </w:pPr>
            <w:r>
              <w:rPr>
                <w:b w:val="0"/>
                <w:sz w:val="20"/>
              </w:rPr>
              <w:t xml:space="preserve">0.1486140</w:t>
            </w:r>
          </w:p>
        </w:tc>
        <w:tc>
          <w:tcPr>
            <w:tcW w:type="dxa" w:w="2292"/>
            <w:vAlign w:val="center"/>
          </w:tcPr>
          <w:p>
            <w:pPr>
              <w:pStyle w:val="Compact"/>
              <w:keepNext/>
              <w:keepLines/>
              <w:spacing w:after="40" w:before="40" w:line="252" w:lineRule="auto"/>
              <w:jc w:val="right"/>
            </w:pPr>
            <w:r>
              <w:rPr>
                <w:b w:val="0"/>
                <w:sz w:val="20"/>
              </w:rPr>
              <w:t xml:space="preserve">0.009673850</w:t>
            </w:r>
          </w:p>
        </w:tc>
        <w:tc>
          <w:tcPr>
            <w:tcW w:type="dxa" w:w="2149"/>
            <w:vAlign w:val="center"/>
          </w:tcPr>
          <w:p>
            <w:pPr>
              <w:pStyle w:val="Compact"/>
              <w:keepNext/>
              <w:keepLines/>
              <w:spacing w:after="40" w:before="40" w:line="252" w:lineRule="auto"/>
              <w:jc w:val="right"/>
            </w:pPr>
            <w:r>
              <w:rPr>
                <w:b w:val="0"/>
                <w:sz w:val="20"/>
              </w:rPr>
              <w:t xml:space="preserve">0.0068258</w:t>
            </w:r>
          </w:p>
        </w:tc>
      </w:tr>
      <w:tr>
        <w:trPr>
          <w:cantSplit/>
        </w:trPr>
        <w:tc>
          <w:tcPr>
            <w:tcW w:type="dxa" w:w="3009"/>
            <w:vAlign w:val="center"/>
          </w:tcPr>
          <w:p>
            <w:pPr>
              <w:pStyle w:val="Compact"/>
              <w:keepNext/>
              <w:keepLines/>
              <w:spacing w:after="40" w:before="40" w:line="252" w:lineRule="auto"/>
              <w:jc w:val="left"/>
            </w:pPr>
            <w:r>
              <w:rPr>
                <w:b w:val="0"/>
                <w:sz w:val="20"/>
              </w:rPr>
              <w:t xml:space="preserve">Post-hoc 1e−10</w:t>
            </w:r>
          </w:p>
        </w:tc>
        <w:tc>
          <w:tcPr>
            <w:tcW w:type="dxa" w:w="2292"/>
            <w:vAlign w:val="center"/>
          </w:tcPr>
          <w:p>
            <w:pPr>
              <w:pStyle w:val="Compact"/>
              <w:keepNext/>
              <w:keepLines/>
              <w:spacing w:after="40" w:before="40" w:line="252" w:lineRule="auto"/>
              <w:jc w:val="right"/>
            </w:pPr>
            <w:r>
              <w:rPr>
                <w:b w:val="0"/>
                <w:sz w:val="20"/>
              </w:rPr>
              <w:t xml:space="preserve">2026-10-16</w:t>
            </w:r>
          </w:p>
        </w:tc>
        <w:tc>
          <w:tcPr>
            <w:tcW w:type="dxa" w:w="2292"/>
            <w:vAlign w:val="center"/>
          </w:tcPr>
          <w:p>
            <w:pPr>
              <w:pStyle w:val="Compact"/>
              <w:keepNext/>
              <w:keepLines/>
              <w:spacing w:after="40" w:before="40" w:line="252" w:lineRule="auto"/>
              <w:jc w:val="right"/>
            </w:pPr>
            <w:r>
              <w:rPr>
                <w:b w:val="0"/>
                <w:sz w:val="20"/>
              </w:rPr>
              <w:t xml:space="preserve">0.37272</w:t>
            </w:r>
          </w:p>
        </w:tc>
        <w:tc>
          <w:tcPr>
            <w:tcW w:type="dxa" w:w="2292"/>
            <w:vAlign w:val="center"/>
          </w:tcPr>
          <w:p>
            <w:pPr>
              <w:pStyle w:val="Compact"/>
              <w:keepNext/>
              <w:keepLines/>
              <w:spacing w:after="40" w:before="40" w:line="252" w:lineRule="auto"/>
              <w:jc w:val="right"/>
            </w:pPr>
            <w:r>
              <w:rPr>
                <w:b w:val="0"/>
                <w:sz w:val="20"/>
              </w:rPr>
              <w:t xml:space="preserve">0.0000078</w:t>
            </w:r>
          </w:p>
        </w:tc>
        <w:tc>
          <w:tcPr>
            <w:tcW w:type="dxa" w:w="2292"/>
            <w:vAlign w:val="center"/>
          </w:tcPr>
          <w:p>
            <w:pPr>
              <w:pStyle w:val="Compact"/>
              <w:keepNext/>
              <w:keepLines/>
              <w:spacing w:after="40" w:before="40" w:line="252" w:lineRule="auto"/>
              <w:jc w:val="right"/>
            </w:pPr>
            <w:r>
              <w:rPr>
                <w:b w:val="0"/>
                <w:sz w:val="20"/>
              </w:rPr>
              <w:t xml:space="preserve">0.000001186</w:t>
            </w:r>
          </w:p>
        </w:tc>
        <w:tc>
          <w:tcPr>
            <w:tcW w:type="dxa" w:w="2149"/>
            <w:vAlign w:val="center"/>
          </w:tcPr>
          <w:p>
            <w:pPr>
              <w:pStyle w:val="Compact"/>
              <w:keepNext/>
              <w:keepLines/>
              <w:spacing w:after="40" w:before="40" w:line="252" w:lineRule="auto"/>
              <w:jc w:val="right"/>
            </w:pPr>
            <w:r>
              <w:rPr>
                <w:b w:val="0"/>
                <w:sz w:val="20"/>
              </w:rPr>
              <w:t xml:space="preserve">0.0015441</w:t>
            </w:r>
          </w:p>
        </w:tc>
      </w:tr>
      <w:tr>
        <w:trPr>
          <w:cantSplit/>
        </w:trPr>
        <w:tc>
          <w:tcPr>
            <w:tcW w:type="dxa" w:w="3009"/>
            <w:vAlign w:val="center"/>
          </w:tcPr>
          <w:p>
            <w:pPr>
              <w:pStyle w:val="Compact"/>
              <w:keepNext/>
              <w:keepLines/>
              <w:spacing w:after="40" w:before="40" w:line="252" w:lineRule="auto"/>
              <w:jc w:val="left"/>
            </w:pPr>
            <w:r>
              <w:rPr>
                <w:b w:val="0"/>
                <w:sz w:val="20"/>
              </w:rPr>
              <w:t xml:space="preserve">Post-hoc 1e−10</w:t>
            </w:r>
          </w:p>
        </w:tc>
        <w:tc>
          <w:tcPr>
            <w:tcW w:type="dxa" w:w="2292"/>
            <w:vAlign w:val="center"/>
          </w:tcPr>
          <w:p>
            <w:pPr>
              <w:pStyle w:val="Compact"/>
              <w:keepNext/>
              <w:keepLines/>
              <w:spacing w:after="40" w:before="40" w:line="252" w:lineRule="auto"/>
              <w:jc w:val="right"/>
            </w:pPr>
            <w:r>
              <w:rPr>
                <w:b w:val="0"/>
                <w:sz w:val="20"/>
              </w:rPr>
              <w:t xml:space="preserve">2026-11-20</w:t>
            </w:r>
          </w:p>
        </w:tc>
        <w:tc>
          <w:tcPr>
            <w:tcW w:type="dxa" w:w="2292"/>
            <w:vAlign w:val="center"/>
          </w:tcPr>
          <w:p>
            <w:pPr>
              <w:pStyle w:val="Compact"/>
              <w:keepNext/>
              <w:keepLines/>
              <w:spacing w:after="40" w:before="40" w:line="252" w:lineRule="auto"/>
              <w:jc w:val="right"/>
            </w:pPr>
            <w:r>
              <w:rPr>
                <w:b w:val="0"/>
                <w:sz w:val="20"/>
              </w:rPr>
              <w:t xml:space="preserve">1.35610</w:t>
            </w:r>
          </w:p>
        </w:tc>
        <w:tc>
          <w:tcPr>
            <w:tcW w:type="dxa" w:w="2292"/>
            <w:vAlign w:val="center"/>
          </w:tcPr>
          <w:p>
            <w:pPr>
              <w:pStyle w:val="Compact"/>
              <w:keepNext/>
              <w:keepLines/>
              <w:spacing w:after="40" w:before="40" w:line="252" w:lineRule="auto"/>
              <w:jc w:val="right"/>
            </w:pPr>
            <w:r>
              <w:rPr>
                <w:b w:val="0"/>
                <w:sz w:val="20"/>
              </w:rPr>
              <w:t xml:space="preserve">0.0997905</w:t>
            </w:r>
          </w:p>
        </w:tc>
        <w:tc>
          <w:tcPr>
            <w:tcW w:type="dxa" w:w="2292"/>
            <w:vAlign w:val="center"/>
          </w:tcPr>
          <w:p>
            <w:pPr>
              <w:pStyle w:val="Compact"/>
              <w:keepNext/>
              <w:keepLines/>
              <w:spacing w:after="40" w:before="40" w:line="252" w:lineRule="auto"/>
              <w:jc w:val="right"/>
            </w:pPr>
            <w:r>
              <w:rPr>
                <w:b w:val="0"/>
                <w:sz w:val="20"/>
              </w:rPr>
              <w:t xml:space="preserve">0.000049443</w:t>
            </w:r>
          </w:p>
        </w:tc>
        <w:tc>
          <w:tcPr>
            <w:tcW w:type="dxa" w:w="2149"/>
            <w:vAlign w:val="center"/>
          </w:tcPr>
          <w:p>
            <w:pPr>
              <w:pStyle w:val="Compact"/>
              <w:keepNext/>
              <w:keepLines/>
              <w:spacing w:after="40" w:before="40" w:line="252" w:lineRule="auto"/>
              <w:jc w:val="right"/>
            </w:pPr>
            <w:r>
              <w:rPr>
                <w:b w:val="0"/>
                <w:sz w:val="20"/>
              </w:rPr>
              <w:t xml:space="preserve">0.0043609</w:t>
            </w:r>
          </w:p>
        </w:tc>
      </w:tr>
      <w:tr>
        <w:trPr>
          <w:cantSplit/>
        </w:trPr>
        <w:tc>
          <w:tcPr>
            <w:tcW w:type="dxa" w:w="3009"/>
            <w:vAlign w:val="center"/>
          </w:tcPr>
          <w:p>
            <w:pPr>
              <w:pStyle w:val="Compact"/>
              <w:keepNext/>
              <w:keepLines/>
              <w:spacing w:after="40" w:before="40" w:line="252" w:lineRule="auto"/>
              <w:jc w:val="left"/>
            </w:pPr>
            <w:r>
              <w:rPr>
                <w:b w:val="0"/>
                <w:sz w:val="20"/>
              </w:rPr>
              <w:t xml:space="preserve">Post-hoc 1e−10</w:t>
            </w:r>
          </w:p>
        </w:tc>
        <w:tc>
          <w:tcPr>
            <w:tcW w:type="dxa" w:w="2292"/>
            <w:vAlign w:val="center"/>
          </w:tcPr>
          <w:p>
            <w:pPr>
              <w:pStyle w:val="Compact"/>
              <w:keepNext/>
              <w:keepLines/>
              <w:spacing w:after="40" w:before="40" w:line="252" w:lineRule="auto"/>
              <w:jc w:val="right"/>
            </w:pPr>
            <w:r>
              <w:rPr>
                <w:b w:val="0"/>
                <w:sz w:val="20"/>
              </w:rPr>
              <w:t xml:space="preserve">2026-12-18</w:t>
            </w:r>
          </w:p>
        </w:tc>
        <w:tc>
          <w:tcPr>
            <w:tcW w:type="dxa" w:w="2292"/>
            <w:vAlign w:val="center"/>
          </w:tcPr>
          <w:p>
            <w:pPr>
              <w:pStyle w:val="Compact"/>
              <w:keepNext/>
              <w:keepLines/>
              <w:spacing w:after="40" w:before="40" w:line="252" w:lineRule="auto"/>
              <w:jc w:val="right"/>
            </w:pPr>
            <w:r>
              <w:rPr>
                <w:b w:val="0"/>
                <w:sz w:val="20"/>
              </w:rPr>
              <w:t xml:space="preserve">2.06036</w:t>
            </w:r>
          </w:p>
        </w:tc>
        <w:tc>
          <w:tcPr>
            <w:tcW w:type="dxa" w:w="2292"/>
            <w:vAlign w:val="center"/>
          </w:tcPr>
          <w:p>
            <w:pPr>
              <w:pStyle w:val="Compact"/>
              <w:keepNext/>
              <w:keepLines/>
              <w:spacing w:after="40" w:before="40" w:line="252" w:lineRule="auto"/>
              <w:jc w:val="right"/>
            </w:pPr>
            <w:r>
              <w:rPr>
                <w:b w:val="0"/>
                <w:sz w:val="20"/>
              </w:rPr>
              <w:t xml:space="preserve">0.1797615</w:t>
            </w:r>
          </w:p>
        </w:tc>
        <w:tc>
          <w:tcPr>
            <w:tcW w:type="dxa" w:w="2292"/>
            <w:vAlign w:val="center"/>
          </w:tcPr>
          <w:p>
            <w:pPr>
              <w:pStyle w:val="Compact"/>
              <w:keepNext/>
              <w:keepLines/>
              <w:spacing w:after="40" w:before="40" w:line="252" w:lineRule="auto"/>
              <w:jc w:val="right"/>
            </w:pPr>
            <w:r>
              <w:rPr>
                <w:b w:val="0"/>
                <w:sz w:val="20"/>
              </w:rPr>
              <w:t xml:space="preserve">0.000218654</w:t>
            </w:r>
          </w:p>
        </w:tc>
        <w:tc>
          <w:tcPr>
            <w:tcW w:type="dxa" w:w="2149"/>
            <w:vAlign w:val="center"/>
          </w:tcPr>
          <w:p>
            <w:pPr>
              <w:pStyle w:val="Compact"/>
              <w:keepNext/>
              <w:keepLines/>
              <w:spacing w:after="40" w:before="40" w:line="252" w:lineRule="auto"/>
              <w:jc w:val="right"/>
            </w:pPr>
            <w:r>
              <w:rPr>
                <w:b w:val="0"/>
                <w:sz w:val="20"/>
              </w:rPr>
              <w:t xml:space="preserve">0.0067438</w:t>
            </w:r>
          </w:p>
        </w:tc>
      </w:tr>
    </w:tbl>
    <w:p>
      <w:bookmarkStart w:id="639" w:name="table30"/>
      <w:pPr>
        <w:pStyle w:val="TableCaption"/>
      </w:pPr>
      <w:r>
        <w:t xml:space="preserve">Table 30. Conditional risk-neutral summaries for the primary and post-hoc selected fits. Probabilities are percentages; variance is dimensionless. These are sensitivity outputs, not confidence intervals, physical forecasts or recommendations. Values near numerical resolution should not be read as precise market probabilities.</w:t>
      </w:r>
      <w:bookmarkEnd w:id="639"/>
    </w:p>
    <w:p>
      <w:pPr>
        <w:sectPr>
          <w:type w:val="nextPage"/>
          <w:pgSz w:w="16838" w:h="11906" w:orient="landscape"/>
          <w:pgMar w:top="1008" w:bottom="1008" w:left="1152" w:right="1152" w:header="432" w:footer="432" w:gutter="0"/>
          <w:pgNumType w:fmt="decimal"/>
        </w:sectPr>
        <w:spacing w:before="0" w:after="0" w:line="1" w:lineRule="exact"/>
      </w:pPr>
      <w:r>
        <w:rPr>
          <w:sz w:val="2"/>
        </w:rPr>
      </w:r>
    </w:p>
    <w:p>
      <w:pPr>
        <w:pStyle w:val="BodyText"/>
      </w:pPr>
      <w:r>
        <w:t xml:space="preserve">As Malz discusses [14], tail interpretation requires attention to extrapolation. Retained upper strikes reach only about</w:t>
      </w:r>
      <w:r>
        <w:t xml:space="preserve"> </w:t>
      </w:r>
      <m:oMath>
        <m:r>
          <m:t>1.0905</m:t>
        </m:r>
        <m:r>
          <m:t>F</m:t>
        </m:r>
      </m:oMath>
      <w:r>
        <w:t xml:space="preserve">,</w:t>
      </w:r>
      <w:r>
        <w:t xml:space="preserve"> </w:t>
      </w:r>
      <m:oMath>
        <m:r>
          <m:t>1.1571</m:t>
        </m:r>
        <m:r>
          <m:t>F</m:t>
        </m:r>
      </m:oMath>
      <w:r>
        <w:t xml:space="preserve"> </w:t>
      </w:r>
      <w:r>
        <w:t xml:space="preserve">and</w:t>
      </w:r>
      <w:r>
        <w:t xml:space="preserve"> </w:t>
      </w:r>
      <m:oMath>
        <m:r>
          <m:t>1.2188</m:t>
        </m:r>
        <m:r>
          <m:t>F</m:t>
        </m:r>
      </m:oMath>
      <w:r>
        <w:t xml:space="preserve"> </w:t>
      </w:r>
      <w:r>
        <w:t xml:space="preserve">across the three horizons. The</w:t>
      </w:r>
      <w:r>
        <w:t xml:space="preserve"> </w:t>
      </w:r>
      <m:oMath>
        <m:r>
          <m:t>1.8</m:t>
        </m:r>
        <m:r>
          <m:t>F</m:t>
        </m:r>
      </m:oMath>
      <w:r>
        <w:t xml:space="preserve"> </w:t>
      </w:r>
      <w:r>
        <w:t xml:space="preserve">event is outside all these spans. The first-horizon point estimate for this event changes from approximately 0.009674% under the primary coefficient to 0.000001186% under the weaker diagnostic fit. Neither is validated against an observable market density.</w:t>
      </w:r>
    </w:p>
    <w:p>
      <w:pPr>
        <w:pStyle w:val="BodyText"/>
      </w:pPr>
      <w:r>
        <w:t xml:space="preserve">All twenty-four empirical joint fits, including the diagnostic grid, have strict solved status and pass the interval calendar check. The smallest final gap is</w:t>
      </w:r>
      <w:r>
        <w:t xml:space="preserve"> </w:t>
      </w:r>
      <m:oMath>
        <m:r>
          <m:rPr>
            <m:sty m:val="p"/>
          </m:rPr>
          <m:t>−</m:t>
        </m:r>
        <m:r>
          <m:t>5.749</m:t>
        </m:r>
        <m:r>
          <m:rPr>
            <m:sty m:val="p"/>
          </m:rPr>
          <m:t>×</m:t>
        </m:r>
        <m:sSup>
          <m:e>
            <m:r>
              <m:t>10</m:t>
            </m:r>
          </m:e>
          <m:sup>
            <m:r>
              <m:rPr>
                <m:sty m:val="p"/>
              </m:rPr>
              <m:t>−</m:t>
            </m:r>
            <m:r>
              <m:t>10</m:t>
            </m:r>
          </m:sup>
        </m:sSup>
      </m:oMath>
      <w:r>
        <w:t xml:space="preserve">, and signed numerical masses are retained. The within-snapshot ordering is conditional on inferred deterministic carry and proportional dividends, following the assumptions underlying Gatheral and Jacquier’s argument [12]. The index’s actual cash-dividend process is not reconstructed.</w:t>
      </w:r>
    </w:p>
    <w:p>
      <w:pPr>
        <w:pStyle w:val="BodyText"/>
        <w:keepNext/>
        <w:spacing w:after="40"/>
        <w:jc w:val="center"/>
      </w:pPr>
      <w:r>
        <w:drawing>
          <wp:inline>
            <wp:extent cx="5334000" cy="3557937"/>
            <wp:effectExtent b="0" l="0" r="0" t="0"/>
            <wp:docPr descr="First empirical maturity surface and offline explorer" title="" id="142" name="Picture"/>
            <a:graphic>
              <a:graphicData uri="http://schemas.openxmlformats.org/drawingml/2006/picture">
                <pic:pic>
                  <pic:nvPicPr>
                    <pic:cNvPr descr="/workspace/scratch/62b9274b9d7e/spx-density-research/figures/figure_28_market_density_surface.png" id="143" name="Picture"/>
                    <pic:cNvPicPr>
                      <a:picLocks noChangeArrowheads="1" noChangeAspect="1"/>
                    </pic:cNvPicPr>
                  </pic:nvPicPr>
                  <pic:blipFill>
                    <a:blip r:embed="rId141"/>
                    <a:stretch>
                      <a:fillRect/>
                    </a:stretch>
                  </pic:blipFill>
                  <pic:spPr bwMode="auto">
                    <a:xfrm>
                      <a:off x="0" y="0"/>
                      <a:ext cx="5334000" cy="3557937"/>
                    </a:xfrm>
                    <a:prstGeom prst="rect">
                      <a:avLst/>
                    </a:prstGeom>
                    <a:noFill/>
                    <a:ln w="9525">
                      <a:noFill/>
                      <a:headEnd/>
                      <a:tailEnd/>
                    </a:ln>
                  </pic:spPr>
                </pic:pic>
              </a:graphicData>
            </a:graphic>
          </wp:inline>
        </w:drawing>
      </w:r>
    </w:p>
    <w:p>
      <w:bookmarkStart w:id="640" w:name="figure28"/>
      <w:pPr>
        <w:pStyle w:val="FigureCaption"/>
      </w:pPr>
      <w:r>
        <w:t xml:space="preserve">Figure 28. The primary selected empirical density across three settlement horizons. The surface connects bin centres and the three fitted maturity curves for visual guidance. It is not a fitted continuum of maturities. The horizontal terminal-level coordinate is normalised by each expiry’s inferred forward; the vertical coordinate is its corresponding density. Exact steps and alternative smoothing choices are available in the offline empirical explorer.</w:t>
      </w:r>
      <w:bookmarkEnd w:id="640"/>
    </w:p>
    <w:p>
      <w:pPr>
        <w:pStyle w:val="BodyText"/>
      </w:pPr>
      <w:r>
        <w:t xml:space="preserve">The empirical explorer provides exact histogram slices as well as the visual surface. It labels post-hoc settings and spread-miss counts with the selected curve. These presentation choices ensure that a convincing 3D view does not hide the fitting limitations.</w:t>
      </w:r>
    </w:p>
    <w:bookmarkEnd w:id="144"/>
    <w:bookmarkEnd w:id="145"/>
    <w:bookmarkStart w:id="167" w:name="X18c806361213a06405440a9d973884700a12f05"/>
    <w:p>
      <w:bookmarkStart w:id="641" w:name="h36"/>
      <w:pPr>
        <w:pStyle w:val="Heading1"/>
        <w:numPr>
          <w:ilvl w:val="0"/>
          <w:numId w:val="70"/>
        </w:numPr>
      </w:pPr>
      <w:bookmarkEnd w:id="641"/>
      <w:r>
        <w:t>Original-spread compatibility and dated comparisons</w:t>
      </w:r>
    </w:p>
    <w:bookmarkStart w:id="146" w:name="defining-a-common-empirical-comparison"/>
    <w:p>
      <w:bookmarkStart w:id="642" w:name="h37"/>
      <w:pPr>
        <w:pStyle w:val="Heading2"/>
        <w:numPr>
          <w:ilvl w:val="1"/>
          <w:numId w:val="70"/>
        </w:numPr>
      </w:pPr>
      <w:bookmarkEnd w:id="642"/>
      <w:r>
        <w:t>Defining a common empirical comparison</w:t>
      </w:r>
    </w:p>
    <w:p>
      <w:pPr>
        <w:pStyle w:val="FirstParagraph"/>
      </w:pPr>
      <w:r>
        <w:t xml:space="preserve">The final analytical stage uses all three snapshots and the same October, November and December SPXW expiries. It retains 840 pairs in August, 969 in the standard September snapshot and 950 in the later snapshot. Carry is inferred separately for each observation and expiry. A common-contract control uses the intersection of retained contracts across snapshots and re-estimates carry on that sample; it changes composition and carry together.</w:t>
      </w:r>
    </w:p>
    <w:p>
      <w:pPr>
        <w:sectPr>
          <w:type w:val="nextPage"/>
          <w:pgSz w:w="11906" w:h="16838" w:orient="portrait"/>
          <w:pgMar w:top="1008" w:bottom="1008" w:left="1152" w:right="1152" w:header="432" w:footer="432" w:gutter="0"/>
          <w:pgNumType w:fmt="decimal"/>
        </w:sectPr>
        <w:spacing w:before="0" w:after="0" w:line="1" w:lineRule="exact"/>
      </w:pPr>
      <w:r>
        <w:rPr>
          <w:sz w:val="2"/>
        </w:rPr>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047"/>
        <w:gridCol w:w="2047"/>
        <w:gridCol w:w="2047"/>
        <w:gridCol w:w="2047"/>
        <w:gridCol w:w="2047"/>
        <w:gridCol w:w="2047"/>
        <w:gridCol w:w="2047"/>
      </w:tblGrid>
      <w:tr>
        <w:trPr>
          <w:tblHeader w:val="true"/>
          <w:cantSplit/>
          <w:tblHeader/>
        </w:trPr>
        <w:tc>
          <w:tcPr>
            <w:tcW w:type="dxa" w:w="2047"/>
            <w:vAlign w:val="center"/>
            <w:shd w:fill="E9EEF3"/>
          </w:tcPr>
          <w:p>
            <w:pPr>
              <w:pStyle w:val="Compact"/>
              <w:keepNext/>
              <w:keepLines/>
              <w:spacing w:after="40" w:before="40" w:line="252" w:lineRule="auto"/>
              <w:jc w:val="left"/>
            </w:pPr>
            <w:r>
              <w:rPr>
                <w:b/>
                <w:sz w:val="20"/>
              </w:rPr>
              <w:t xml:space="preserve">Snapshot (2026)</w:t>
            </w:r>
          </w:p>
        </w:tc>
        <w:tc>
          <w:tcPr>
            <w:tcW w:type="dxa" w:w="2047"/>
            <w:vAlign w:val="center"/>
            <w:shd w:fill="E9EEF3"/>
          </w:tcPr>
          <w:p>
            <w:pPr>
              <w:pStyle w:val="Compact"/>
              <w:keepNext/>
              <w:keepLines/>
              <w:spacing w:after="40" w:before="40" w:line="252" w:lineRule="auto"/>
              <w:jc w:val="left"/>
            </w:pPr>
            <w:r>
              <w:rPr>
                <w:b/>
                <w:sz w:val="20"/>
              </w:rPr>
              <w:t xml:space="preserve">Expiry</w:t>
            </w:r>
          </w:p>
        </w:tc>
        <w:tc>
          <w:tcPr>
            <w:tcW w:type="dxa" w:w="2047"/>
            <w:vAlign w:val="center"/>
            <w:shd w:fill="E9EEF3"/>
          </w:tcPr>
          <w:p>
            <w:pPr>
              <w:pStyle w:val="Compact"/>
              <w:keepNext/>
              <w:keepLines/>
              <w:spacing w:after="40" w:before="40" w:line="252" w:lineRule="auto"/>
              <w:jc w:val="left"/>
            </w:pPr>
            <w:r>
              <w:rPr>
                <w:b/>
                <w:sz w:val="20"/>
              </w:rPr>
              <w:t xml:space="preserve">Retained pairs</w:t>
            </w:r>
          </w:p>
        </w:tc>
        <w:tc>
          <w:tcPr>
            <w:tcW w:type="dxa" w:w="2047"/>
            <w:vAlign w:val="center"/>
            <w:shd w:fill="E9EEF3"/>
          </w:tcPr>
          <w:p>
            <w:pPr>
              <w:pStyle w:val="Compact"/>
              <w:keepNext/>
              <w:keepLines/>
              <w:spacing w:after="40" w:before="40" w:line="252" w:lineRule="auto"/>
              <w:jc w:val="left"/>
            </w:pPr>
            <w:r>
              <w:rPr>
                <w:b/>
                <w:sz w:val="20"/>
              </w:rPr>
              <w:t xml:space="preserve">Common strikes</w:t>
            </w:r>
          </w:p>
        </w:tc>
        <w:tc>
          <w:tcPr>
            <w:tcW w:type="dxa" w:w="2047"/>
            <w:vAlign w:val="center"/>
            <w:shd w:fill="E9EEF3"/>
          </w:tcPr>
          <w:p>
            <w:pPr>
              <w:pStyle w:val="Compact"/>
              <w:keepNext/>
              <w:keepLines/>
              <w:spacing w:after="40" w:before="40" w:line="252" w:lineRule="auto"/>
              <w:jc w:val="left"/>
            </w:pPr>
            <w:r>
              <w:rPr>
                <w:b/>
                <w:sz w:val="20"/>
              </w:rPr>
              <w:t xml:space="preserve">Elapsed days</w:t>
            </w:r>
          </w:p>
        </w:tc>
        <w:tc>
          <w:tcPr>
            <w:tcW w:type="dxa" w:w="2047"/>
            <w:vAlign w:val="center"/>
            <w:shd w:fill="E9EEF3"/>
          </w:tcPr>
          <w:p>
            <w:pPr>
              <w:pStyle w:val="Compact"/>
              <w:keepNext/>
              <w:keepLines/>
              <w:spacing w:after="40" w:before="40" w:line="252" w:lineRule="auto"/>
              <w:jc w:val="left"/>
            </w:pPr>
            <w:r>
              <w:rPr>
                <w:b/>
                <w:sz w:val="20"/>
              </w:rPr>
              <w:t xml:space="preserve">Inferred D</w:t>
            </w:r>
          </w:p>
        </w:tc>
        <w:tc>
          <w:tcPr>
            <w:tcW w:type="dxa" w:w="2047"/>
            <w:vAlign w:val="center"/>
            <w:shd w:fill="E9EEF3"/>
          </w:tcPr>
          <w:p>
            <w:pPr>
              <w:pStyle w:val="Compact"/>
              <w:keepNext/>
              <w:keepLines/>
              <w:spacing w:after="40" w:before="40" w:line="252" w:lineRule="auto"/>
              <w:jc w:val="left"/>
            </w:pPr>
            <w:r>
              <w:rPr>
                <w:b/>
                <w:sz w:val="20"/>
              </w:rPr>
              <w:t xml:space="preserve">Inferred F (points)</w:t>
            </w:r>
          </w:p>
        </w:tc>
      </w:tr>
      <w:tr>
        <w:trPr>
          <w:cantSplit/>
        </w:trPr>
        <w:tc>
          <w:tcPr>
            <w:tcW w:type="dxa" w:w="2047"/>
            <w:vAlign w:val="center"/>
          </w:tcPr>
          <w:p>
            <w:pPr>
              <w:pStyle w:val="Compact"/>
              <w:keepNext/>
              <w:keepLines/>
              <w:spacing w:after="40" w:before="40" w:line="252" w:lineRule="auto"/>
              <w:jc w:val="right"/>
            </w:pPr>
            <w:r>
              <w:rPr>
                <w:b w:val="0"/>
                <w:sz w:val="20"/>
              </w:rPr>
              <w:t xml:space="preserve">31 Aug · 15:00 CT</w:t>
            </w:r>
          </w:p>
        </w:tc>
        <w:tc>
          <w:tcPr>
            <w:tcW w:type="dxa" w:w="2047"/>
            <w:vAlign w:val="center"/>
          </w:tcPr>
          <w:p>
            <w:pPr>
              <w:pStyle w:val="Compact"/>
              <w:keepNext/>
              <w:keepLines/>
              <w:spacing w:after="40" w:before="40" w:line="252" w:lineRule="auto"/>
              <w:jc w:val="right"/>
            </w:pPr>
            <w:r>
              <w:rPr>
                <w:b w:val="0"/>
                <w:sz w:val="20"/>
              </w:rPr>
              <w:t xml:space="preserve">2026-10-16</w:t>
            </w:r>
          </w:p>
        </w:tc>
        <w:tc>
          <w:tcPr>
            <w:tcW w:type="dxa" w:w="2047"/>
            <w:vAlign w:val="center"/>
          </w:tcPr>
          <w:p>
            <w:pPr>
              <w:pStyle w:val="Compact"/>
              <w:keepNext/>
              <w:keepLines/>
              <w:spacing w:after="40" w:before="40" w:line="252" w:lineRule="auto"/>
              <w:jc w:val="right"/>
            </w:pPr>
            <w:r>
              <w:rPr>
                <w:b w:val="0"/>
                <w:sz w:val="20"/>
              </w:rPr>
              <w:t xml:space="preserve">296</w:t>
            </w:r>
          </w:p>
        </w:tc>
        <w:tc>
          <w:tcPr>
            <w:tcW w:type="dxa" w:w="2047"/>
            <w:vAlign w:val="center"/>
          </w:tcPr>
          <w:p>
            <w:pPr>
              <w:pStyle w:val="Compact"/>
              <w:keepNext/>
              <w:keepLines/>
              <w:spacing w:after="40" w:before="40" w:line="252" w:lineRule="auto"/>
              <w:jc w:val="right"/>
            </w:pPr>
            <w:r>
              <w:rPr>
                <w:b w:val="0"/>
                <w:sz w:val="20"/>
              </w:rPr>
              <w:t xml:space="preserve">288</w:t>
            </w:r>
          </w:p>
        </w:tc>
        <w:tc>
          <w:tcPr>
            <w:tcW w:type="dxa" w:w="2047"/>
            <w:vAlign w:val="center"/>
          </w:tcPr>
          <w:p>
            <w:pPr>
              <w:pStyle w:val="Compact"/>
              <w:keepNext/>
              <w:keepLines/>
              <w:spacing w:after="40" w:before="40" w:line="252" w:lineRule="auto"/>
              <w:jc w:val="right"/>
            </w:pPr>
            <w:r>
              <w:rPr>
                <w:b w:val="0"/>
                <w:sz w:val="20"/>
              </w:rPr>
              <w:t xml:space="preserve">46.00000</w:t>
            </w:r>
          </w:p>
        </w:tc>
        <w:tc>
          <w:tcPr>
            <w:tcW w:type="dxa" w:w="2047"/>
            <w:vAlign w:val="center"/>
          </w:tcPr>
          <w:p>
            <w:pPr>
              <w:pStyle w:val="Compact"/>
              <w:keepNext/>
              <w:keepLines/>
              <w:spacing w:after="40" w:before="40" w:line="252" w:lineRule="auto"/>
              <w:jc w:val="right"/>
            </w:pPr>
            <w:r>
              <w:rPr>
                <w:b w:val="0"/>
                <w:sz w:val="20"/>
              </w:rPr>
              <w:t xml:space="preserve">0.99742995</w:t>
            </w:r>
          </w:p>
        </w:tc>
        <w:tc>
          <w:tcPr>
            <w:tcW w:type="dxa" w:w="2047"/>
            <w:vAlign w:val="center"/>
          </w:tcPr>
          <w:p>
            <w:pPr>
              <w:pStyle w:val="Compact"/>
              <w:keepNext/>
              <w:keepLines/>
              <w:spacing w:after="40" w:before="40" w:line="252" w:lineRule="auto"/>
              <w:jc w:val="right"/>
            </w:pPr>
            <w:r>
              <w:rPr>
                <w:b w:val="0"/>
                <w:sz w:val="20"/>
              </w:rPr>
              <w:t xml:space="preserve">7716.6750</w:t>
            </w:r>
          </w:p>
        </w:tc>
      </w:tr>
      <w:tr>
        <w:trPr>
          <w:cantSplit/>
        </w:trPr>
        <w:tc>
          <w:tcPr>
            <w:tcW w:type="dxa" w:w="2047"/>
            <w:vAlign w:val="center"/>
          </w:tcPr>
          <w:p>
            <w:pPr>
              <w:pStyle w:val="Compact"/>
              <w:keepNext/>
              <w:keepLines/>
              <w:spacing w:after="40" w:before="40" w:line="252" w:lineRule="auto"/>
              <w:jc w:val="right"/>
            </w:pPr>
            <w:r>
              <w:rPr>
                <w:b w:val="0"/>
                <w:sz w:val="20"/>
              </w:rPr>
              <w:t xml:space="preserve">31 Aug · 15:00 CT</w:t>
            </w:r>
          </w:p>
        </w:tc>
        <w:tc>
          <w:tcPr>
            <w:tcW w:type="dxa" w:w="2047"/>
            <w:vAlign w:val="center"/>
          </w:tcPr>
          <w:p>
            <w:pPr>
              <w:pStyle w:val="Compact"/>
              <w:keepNext/>
              <w:keepLines/>
              <w:spacing w:after="40" w:before="40" w:line="252" w:lineRule="auto"/>
              <w:jc w:val="right"/>
            </w:pPr>
            <w:r>
              <w:rPr>
                <w:b w:val="0"/>
                <w:sz w:val="20"/>
              </w:rPr>
              <w:t xml:space="preserve">2026-11-20</w:t>
            </w:r>
          </w:p>
        </w:tc>
        <w:tc>
          <w:tcPr>
            <w:tcW w:type="dxa" w:w="2047"/>
            <w:vAlign w:val="center"/>
          </w:tcPr>
          <w:p>
            <w:pPr>
              <w:pStyle w:val="Compact"/>
              <w:keepNext/>
              <w:keepLines/>
              <w:spacing w:after="40" w:before="40" w:line="252" w:lineRule="auto"/>
              <w:jc w:val="right"/>
            </w:pPr>
            <w:r>
              <w:rPr>
                <w:b w:val="0"/>
                <w:sz w:val="20"/>
              </w:rPr>
              <w:t xml:space="preserve">305</w:t>
            </w:r>
          </w:p>
        </w:tc>
        <w:tc>
          <w:tcPr>
            <w:tcW w:type="dxa" w:w="2047"/>
            <w:vAlign w:val="center"/>
          </w:tcPr>
          <w:p>
            <w:pPr>
              <w:pStyle w:val="Compact"/>
              <w:keepNext/>
              <w:keepLines/>
              <w:spacing w:after="40" w:before="40" w:line="252" w:lineRule="auto"/>
              <w:jc w:val="right"/>
            </w:pPr>
            <w:r>
              <w:rPr>
                <w:b w:val="0"/>
                <w:sz w:val="20"/>
              </w:rPr>
              <w:t xml:space="preserve">296</w:t>
            </w:r>
          </w:p>
        </w:tc>
        <w:tc>
          <w:tcPr>
            <w:tcW w:type="dxa" w:w="2047"/>
            <w:vAlign w:val="center"/>
          </w:tcPr>
          <w:p>
            <w:pPr>
              <w:pStyle w:val="Compact"/>
              <w:keepNext/>
              <w:keepLines/>
              <w:spacing w:after="40" w:before="40" w:line="252" w:lineRule="auto"/>
              <w:jc w:val="right"/>
            </w:pPr>
            <w:r>
              <w:rPr>
                <w:b w:val="0"/>
                <w:sz w:val="20"/>
              </w:rPr>
              <w:t xml:space="preserve">81.04167</w:t>
            </w:r>
          </w:p>
        </w:tc>
        <w:tc>
          <w:tcPr>
            <w:tcW w:type="dxa" w:w="2047"/>
            <w:vAlign w:val="center"/>
          </w:tcPr>
          <w:p>
            <w:pPr>
              <w:pStyle w:val="Compact"/>
              <w:keepNext/>
              <w:keepLines/>
              <w:spacing w:after="40" w:before="40" w:line="252" w:lineRule="auto"/>
              <w:jc w:val="right"/>
            </w:pPr>
            <w:r>
              <w:rPr>
                <w:b w:val="0"/>
                <w:sz w:val="20"/>
              </w:rPr>
              <w:t xml:space="preserve">0.99157534</w:t>
            </w:r>
          </w:p>
        </w:tc>
        <w:tc>
          <w:tcPr>
            <w:tcW w:type="dxa" w:w="2047"/>
            <w:vAlign w:val="center"/>
          </w:tcPr>
          <w:p>
            <w:pPr>
              <w:pStyle w:val="Compact"/>
              <w:keepNext/>
              <w:keepLines/>
              <w:spacing w:after="40" w:before="40" w:line="252" w:lineRule="auto"/>
              <w:jc w:val="right"/>
            </w:pPr>
            <w:r>
              <w:rPr>
                <w:b w:val="0"/>
                <w:sz w:val="20"/>
              </w:rPr>
              <w:t xml:space="preserve">7742.7428</w:t>
            </w:r>
          </w:p>
        </w:tc>
      </w:tr>
      <w:tr>
        <w:trPr>
          <w:cantSplit/>
        </w:trPr>
        <w:tc>
          <w:tcPr>
            <w:tcW w:type="dxa" w:w="2047"/>
            <w:vAlign w:val="center"/>
          </w:tcPr>
          <w:p>
            <w:pPr>
              <w:pStyle w:val="Compact"/>
              <w:keepNext/>
              <w:keepLines/>
              <w:spacing w:after="40" w:before="40" w:line="252" w:lineRule="auto"/>
              <w:jc w:val="right"/>
            </w:pPr>
            <w:r>
              <w:rPr>
                <w:b w:val="0"/>
                <w:sz w:val="20"/>
              </w:rPr>
              <w:t xml:space="preserve">31 Aug · 15:00 CT</w:t>
            </w:r>
          </w:p>
        </w:tc>
        <w:tc>
          <w:tcPr>
            <w:tcW w:type="dxa" w:w="2047"/>
            <w:vAlign w:val="center"/>
          </w:tcPr>
          <w:p>
            <w:pPr>
              <w:pStyle w:val="Compact"/>
              <w:keepNext/>
              <w:keepLines/>
              <w:spacing w:after="40" w:before="40" w:line="252" w:lineRule="auto"/>
              <w:jc w:val="right"/>
            </w:pPr>
            <w:r>
              <w:rPr>
                <w:b w:val="0"/>
                <w:sz w:val="20"/>
              </w:rPr>
              <w:t xml:space="preserve">2026-12-18</w:t>
            </w:r>
          </w:p>
        </w:tc>
        <w:tc>
          <w:tcPr>
            <w:tcW w:type="dxa" w:w="2047"/>
            <w:vAlign w:val="center"/>
          </w:tcPr>
          <w:p>
            <w:pPr>
              <w:pStyle w:val="Compact"/>
              <w:keepNext/>
              <w:keepLines/>
              <w:spacing w:after="40" w:before="40" w:line="252" w:lineRule="auto"/>
              <w:jc w:val="right"/>
            </w:pPr>
            <w:r>
              <w:rPr>
                <w:b w:val="0"/>
                <w:sz w:val="20"/>
              </w:rPr>
              <w:t xml:space="preserve">239</w:t>
            </w:r>
          </w:p>
        </w:tc>
        <w:tc>
          <w:tcPr>
            <w:tcW w:type="dxa" w:w="2047"/>
            <w:vAlign w:val="center"/>
          </w:tcPr>
          <w:p>
            <w:pPr>
              <w:pStyle w:val="Compact"/>
              <w:keepNext/>
              <w:keepLines/>
              <w:spacing w:after="40" w:before="40" w:line="252" w:lineRule="auto"/>
              <w:jc w:val="right"/>
            </w:pPr>
            <w:r>
              <w:rPr>
                <w:b w:val="0"/>
                <w:sz w:val="20"/>
              </w:rPr>
              <w:t xml:space="preserve">230</w:t>
            </w:r>
          </w:p>
        </w:tc>
        <w:tc>
          <w:tcPr>
            <w:tcW w:type="dxa" w:w="2047"/>
            <w:vAlign w:val="center"/>
          </w:tcPr>
          <w:p>
            <w:pPr>
              <w:pStyle w:val="Compact"/>
              <w:keepNext/>
              <w:keepLines/>
              <w:spacing w:after="40" w:before="40" w:line="252" w:lineRule="auto"/>
              <w:jc w:val="right"/>
            </w:pPr>
            <w:r>
              <w:rPr>
                <w:b w:val="0"/>
                <w:sz w:val="20"/>
              </w:rPr>
              <w:t xml:space="preserve">109.04167</w:t>
            </w:r>
          </w:p>
        </w:tc>
        <w:tc>
          <w:tcPr>
            <w:tcW w:type="dxa" w:w="2047"/>
            <w:vAlign w:val="center"/>
          </w:tcPr>
          <w:p>
            <w:pPr>
              <w:pStyle w:val="Compact"/>
              <w:keepNext/>
              <w:keepLines/>
              <w:spacing w:after="40" w:before="40" w:line="252" w:lineRule="auto"/>
              <w:jc w:val="right"/>
            </w:pPr>
            <w:r>
              <w:rPr>
                <w:b w:val="0"/>
                <w:sz w:val="20"/>
              </w:rPr>
              <w:t xml:space="preserve">0.98782814</w:t>
            </w:r>
          </w:p>
        </w:tc>
        <w:tc>
          <w:tcPr>
            <w:tcW w:type="dxa" w:w="2047"/>
            <w:vAlign w:val="center"/>
          </w:tcPr>
          <w:p>
            <w:pPr>
              <w:pStyle w:val="Compact"/>
              <w:keepNext/>
              <w:keepLines/>
              <w:spacing w:after="40" w:before="40" w:line="252" w:lineRule="auto"/>
              <w:jc w:val="right"/>
            </w:pPr>
            <w:r>
              <w:rPr>
                <w:b w:val="0"/>
                <w:sz w:val="20"/>
              </w:rPr>
              <w:t xml:space="preserve">7762.9681</w:t>
            </w:r>
          </w:p>
        </w:tc>
      </w:tr>
      <w:tr>
        <w:trPr>
          <w:cantSplit/>
        </w:trPr>
        <w:tc>
          <w:tcPr>
            <w:tcW w:type="dxa" w:w="2047"/>
            <w:vAlign w:val="center"/>
          </w:tcPr>
          <w:p>
            <w:pPr>
              <w:pStyle w:val="Compact"/>
              <w:keepNext/>
              <w:keepLines/>
              <w:spacing w:after="40" w:before="40" w:line="252" w:lineRule="auto"/>
              <w:jc w:val="right"/>
            </w:pPr>
            <w:r>
              <w:rPr>
                <w:b w:val="0"/>
                <w:sz w:val="20"/>
              </w:rPr>
              <w:t xml:space="preserve">18 Sep · 15:00 CT</w:t>
            </w:r>
          </w:p>
        </w:tc>
        <w:tc>
          <w:tcPr>
            <w:tcW w:type="dxa" w:w="2047"/>
            <w:vAlign w:val="center"/>
          </w:tcPr>
          <w:p>
            <w:pPr>
              <w:pStyle w:val="Compact"/>
              <w:keepNext/>
              <w:keepLines/>
              <w:spacing w:after="40" w:before="40" w:line="252" w:lineRule="auto"/>
              <w:jc w:val="right"/>
            </w:pPr>
            <w:r>
              <w:rPr>
                <w:b w:val="0"/>
                <w:sz w:val="20"/>
              </w:rPr>
              <w:t xml:space="preserve">2026-10-16</w:t>
            </w:r>
          </w:p>
        </w:tc>
        <w:tc>
          <w:tcPr>
            <w:tcW w:type="dxa" w:w="2047"/>
            <w:vAlign w:val="center"/>
          </w:tcPr>
          <w:p>
            <w:pPr>
              <w:pStyle w:val="Compact"/>
              <w:keepNext/>
              <w:keepLines/>
              <w:spacing w:after="40" w:before="40" w:line="252" w:lineRule="auto"/>
              <w:jc w:val="right"/>
            </w:pPr>
            <w:r>
              <w:rPr>
                <w:b w:val="0"/>
                <w:sz w:val="20"/>
              </w:rPr>
              <w:t xml:space="preserve">364</w:t>
            </w:r>
          </w:p>
        </w:tc>
        <w:tc>
          <w:tcPr>
            <w:tcW w:type="dxa" w:w="2047"/>
            <w:vAlign w:val="center"/>
          </w:tcPr>
          <w:p>
            <w:pPr>
              <w:pStyle w:val="Compact"/>
              <w:keepNext/>
              <w:keepLines/>
              <w:spacing w:after="40" w:before="40" w:line="252" w:lineRule="auto"/>
              <w:jc w:val="right"/>
            </w:pPr>
            <w:r>
              <w:rPr>
                <w:b w:val="0"/>
                <w:sz w:val="20"/>
              </w:rPr>
              <w:t xml:space="preserve">288</w:t>
            </w:r>
          </w:p>
        </w:tc>
        <w:tc>
          <w:tcPr>
            <w:tcW w:type="dxa" w:w="2047"/>
            <w:vAlign w:val="center"/>
          </w:tcPr>
          <w:p>
            <w:pPr>
              <w:pStyle w:val="Compact"/>
              <w:keepNext/>
              <w:keepLines/>
              <w:spacing w:after="40" w:before="40" w:line="252" w:lineRule="auto"/>
              <w:jc w:val="right"/>
            </w:pPr>
            <w:r>
              <w:rPr>
                <w:b w:val="0"/>
                <w:sz w:val="20"/>
              </w:rPr>
              <w:t xml:space="preserve">28.00000</w:t>
            </w:r>
          </w:p>
        </w:tc>
        <w:tc>
          <w:tcPr>
            <w:tcW w:type="dxa" w:w="2047"/>
            <w:vAlign w:val="center"/>
          </w:tcPr>
          <w:p>
            <w:pPr>
              <w:pStyle w:val="Compact"/>
              <w:keepNext/>
              <w:keepLines/>
              <w:spacing w:after="40" w:before="40" w:line="252" w:lineRule="auto"/>
              <w:jc w:val="right"/>
            </w:pPr>
            <w:r>
              <w:rPr>
                <w:b w:val="0"/>
                <w:sz w:val="20"/>
              </w:rPr>
              <w:t xml:space="preserve">0.99692766</w:t>
            </w:r>
          </w:p>
        </w:tc>
        <w:tc>
          <w:tcPr>
            <w:tcW w:type="dxa" w:w="2047"/>
            <w:vAlign w:val="center"/>
          </w:tcPr>
          <w:p>
            <w:pPr>
              <w:pStyle w:val="Compact"/>
              <w:keepNext/>
              <w:keepLines/>
              <w:spacing w:after="40" w:before="40" w:line="252" w:lineRule="auto"/>
              <w:jc w:val="right"/>
            </w:pPr>
            <w:r>
              <w:rPr>
                <w:b w:val="0"/>
                <w:sz w:val="20"/>
              </w:rPr>
              <w:t xml:space="preserve">7666.5433</w:t>
            </w:r>
          </w:p>
        </w:tc>
      </w:tr>
      <w:tr>
        <w:trPr>
          <w:cantSplit/>
        </w:trPr>
        <w:tc>
          <w:tcPr>
            <w:tcW w:type="dxa" w:w="2047"/>
            <w:vAlign w:val="center"/>
          </w:tcPr>
          <w:p>
            <w:pPr>
              <w:pStyle w:val="Compact"/>
              <w:keepNext/>
              <w:keepLines/>
              <w:spacing w:after="40" w:before="40" w:line="252" w:lineRule="auto"/>
              <w:jc w:val="right"/>
            </w:pPr>
            <w:r>
              <w:rPr>
                <w:b w:val="0"/>
                <w:sz w:val="20"/>
              </w:rPr>
              <w:t xml:space="preserve">18 Sep · 15:00 CT</w:t>
            </w:r>
          </w:p>
        </w:tc>
        <w:tc>
          <w:tcPr>
            <w:tcW w:type="dxa" w:w="2047"/>
            <w:vAlign w:val="center"/>
          </w:tcPr>
          <w:p>
            <w:pPr>
              <w:pStyle w:val="Compact"/>
              <w:keepNext/>
              <w:keepLines/>
              <w:spacing w:after="40" w:before="40" w:line="252" w:lineRule="auto"/>
              <w:jc w:val="right"/>
            </w:pPr>
            <w:r>
              <w:rPr>
                <w:b w:val="0"/>
                <w:sz w:val="20"/>
              </w:rPr>
              <w:t xml:space="preserve">2026-11-20</w:t>
            </w:r>
          </w:p>
        </w:tc>
        <w:tc>
          <w:tcPr>
            <w:tcW w:type="dxa" w:w="2047"/>
            <w:vAlign w:val="center"/>
          </w:tcPr>
          <w:p>
            <w:pPr>
              <w:pStyle w:val="Compact"/>
              <w:keepNext/>
              <w:keepLines/>
              <w:spacing w:after="40" w:before="40" w:line="252" w:lineRule="auto"/>
              <w:jc w:val="right"/>
            </w:pPr>
            <w:r>
              <w:rPr>
                <w:b w:val="0"/>
                <w:sz w:val="20"/>
              </w:rPr>
              <w:t xml:space="preserve">344</w:t>
            </w:r>
          </w:p>
        </w:tc>
        <w:tc>
          <w:tcPr>
            <w:tcW w:type="dxa" w:w="2047"/>
            <w:vAlign w:val="center"/>
          </w:tcPr>
          <w:p>
            <w:pPr>
              <w:pStyle w:val="Compact"/>
              <w:keepNext/>
              <w:keepLines/>
              <w:spacing w:after="40" w:before="40" w:line="252" w:lineRule="auto"/>
              <w:jc w:val="right"/>
            </w:pPr>
            <w:r>
              <w:rPr>
                <w:b w:val="0"/>
                <w:sz w:val="20"/>
              </w:rPr>
              <w:t xml:space="preserve">296</w:t>
            </w:r>
          </w:p>
        </w:tc>
        <w:tc>
          <w:tcPr>
            <w:tcW w:type="dxa" w:w="2047"/>
            <w:vAlign w:val="center"/>
          </w:tcPr>
          <w:p>
            <w:pPr>
              <w:pStyle w:val="Compact"/>
              <w:keepNext/>
              <w:keepLines/>
              <w:spacing w:after="40" w:before="40" w:line="252" w:lineRule="auto"/>
              <w:jc w:val="right"/>
            </w:pPr>
            <w:r>
              <w:rPr>
                <w:b w:val="0"/>
                <w:sz w:val="20"/>
              </w:rPr>
              <w:t xml:space="preserve">63.04167</w:t>
            </w:r>
          </w:p>
        </w:tc>
        <w:tc>
          <w:tcPr>
            <w:tcW w:type="dxa" w:w="2047"/>
            <w:vAlign w:val="center"/>
          </w:tcPr>
          <w:p>
            <w:pPr>
              <w:pStyle w:val="Compact"/>
              <w:keepNext/>
              <w:keepLines/>
              <w:spacing w:after="40" w:before="40" w:line="252" w:lineRule="auto"/>
              <w:jc w:val="right"/>
            </w:pPr>
            <w:r>
              <w:rPr>
                <w:b w:val="0"/>
                <w:sz w:val="20"/>
              </w:rPr>
              <w:t xml:space="preserve">0.99259513</w:t>
            </w:r>
          </w:p>
        </w:tc>
        <w:tc>
          <w:tcPr>
            <w:tcW w:type="dxa" w:w="2047"/>
            <w:vAlign w:val="center"/>
          </w:tcPr>
          <w:p>
            <w:pPr>
              <w:pStyle w:val="Compact"/>
              <w:keepNext/>
              <w:keepLines/>
              <w:spacing w:after="40" w:before="40" w:line="252" w:lineRule="auto"/>
              <w:jc w:val="right"/>
            </w:pPr>
            <w:r>
              <w:rPr>
                <w:b w:val="0"/>
                <w:sz w:val="20"/>
              </w:rPr>
              <w:t xml:space="preserve">7691.7365</w:t>
            </w:r>
          </w:p>
        </w:tc>
      </w:tr>
      <w:tr>
        <w:trPr>
          <w:cantSplit/>
        </w:trPr>
        <w:tc>
          <w:tcPr>
            <w:tcW w:type="dxa" w:w="2047"/>
            <w:vAlign w:val="center"/>
          </w:tcPr>
          <w:p>
            <w:pPr>
              <w:pStyle w:val="Compact"/>
              <w:keepNext/>
              <w:keepLines/>
              <w:spacing w:after="40" w:before="40" w:line="252" w:lineRule="auto"/>
              <w:jc w:val="right"/>
            </w:pPr>
            <w:r>
              <w:rPr>
                <w:b w:val="0"/>
                <w:sz w:val="20"/>
              </w:rPr>
              <w:t xml:space="preserve">18 Sep · 15:00 CT</w:t>
            </w:r>
          </w:p>
        </w:tc>
        <w:tc>
          <w:tcPr>
            <w:tcW w:type="dxa" w:w="2047"/>
            <w:vAlign w:val="center"/>
          </w:tcPr>
          <w:p>
            <w:pPr>
              <w:pStyle w:val="Compact"/>
              <w:keepNext/>
              <w:keepLines/>
              <w:spacing w:after="40" w:before="40" w:line="252" w:lineRule="auto"/>
              <w:jc w:val="right"/>
            </w:pPr>
            <w:r>
              <w:rPr>
                <w:b w:val="0"/>
                <w:sz w:val="20"/>
              </w:rPr>
              <w:t xml:space="preserve">2026-12-18</w:t>
            </w:r>
          </w:p>
        </w:tc>
        <w:tc>
          <w:tcPr>
            <w:tcW w:type="dxa" w:w="2047"/>
            <w:vAlign w:val="center"/>
          </w:tcPr>
          <w:p>
            <w:pPr>
              <w:pStyle w:val="Compact"/>
              <w:keepNext/>
              <w:keepLines/>
              <w:spacing w:after="40" w:before="40" w:line="252" w:lineRule="auto"/>
              <w:jc w:val="right"/>
            </w:pPr>
            <w:r>
              <w:rPr>
                <w:b w:val="0"/>
                <w:sz w:val="20"/>
              </w:rPr>
              <w:t xml:space="preserve">261</w:t>
            </w:r>
          </w:p>
        </w:tc>
        <w:tc>
          <w:tcPr>
            <w:tcW w:type="dxa" w:w="2047"/>
            <w:vAlign w:val="center"/>
          </w:tcPr>
          <w:p>
            <w:pPr>
              <w:pStyle w:val="Compact"/>
              <w:keepNext/>
              <w:keepLines/>
              <w:spacing w:after="40" w:before="40" w:line="252" w:lineRule="auto"/>
              <w:jc w:val="right"/>
            </w:pPr>
            <w:r>
              <w:rPr>
                <w:b w:val="0"/>
                <w:sz w:val="20"/>
              </w:rPr>
              <w:t xml:space="preserve">230</w:t>
            </w:r>
          </w:p>
        </w:tc>
        <w:tc>
          <w:tcPr>
            <w:tcW w:type="dxa" w:w="2047"/>
            <w:vAlign w:val="center"/>
          </w:tcPr>
          <w:p>
            <w:pPr>
              <w:pStyle w:val="Compact"/>
              <w:keepNext/>
              <w:keepLines/>
              <w:spacing w:after="40" w:before="40" w:line="252" w:lineRule="auto"/>
              <w:jc w:val="right"/>
            </w:pPr>
            <w:r>
              <w:rPr>
                <w:b w:val="0"/>
                <w:sz w:val="20"/>
              </w:rPr>
              <w:t xml:space="preserve">91.04167</w:t>
            </w:r>
          </w:p>
        </w:tc>
        <w:tc>
          <w:tcPr>
            <w:tcW w:type="dxa" w:w="2047"/>
            <w:vAlign w:val="center"/>
          </w:tcPr>
          <w:p>
            <w:pPr>
              <w:pStyle w:val="Compact"/>
              <w:keepNext/>
              <w:keepLines/>
              <w:spacing w:after="40" w:before="40" w:line="252" w:lineRule="auto"/>
              <w:jc w:val="right"/>
            </w:pPr>
            <w:r>
              <w:rPr>
                <w:b w:val="0"/>
                <w:sz w:val="20"/>
              </w:rPr>
              <w:t xml:space="preserve">0.98895253</w:t>
            </w:r>
          </w:p>
        </w:tc>
        <w:tc>
          <w:tcPr>
            <w:tcW w:type="dxa" w:w="2047"/>
            <w:vAlign w:val="center"/>
          </w:tcPr>
          <w:p>
            <w:pPr>
              <w:pStyle w:val="Compact"/>
              <w:keepNext/>
              <w:keepLines/>
              <w:spacing w:after="40" w:before="40" w:line="252" w:lineRule="auto"/>
              <w:jc w:val="right"/>
            </w:pPr>
            <w:r>
              <w:rPr>
                <w:b w:val="0"/>
                <w:sz w:val="20"/>
              </w:rPr>
              <w:t xml:space="preserve">7712.2104</w:t>
            </w:r>
          </w:p>
        </w:tc>
      </w:tr>
      <w:tr>
        <w:trPr>
          <w:cantSplit/>
        </w:trPr>
        <w:tc>
          <w:tcPr>
            <w:tcW w:type="dxa" w:w="2047"/>
            <w:vAlign w:val="center"/>
          </w:tcPr>
          <w:p>
            <w:pPr>
              <w:pStyle w:val="Compact"/>
              <w:keepNext/>
              <w:keepLines/>
              <w:spacing w:after="40" w:before="40" w:line="252" w:lineRule="auto"/>
              <w:jc w:val="right"/>
            </w:pPr>
            <w:r>
              <w:rPr>
                <w:b w:val="0"/>
                <w:sz w:val="20"/>
              </w:rPr>
              <w:t xml:space="preserve">18 Sep · 15:15 CT</w:t>
            </w:r>
          </w:p>
        </w:tc>
        <w:tc>
          <w:tcPr>
            <w:tcW w:type="dxa" w:w="2047"/>
            <w:vAlign w:val="center"/>
          </w:tcPr>
          <w:p>
            <w:pPr>
              <w:pStyle w:val="Compact"/>
              <w:keepNext/>
              <w:keepLines/>
              <w:spacing w:after="40" w:before="40" w:line="252" w:lineRule="auto"/>
              <w:jc w:val="right"/>
            </w:pPr>
            <w:r>
              <w:rPr>
                <w:b w:val="0"/>
                <w:sz w:val="20"/>
              </w:rPr>
              <w:t xml:space="preserve">2026-10-16</w:t>
            </w:r>
          </w:p>
        </w:tc>
        <w:tc>
          <w:tcPr>
            <w:tcW w:type="dxa" w:w="2047"/>
            <w:vAlign w:val="center"/>
          </w:tcPr>
          <w:p>
            <w:pPr>
              <w:pStyle w:val="Compact"/>
              <w:keepNext/>
              <w:keepLines/>
              <w:spacing w:after="40" w:before="40" w:line="252" w:lineRule="auto"/>
              <w:jc w:val="right"/>
            </w:pPr>
            <w:r>
              <w:rPr>
                <w:b w:val="0"/>
                <w:sz w:val="20"/>
              </w:rPr>
              <w:t xml:space="preserve">361</w:t>
            </w:r>
          </w:p>
        </w:tc>
        <w:tc>
          <w:tcPr>
            <w:tcW w:type="dxa" w:w="2047"/>
            <w:vAlign w:val="center"/>
          </w:tcPr>
          <w:p>
            <w:pPr>
              <w:pStyle w:val="Compact"/>
              <w:keepNext/>
              <w:keepLines/>
              <w:spacing w:after="40" w:before="40" w:line="252" w:lineRule="auto"/>
              <w:jc w:val="right"/>
            </w:pPr>
            <w:r>
              <w:rPr>
                <w:b w:val="0"/>
                <w:sz w:val="20"/>
              </w:rPr>
              <w:t xml:space="preserve">288</w:t>
            </w:r>
          </w:p>
        </w:tc>
        <w:tc>
          <w:tcPr>
            <w:tcW w:type="dxa" w:w="2047"/>
            <w:vAlign w:val="center"/>
          </w:tcPr>
          <w:p>
            <w:pPr>
              <w:pStyle w:val="Compact"/>
              <w:keepNext/>
              <w:keepLines/>
              <w:spacing w:after="40" w:before="40" w:line="252" w:lineRule="auto"/>
              <w:jc w:val="right"/>
            </w:pPr>
            <w:r>
              <w:rPr>
                <w:b w:val="0"/>
                <w:sz w:val="20"/>
              </w:rPr>
              <w:t xml:space="preserve">27.98958</w:t>
            </w:r>
          </w:p>
        </w:tc>
        <w:tc>
          <w:tcPr>
            <w:tcW w:type="dxa" w:w="2047"/>
            <w:vAlign w:val="center"/>
          </w:tcPr>
          <w:p>
            <w:pPr>
              <w:pStyle w:val="Compact"/>
              <w:keepNext/>
              <w:keepLines/>
              <w:spacing w:after="40" w:before="40" w:line="252" w:lineRule="auto"/>
              <w:jc w:val="right"/>
            </w:pPr>
            <w:r>
              <w:rPr>
                <w:b w:val="0"/>
                <w:sz w:val="20"/>
              </w:rPr>
              <w:t xml:space="preserve">0.99698753</w:t>
            </w:r>
          </w:p>
        </w:tc>
        <w:tc>
          <w:tcPr>
            <w:tcW w:type="dxa" w:w="2047"/>
            <w:vAlign w:val="center"/>
          </w:tcPr>
          <w:p>
            <w:pPr>
              <w:pStyle w:val="Compact"/>
              <w:keepNext/>
              <w:keepLines/>
              <w:spacing w:after="40" w:before="40" w:line="252" w:lineRule="auto"/>
              <w:jc w:val="right"/>
            </w:pPr>
            <w:r>
              <w:rPr>
                <w:b w:val="0"/>
                <w:sz w:val="20"/>
              </w:rPr>
              <w:t xml:space="preserve">7680.0067</w:t>
            </w:r>
          </w:p>
        </w:tc>
      </w:tr>
      <w:tr>
        <w:trPr>
          <w:cantSplit/>
        </w:trPr>
        <w:tc>
          <w:tcPr>
            <w:tcW w:type="dxa" w:w="2047"/>
            <w:vAlign w:val="center"/>
          </w:tcPr>
          <w:p>
            <w:pPr>
              <w:pStyle w:val="Compact"/>
              <w:keepNext/>
              <w:keepLines/>
              <w:spacing w:after="40" w:before="40" w:line="252" w:lineRule="auto"/>
              <w:jc w:val="right"/>
            </w:pPr>
            <w:r>
              <w:rPr>
                <w:b w:val="0"/>
                <w:sz w:val="20"/>
              </w:rPr>
              <w:t xml:space="preserve">18 Sep · 15:15 CT</w:t>
            </w:r>
          </w:p>
        </w:tc>
        <w:tc>
          <w:tcPr>
            <w:tcW w:type="dxa" w:w="2047"/>
            <w:vAlign w:val="center"/>
          </w:tcPr>
          <w:p>
            <w:pPr>
              <w:pStyle w:val="Compact"/>
              <w:keepNext/>
              <w:keepLines/>
              <w:spacing w:after="40" w:before="40" w:line="252" w:lineRule="auto"/>
              <w:jc w:val="right"/>
            </w:pPr>
            <w:r>
              <w:rPr>
                <w:b w:val="0"/>
                <w:sz w:val="20"/>
              </w:rPr>
              <w:t xml:space="preserve">2026-11-20</w:t>
            </w:r>
          </w:p>
        </w:tc>
        <w:tc>
          <w:tcPr>
            <w:tcW w:type="dxa" w:w="2047"/>
            <w:vAlign w:val="center"/>
          </w:tcPr>
          <w:p>
            <w:pPr>
              <w:pStyle w:val="Compact"/>
              <w:keepNext/>
              <w:keepLines/>
              <w:spacing w:after="40" w:before="40" w:line="252" w:lineRule="auto"/>
              <w:jc w:val="right"/>
            </w:pPr>
            <w:r>
              <w:rPr>
                <w:b w:val="0"/>
                <w:sz w:val="20"/>
              </w:rPr>
              <w:t xml:space="preserve">337</w:t>
            </w:r>
          </w:p>
        </w:tc>
        <w:tc>
          <w:tcPr>
            <w:tcW w:type="dxa" w:w="2047"/>
            <w:vAlign w:val="center"/>
          </w:tcPr>
          <w:p>
            <w:pPr>
              <w:pStyle w:val="Compact"/>
              <w:keepNext/>
              <w:keepLines/>
              <w:spacing w:after="40" w:before="40" w:line="252" w:lineRule="auto"/>
              <w:jc w:val="right"/>
            </w:pPr>
            <w:r>
              <w:rPr>
                <w:b w:val="0"/>
                <w:sz w:val="20"/>
              </w:rPr>
              <w:t xml:space="preserve">296</w:t>
            </w:r>
          </w:p>
        </w:tc>
        <w:tc>
          <w:tcPr>
            <w:tcW w:type="dxa" w:w="2047"/>
            <w:vAlign w:val="center"/>
          </w:tcPr>
          <w:p>
            <w:pPr>
              <w:pStyle w:val="Compact"/>
              <w:keepNext/>
              <w:keepLines/>
              <w:spacing w:after="40" w:before="40" w:line="252" w:lineRule="auto"/>
              <w:jc w:val="right"/>
            </w:pPr>
            <w:r>
              <w:rPr>
                <w:b w:val="0"/>
                <w:sz w:val="20"/>
              </w:rPr>
              <w:t xml:space="preserve">63.03125</w:t>
            </w:r>
          </w:p>
        </w:tc>
        <w:tc>
          <w:tcPr>
            <w:tcW w:type="dxa" w:w="2047"/>
            <w:vAlign w:val="center"/>
          </w:tcPr>
          <w:p>
            <w:pPr>
              <w:pStyle w:val="Compact"/>
              <w:keepNext/>
              <w:keepLines/>
              <w:spacing w:after="40" w:before="40" w:line="252" w:lineRule="auto"/>
              <w:jc w:val="right"/>
            </w:pPr>
            <w:r>
              <w:rPr>
                <w:b w:val="0"/>
                <w:sz w:val="20"/>
              </w:rPr>
              <w:t xml:space="preserve">0.99256973</w:t>
            </w:r>
          </w:p>
        </w:tc>
        <w:tc>
          <w:tcPr>
            <w:tcW w:type="dxa" w:w="2047"/>
            <w:vAlign w:val="center"/>
          </w:tcPr>
          <w:p>
            <w:pPr>
              <w:pStyle w:val="Compact"/>
              <w:keepNext/>
              <w:keepLines/>
              <w:spacing w:after="40" w:before="40" w:line="252" w:lineRule="auto"/>
              <w:jc w:val="right"/>
            </w:pPr>
            <w:r>
              <w:rPr>
                <w:b w:val="0"/>
                <w:sz w:val="20"/>
              </w:rPr>
              <w:t xml:space="preserve">7705.6095</w:t>
            </w:r>
          </w:p>
        </w:tc>
      </w:tr>
      <w:tr>
        <w:trPr>
          <w:cantSplit/>
        </w:trPr>
        <w:tc>
          <w:tcPr>
            <w:tcW w:type="dxa" w:w="2047"/>
            <w:vAlign w:val="center"/>
          </w:tcPr>
          <w:p>
            <w:pPr>
              <w:pStyle w:val="Compact"/>
              <w:keepNext/>
              <w:keepLines/>
              <w:spacing w:after="40" w:before="40" w:line="252" w:lineRule="auto"/>
              <w:jc w:val="right"/>
            </w:pPr>
            <w:r>
              <w:rPr>
                <w:b w:val="0"/>
                <w:sz w:val="20"/>
              </w:rPr>
              <w:t xml:space="preserve">18 Sep · 15:15 CT</w:t>
            </w:r>
          </w:p>
        </w:tc>
        <w:tc>
          <w:tcPr>
            <w:tcW w:type="dxa" w:w="2047"/>
            <w:vAlign w:val="center"/>
          </w:tcPr>
          <w:p>
            <w:pPr>
              <w:pStyle w:val="Compact"/>
              <w:keepNext/>
              <w:keepLines/>
              <w:spacing w:after="40" w:before="40" w:line="252" w:lineRule="auto"/>
              <w:jc w:val="right"/>
            </w:pPr>
            <w:r>
              <w:rPr>
                <w:b w:val="0"/>
                <w:sz w:val="20"/>
              </w:rPr>
              <w:t xml:space="preserve">2026-12-18</w:t>
            </w:r>
          </w:p>
        </w:tc>
        <w:tc>
          <w:tcPr>
            <w:tcW w:type="dxa" w:w="2047"/>
            <w:vAlign w:val="center"/>
          </w:tcPr>
          <w:p>
            <w:pPr>
              <w:pStyle w:val="Compact"/>
              <w:keepNext/>
              <w:keepLines/>
              <w:spacing w:after="40" w:before="40" w:line="252" w:lineRule="auto"/>
              <w:jc w:val="right"/>
            </w:pPr>
            <w:r>
              <w:rPr>
                <w:b w:val="0"/>
                <w:sz w:val="20"/>
              </w:rPr>
              <w:t xml:space="preserve">252</w:t>
            </w:r>
          </w:p>
        </w:tc>
        <w:tc>
          <w:tcPr>
            <w:tcW w:type="dxa" w:w="2047"/>
            <w:vAlign w:val="center"/>
          </w:tcPr>
          <w:p>
            <w:pPr>
              <w:pStyle w:val="Compact"/>
              <w:keepNext/>
              <w:keepLines/>
              <w:spacing w:after="40" w:before="40" w:line="252" w:lineRule="auto"/>
              <w:jc w:val="right"/>
            </w:pPr>
            <w:r>
              <w:rPr>
                <w:b w:val="0"/>
                <w:sz w:val="20"/>
              </w:rPr>
              <w:t xml:space="preserve">230</w:t>
            </w:r>
          </w:p>
        </w:tc>
        <w:tc>
          <w:tcPr>
            <w:tcW w:type="dxa" w:w="2047"/>
            <w:vAlign w:val="center"/>
          </w:tcPr>
          <w:p>
            <w:pPr>
              <w:pStyle w:val="Compact"/>
              <w:keepNext/>
              <w:keepLines/>
              <w:spacing w:after="40" w:before="40" w:line="252" w:lineRule="auto"/>
              <w:jc w:val="right"/>
            </w:pPr>
            <w:r>
              <w:rPr>
                <w:b w:val="0"/>
                <w:sz w:val="20"/>
              </w:rPr>
              <w:t xml:space="preserve">91.03125</w:t>
            </w:r>
          </w:p>
        </w:tc>
        <w:tc>
          <w:tcPr>
            <w:tcW w:type="dxa" w:w="2047"/>
            <w:vAlign w:val="center"/>
          </w:tcPr>
          <w:p>
            <w:pPr>
              <w:pStyle w:val="Compact"/>
              <w:keepNext/>
              <w:keepLines/>
              <w:spacing w:after="40" w:before="40" w:line="252" w:lineRule="auto"/>
              <w:jc w:val="right"/>
            </w:pPr>
            <w:r>
              <w:rPr>
                <w:b w:val="0"/>
                <w:sz w:val="20"/>
              </w:rPr>
              <w:t xml:space="preserve">0.98914398</w:t>
            </w:r>
          </w:p>
        </w:tc>
        <w:tc>
          <w:tcPr>
            <w:tcW w:type="dxa" w:w="2047"/>
            <w:vAlign w:val="center"/>
          </w:tcPr>
          <w:p>
            <w:pPr>
              <w:pStyle w:val="Compact"/>
              <w:keepNext/>
              <w:keepLines/>
              <w:spacing w:after="40" w:before="40" w:line="252" w:lineRule="auto"/>
              <w:jc w:val="right"/>
            </w:pPr>
            <w:r>
              <w:rPr>
                <w:b w:val="0"/>
                <w:sz w:val="20"/>
              </w:rPr>
              <w:t xml:space="preserve">7725.9946</w:t>
            </w:r>
          </w:p>
        </w:tc>
      </w:tr>
    </w:tbl>
    <w:p>
      <w:bookmarkStart w:id="643" w:name="table31"/>
      <w:pPr>
        <w:pStyle w:val="TableCaption"/>
      </w:pPr>
      <w:r>
        <w:t xml:space="preserve">Table 31. Retained matched pairs, the intersection of strikes across all three snapshots, and independently inferred carry at each expiry. Times in the snapshot labels are Chicago civil time. The common-contract fit re-estimates carry on its smaller sample; the last two columns describe the all-pair fit.</w:t>
      </w:r>
      <w:bookmarkEnd w:id="643"/>
    </w:p>
    <w:p>
      <w:pPr>
        <w:sectPr>
          <w:type w:val="nextPage"/>
          <w:pgSz w:w="16838" w:h="11906" w:orient="landscape"/>
          <w:pgMar w:top="1008" w:bottom="1008" w:left="1152" w:right="1152" w:header="432" w:footer="432" w:gutter="0"/>
          <w:pgNumType w:fmt="decimal"/>
        </w:sectPr>
        <w:spacing w:before="0" w:after="0" w:line="1" w:lineRule="exact"/>
      </w:pPr>
      <w:r>
        <w:rPr>
          <w:sz w:val="2"/>
        </w:rPr>
      </w:r>
    </w:p>
    <w:p>
      <w:pPr>
        <w:pStyle w:val="BodyText"/>
      </w:pPr>
      <w:r>
        <w:t xml:space="preserve">As Cohen, Reisinger and Wang discuss in</w:t>
      </w:r>
      <w:r>
        <w:t xml:space="preserve"> </w:t>
      </w:r>
      <w:r>
        <w:rPr>
          <w:iCs/>
          <w:i/>
        </w:rPr>
        <w:t xml:space="preserve">Detecting and Repairing Arbitrage in Traded Option Prices</w:t>
      </w:r>
      <w:r>
        <w:t xml:space="preserve">, bid–ask information is relevant to assessing price compatibility [23]. Their soft-bound repair formulation is not implemented here. Instead, the project checks compatibility within its finite density family and then requires the fit to satisfy the original intervals without quote repair.</w:t>
      </w:r>
    </w:p>
    <w:bookmarkEnd w:id="146"/>
    <w:bookmarkStart w:id="147" w:name="X6a5d12c2d1bd52449413b5dad001b55d287435c"/>
    <w:p>
      <w:bookmarkStart w:id="644" w:name="h38"/>
      <w:pPr>
        <w:pStyle w:val="Heading2"/>
        <w:numPr>
          <w:ilvl w:val="1"/>
          <w:numId w:val="70"/>
        </w:numPr>
      </w:pPr>
      <w:bookmarkEnd w:id="644"/>
      <w:r>
        <w:t>Distinguishing grid feasibility from quote inconsistency</w:t>
      </w:r>
    </w:p>
    <w:p>
      <w:pPr>
        <w:pStyle w:val="FirstParagraph"/>
      </w:pPr>
      <w:r>
        <w:t xml:space="preserve">Equation (41) intersects the call spread with the parity-transformed put spread, using the point carry inputs. A call inside that intersection has a parity-implied put inside the original put interval.</w:t>
      </w:r>
    </w:p>
    <w:p>
      <w:pPr>
        <w:pStyle w:val="BodyText"/>
        <w:keepNext/>
        <w:spacing w:before="120" w:after="40"/>
        <w:jc w:val="center"/>
      </w:pPr>
      <m:oMathPara>
        <m:oMathParaPr>
          <m:jc m:val="center"/>
        </m:oMathParaPr>
        <m:oMath>
          <m:m>
            <m:mPr>
              <m:baseJc m:val="center"/>
              <m:plcHide m:val="on"/>
              <m:mcs>
                <m:mc>
                  <m:mcPr>
                    <m:mcJc m:val="center"/>
                    <m:count m:val="1"/>
                  </m:mcPr>
                </m:mc>
              </m:mcs>
            </m:mPr>
            <m:mr>
              <m:e>
                <m:sSubSup>
                  <m:e>
                    <m:r>
                      <m:rPr>
                        <m:sty m:val="p"/>
                      </m:rPr>
                      <m:t>ℓ</m:t>
                    </m:r>
                  </m:e>
                  <m:sub>
                    <m:r>
                      <m:t>m</m:t>
                    </m:r>
                    <m:r>
                      <m:t>i</m:t>
                    </m:r>
                  </m:sub>
                  <m:sup>
                    <m:r>
                      <m:t>C</m:t>
                    </m:r>
                  </m:sup>
                </m:sSubSup>
                <m:r>
                  <m:rPr>
                    <m:sty m:val="p"/>
                  </m:rPr>
                  <m:t>=</m:t>
                </m:r>
                <m:r>
                  <m:rPr>
                    <m:sty m:val="p"/>
                  </m:rPr>
                  <m:t>max</m:t>
                </m:r>
                <m:r>
                  <m:rPr>
                    <m:sty m:val="p"/>
                  </m:rPr>
                  <m:t>{</m:t>
                </m:r>
                <m:sSub>
                  <m:e>
                    <m:r>
                      <m:t>B</m:t>
                    </m:r>
                  </m:e>
                  <m:sub>
                    <m:r>
                      <m:t>m</m:t>
                    </m:r>
                    <m:r>
                      <m:t>i</m:t>
                    </m:r>
                    <m:r>
                      <m:rPr>
                        <m:sty m:val="p"/>
                      </m:rPr>
                      <m:t>,</m:t>
                    </m:r>
                    <m:r>
                      <m:t>C</m:t>
                    </m:r>
                  </m:sub>
                </m:sSub>
                <m:r>
                  <m:rPr>
                    <m:sty m:val="p"/>
                  </m:rPr>
                  <m:t>,</m:t>
                </m:r>
                <m:sSub>
                  <m:e>
                    <m:r>
                      <m:t>B</m:t>
                    </m:r>
                  </m:e>
                  <m:sub>
                    <m:r>
                      <m:t>m</m:t>
                    </m:r>
                    <m:r>
                      <m:t>i</m:t>
                    </m:r>
                    <m:r>
                      <m:rPr>
                        <m:sty m:val="p"/>
                      </m:rPr>
                      <m:t>,</m:t>
                    </m:r>
                    <m:r>
                      <m:t>P</m:t>
                    </m:r>
                  </m:sub>
                </m:sSub>
                <m:r>
                  <m:rPr>
                    <m:sty m:val="p"/>
                  </m:rPr>
                  <m:t>+</m:t>
                </m:r>
                <m:sSub>
                  <m:e>
                    <m:r>
                      <m:t>D</m:t>
                    </m:r>
                  </m:e>
                  <m:sub>
                    <m:r>
                      <m:t>m</m:t>
                    </m:r>
                  </m:sub>
                </m:sSub>
                <m:d>
                  <m:dPr>
                    <m:begChr m:val="("/>
                    <m:endChr m:val=")"/>
                    <m:sepChr m:val=""/>
                    <m:grow/>
                  </m:dPr>
                  <m:e>
                    <m:sSub>
                      <m:e>
                        <m:r>
                          <m:t>F</m:t>
                        </m:r>
                      </m:e>
                      <m:sub>
                        <m:r>
                          <m:t>m</m:t>
                        </m:r>
                      </m:sub>
                    </m:sSub>
                    <m:r>
                      <m:rPr>
                        <m:sty m:val="p"/>
                      </m:rPr>
                      <m:t>−</m:t>
                    </m:r>
                    <m:sSub>
                      <m:e>
                        <m:r>
                          <m:t>K</m:t>
                        </m:r>
                      </m:e>
                      <m:sub>
                        <m:r>
                          <m:t>m</m:t>
                        </m:r>
                        <m:r>
                          <m:t>i</m:t>
                        </m:r>
                      </m:sub>
                    </m:sSub>
                  </m:e>
                </m:d>
                <m:r>
                  <m:rPr>
                    <m:sty m:val="p"/>
                  </m:rPr>
                  <m:t>}</m:t>
                </m:r>
                <m:r>
                  <m:rPr>
                    <m:sty m:val="p"/>
                  </m:rPr>
                  <m:t>,</m:t>
                </m:r>
              </m:e>
            </m:mr>
            <m:mr>
              <m:e>
                <m:sSubSup>
                  <m:e>
                    <m:r>
                      <m:t>u</m:t>
                    </m:r>
                  </m:e>
                  <m:sub>
                    <m:r>
                      <m:t>m</m:t>
                    </m:r>
                    <m:r>
                      <m:t>i</m:t>
                    </m:r>
                  </m:sub>
                  <m:sup>
                    <m:r>
                      <m:t>C</m:t>
                    </m:r>
                  </m:sup>
                </m:sSubSup>
                <m:r>
                  <m:rPr>
                    <m:sty m:val="p"/>
                  </m:rPr>
                  <m:t>=</m:t>
                </m:r>
                <m:r>
                  <m:rPr>
                    <m:sty m:val="p"/>
                  </m:rPr>
                  <m:t>min</m:t>
                </m:r>
                <m:r>
                  <m:rPr>
                    <m:sty m:val="p"/>
                  </m:rPr>
                  <m:t>{</m:t>
                </m:r>
                <m:sSub>
                  <m:e>
                    <m:r>
                      <m:t>A</m:t>
                    </m:r>
                  </m:e>
                  <m:sub>
                    <m:r>
                      <m:t>m</m:t>
                    </m:r>
                    <m:r>
                      <m:t>i</m:t>
                    </m:r>
                    <m:r>
                      <m:rPr>
                        <m:sty m:val="p"/>
                      </m:rPr>
                      <m:t>,</m:t>
                    </m:r>
                    <m:r>
                      <m:t>C</m:t>
                    </m:r>
                  </m:sub>
                </m:sSub>
                <m:r>
                  <m:rPr>
                    <m:sty m:val="p"/>
                  </m:rPr>
                  <m:t>,</m:t>
                </m:r>
                <m:sSub>
                  <m:e>
                    <m:r>
                      <m:t>A</m:t>
                    </m:r>
                  </m:e>
                  <m:sub>
                    <m:r>
                      <m:t>m</m:t>
                    </m:r>
                    <m:r>
                      <m:t>i</m:t>
                    </m:r>
                    <m:r>
                      <m:rPr>
                        <m:sty m:val="p"/>
                      </m:rPr>
                      <m:t>,</m:t>
                    </m:r>
                    <m:r>
                      <m:t>P</m:t>
                    </m:r>
                  </m:sub>
                </m:sSub>
                <m:r>
                  <m:rPr>
                    <m:sty m:val="p"/>
                  </m:rPr>
                  <m:t>+</m:t>
                </m:r>
                <m:sSub>
                  <m:e>
                    <m:r>
                      <m:t>D</m:t>
                    </m:r>
                  </m:e>
                  <m:sub>
                    <m:r>
                      <m:t>m</m:t>
                    </m:r>
                  </m:sub>
                </m:sSub>
                <m:d>
                  <m:dPr>
                    <m:begChr m:val="("/>
                    <m:endChr m:val=")"/>
                    <m:sepChr m:val=""/>
                    <m:grow/>
                  </m:dPr>
                  <m:e>
                    <m:sSub>
                      <m:e>
                        <m:r>
                          <m:t>F</m:t>
                        </m:r>
                      </m:e>
                      <m:sub>
                        <m:r>
                          <m:t>m</m:t>
                        </m:r>
                      </m:sub>
                    </m:sSub>
                    <m:r>
                      <m:rPr>
                        <m:sty m:val="p"/>
                      </m:rPr>
                      <m:t>−</m:t>
                    </m:r>
                    <m:sSub>
                      <m:e>
                        <m:r>
                          <m:t>K</m:t>
                        </m:r>
                      </m:e>
                      <m:sub>
                        <m:r>
                          <m:t>m</m:t>
                        </m:r>
                        <m:r>
                          <m:t>i</m:t>
                        </m:r>
                      </m:sub>
                    </m:sSub>
                  </m:e>
                </m:d>
                <m:r>
                  <m:rPr>
                    <m:sty m:val="p"/>
                  </m:rPr>
                  <m:t>}</m:t>
                </m:r>
                <m:r>
                  <m:rPr>
                    <m:sty m:val="p"/>
                  </m:rPr>
                  <m:t>.</m:t>
                </m:r>
              </m:e>
            </m:mr>
          </m:m>
        </m:oMath>
      </m:oMathPara>
    </w:p>
    <w:p>
      <w:bookmarkStart w:id="645" w:name="equation41"/>
      <w:pPr>
        <w:pStyle w:val="EquationCaption"/>
      </w:pPr>
      <w:r>
        <w:t xml:space="preserve">Equation 41. Intersection of original call and parity-transformed put intervals.</w:t>
      </w:r>
      <w:bookmarkEnd w:id="645"/>
    </w:p>
    <w:p>
      <w:pPr>
        <w:pStyle w:val="BodyText"/>
      </w:pPr>
      <w:r>
        <w:t xml:space="preserve">Let</w:t>
      </w:r>
      <w:r>
        <w:t xml:space="preserve"> </w:t>
      </w:r>
      <m:oMath>
        <m:sSub>
          <m:e>
            <m:r>
              <m:rPr>
                <m:sty m:val="p"/>
                <m:scr m:val="script"/>
              </m:rPr>
              <m:t>P</m:t>
            </m:r>
          </m:e>
          <m:sub>
            <m:r>
              <m:t>J</m:t>
            </m:r>
          </m:sub>
        </m:sSub>
      </m:oMath>
      <w:r>
        <w:t xml:space="preserve"> </w:t>
      </w:r>
      <w:r>
        <w:t xml:space="preserve">denote the masses satisfying non-negativity, unit mass, unit normalised mean and the interval calendar restrictions. Equation (42) calculates the minimum uniform price widening needed for the exact bin-price map to meet the interval bounds.</w:t>
      </w:r>
    </w:p>
    <w:p>
      <w:pPr>
        <w:pStyle w:val="BodyText"/>
        <w:keepNext/>
        <w:spacing w:before="120" w:after="40"/>
        <w:jc w:val="center"/>
      </w:pPr>
      <m:oMathPara>
        <m:oMathParaPr>
          <m:jc m:val="center"/>
        </m:oMathParaPr>
        <m:oMath>
          <m:m>
            <m:mPr>
              <m:baseJc m:val="center"/>
              <m:plcHide m:val="on"/>
              <m:mcs>
                <m:mc>
                  <m:mcPr>
                    <m:mcJc m:val="center"/>
                    <m:count m:val="1"/>
                  </m:mcPr>
                </m:mc>
              </m:mcs>
            </m:mPr>
            <m:mr>
              <m:e>
                <m:sSubSup>
                  <m:e>
                    <m:r>
                      <m:t>δ</m:t>
                    </m:r>
                  </m:e>
                  <m:sub>
                    <m:r>
                      <m:t>J</m:t>
                    </m:r>
                  </m:sub>
                  <m:sup>
                    <m:r>
                      <m:rPr>
                        <m:sty m:val="p"/>
                      </m:rPr>
                      <m:t>*</m:t>
                    </m:r>
                  </m:sup>
                </m:sSubSup>
                <m:r>
                  <m:rPr>
                    <m:sty m:val="p"/>
                  </m:rPr>
                  <m:t>=</m:t>
                </m:r>
                <m:limLow>
                  <m:e>
                    <m:r>
                      <m:rPr>
                        <m:sty m:val="p"/>
                      </m:rPr>
                      <m:t>min</m:t>
                    </m:r>
                  </m:e>
                  <m:lim>
                    <m:r>
                      <m:t>δ</m:t>
                    </m:r>
                    <m:r>
                      <m:rPr>
                        <m:sty m:val="p"/>
                      </m:rPr>
                      <m:t>≥</m:t>
                    </m:r>
                    <m:r>
                      <m:t>0</m:t>
                    </m:r>
                    <m:r>
                      <m:rPr>
                        <m:sty m:val="p"/>
                      </m:rPr>
                      <m:t>,</m:t>
                    </m:r>
                    <m:r>
                      <m:t> </m:t>
                    </m:r>
                    <m:r>
                      <m:t>W</m:t>
                    </m:r>
                    <m:r>
                      <m:rPr>
                        <m:sty m:val="p"/>
                      </m:rPr>
                      <m:t>∈</m:t>
                    </m:r>
                    <m:sSub>
                      <m:e>
                        <m:r>
                          <m:rPr>
                            <m:sty m:val="p"/>
                            <m:scr m:val="script"/>
                          </m:rPr>
                          <m:t>P</m:t>
                        </m:r>
                      </m:e>
                      <m:sub>
                        <m:r>
                          <m:t>J</m:t>
                        </m:r>
                      </m:sub>
                    </m:sSub>
                  </m:lim>
                </m:limLow>
                <m:r>
                  <m:t>δ</m:t>
                </m:r>
              </m:e>
            </m:mr>
            <m:mr>
              <m:e>
                <m:r>
                  <m:rPr>
                    <m:nor/>
                    <m:sty m:val="p"/>
                  </m:rPr>
                  <m:t>subject to</m:t>
                </m:r>
                <m:r>
                  <m:t> </m:t>
                </m:r>
                <m:sSubSup>
                  <m:e>
                    <m:r>
                      <m:rPr>
                        <m:sty m:val="p"/>
                      </m:rPr>
                      <m:t>ℓ</m:t>
                    </m:r>
                  </m:e>
                  <m:sub>
                    <m:r>
                      <m:t>m</m:t>
                    </m:r>
                    <m:r>
                      <m:t>i</m:t>
                    </m:r>
                  </m:sub>
                  <m:sup>
                    <m:r>
                      <m:t>C</m:t>
                    </m:r>
                  </m:sup>
                </m:sSubSup>
                <m:r>
                  <m:rPr>
                    <m:sty m:val="p"/>
                  </m:rPr>
                  <m:t>−</m:t>
                </m:r>
                <m:r>
                  <m:t>δ</m:t>
                </m:r>
                <m:r>
                  <m:rPr>
                    <m:sty m:val="p"/>
                  </m:rPr>
                  <m:t>≤</m:t>
                </m:r>
                <m:sSub>
                  <m:e>
                    <m:d>
                      <m:dPr>
                        <m:begChr m:val="("/>
                        <m:endChr m:val=")"/>
                        <m:sepChr m:val=""/>
                        <m:grow/>
                      </m:dPr>
                      <m:e>
                        <m:sSub>
                          <m:e>
                            <m:r>
                              <m:rPr>
                                <m:sty m:val="b"/>
                              </m:rPr>
                              <m:t>A</m:t>
                            </m:r>
                          </m:e>
                          <m:sub>
                            <m:r>
                              <m:t>m</m:t>
                            </m:r>
                          </m:sub>
                        </m:sSub>
                        <m:sSub>
                          <m:e>
                            <m:r>
                              <m:rPr>
                                <m:sty m:val="b"/>
                              </m:rPr>
                              <m:t>w</m:t>
                            </m:r>
                          </m:e>
                          <m:sub>
                            <m:r>
                              <m:t>m</m:t>
                            </m:r>
                          </m:sub>
                        </m:sSub>
                      </m:e>
                    </m:d>
                  </m:e>
                  <m:sub>
                    <m:r>
                      <m:t>i</m:t>
                    </m:r>
                  </m:sub>
                </m:sSub>
                <m:r>
                  <m:rPr>
                    <m:sty m:val="p"/>
                  </m:rPr>
                  <m:t>≤</m:t>
                </m:r>
                <m:sSubSup>
                  <m:e>
                    <m:r>
                      <m:t>u</m:t>
                    </m:r>
                  </m:e>
                  <m:sub>
                    <m:r>
                      <m:t>m</m:t>
                    </m:r>
                    <m:r>
                      <m:t>i</m:t>
                    </m:r>
                  </m:sub>
                  <m:sup>
                    <m:r>
                      <m:t>C</m:t>
                    </m:r>
                  </m:sup>
                </m:sSubSup>
                <m:r>
                  <m:rPr>
                    <m:sty m:val="p"/>
                  </m:rPr>
                  <m:t>+</m:t>
                </m:r>
                <m:r>
                  <m:t>δ</m:t>
                </m:r>
              </m:e>
            </m:mr>
            <m:mr>
              <m:e>
                <m:r>
                  <m:rPr>
                    <m:nor/>
                    <m:sty m:val="p"/>
                  </m:rPr>
                  <m:t>for every </m:t>
                </m:r>
                <m:r>
                  <m:t>m</m:t>
                </m:r>
                <m:r>
                  <m:rPr>
                    <m:sty m:val="p"/>
                  </m:rPr>
                  <m:t>,</m:t>
                </m:r>
                <m:r>
                  <m:t>i</m:t>
                </m:r>
                <m:r>
                  <m:rPr>
                    <m:sty m:val="p"/>
                  </m:rPr>
                  <m:t>.</m:t>
                </m:r>
              </m:e>
            </m:mr>
          </m:m>
        </m:oMath>
      </m:oMathPara>
    </w:p>
    <w:p>
      <w:bookmarkStart w:id="646" w:name="equation42"/>
      <w:pPr>
        <w:pStyle w:val="EquationCaption"/>
      </w:pPr>
      <w:r>
        <w:t xml:space="preserve">Equation 42. Minimum diagnostic quote widening under the finite density basis.</w:t>
      </w:r>
      <w:bookmarkEnd w:id="646"/>
    </w:p>
    <w:p>
      <w:pPr>
        <w:pStyle w:val="BodyText"/>
      </w:pPr>
      <w:r>
        <w:t xml:space="preserve">The LP uses the linear-programming framework described by Boyd and Vandenberghe [11], with interval refinement for calendar restrictions. The widening is diagnostic only. A positive value blocks that representation; the widened prices are not used for estimation. Its result is conditional on carry, support and bin basis and does not establish model-independent market arbitrage.</w:t>
      </w:r>
    </w:p>
    <w:p>
      <w:pPr>
        <w:sectPr>
          <w:type w:val="nextPage"/>
          <w:pgSz w:w="11906" w:h="16838" w:orient="portrait"/>
          <w:pgMar w:top="1008" w:bottom="1008" w:left="1152" w:right="1152" w:header="432" w:footer="432" w:gutter="0"/>
          <w:pgNumType w:fmt="decimal"/>
        </w:sectPr>
        <w:spacing w:before="0" w:after="0" w:line="1" w:lineRule="exact"/>
      </w:pPr>
      <w:r>
        <w:rPr>
          <w:sz w:val="2"/>
        </w:rPr>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152"/>
        <w:gridCol w:w="3152"/>
        <w:gridCol w:w="2866"/>
        <w:gridCol w:w="2579"/>
        <w:gridCol w:w="2579"/>
      </w:tblGrid>
      <w:tr>
        <w:trPr>
          <w:tblHeader w:val="true"/>
          <w:cantSplit/>
          <w:tblHeader/>
        </w:trPr>
        <w:tc>
          <w:tcPr>
            <w:tcW w:type="dxa" w:w="3152"/>
            <w:vAlign w:val="center"/>
            <w:shd w:fill="E9EEF3"/>
          </w:tcPr>
          <w:p>
            <w:pPr>
              <w:pStyle w:val="Compact"/>
              <w:keepNext/>
              <w:keepLines/>
              <w:spacing w:after="40" w:before="40" w:line="252" w:lineRule="auto"/>
              <w:jc w:val="left"/>
            </w:pPr>
            <w:r>
              <w:rPr>
                <w:b/>
                <w:sz w:val="20"/>
              </w:rPr>
              <w:t xml:space="preserve">Snapshot</w:t>
            </w:r>
          </w:p>
        </w:tc>
        <w:tc>
          <w:tcPr>
            <w:tcW w:type="dxa" w:w="3152"/>
            <w:vAlign w:val="center"/>
            <w:shd w:fill="E9EEF3"/>
          </w:tcPr>
          <w:p>
            <w:pPr>
              <w:pStyle w:val="Compact"/>
              <w:keepNext/>
              <w:keepLines/>
              <w:spacing w:after="40" w:before="40" w:line="252" w:lineRule="auto"/>
              <w:jc w:val="left"/>
            </w:pPr>
            <w:r>
              <w:rPr>
                <w:b/>
                <w:sz w:val="20"/>
              </w:rPr>
              <w:t xml:space="preserve">Bins</w:t>
            </w:r>
          </w:p>
        </w:tc>
        <w:tc>
          <w:tcPr>
            <w:tcW w:type="dxa" w:w="2866"/>
            <w:vAlign w:val="center"/>
            <w:shd w:fill="E9EEF3"/>
          </w:tcPr>
          <w:p>
            <w:pPr>
              <w:pStyle w:val="Compact"/>
              <w:keepNext/>
              <w:keepLines/>
              <w:spacing w:after="40" w:before="40" w:line="252" w:lineRule="auto"/>
              <w:jc w:val="left"/>
            </w:pPr>
            <w:r>
              <w:rPr>
                <w:b/>
                <w:sz w:val="20"/>
              </w:rPr>
              <w:t xml:space="preserve">Minimum widening (points)</w:t>
            </w:r>
          </w:p>
        </w:tc>
        <w:tc>
          <w:tcPr>
            <w:tcW w:type="dxa" w:w="2579"/>
            <w:vAlign w:val="center"/>
            <w:shd w:fill="E9EEF3"/>
          </w:tcPr>
          <w:p>
            <w:pPr>
              <w:pStyle w:val="Compact"/>
              <w:keepNext/>
              <w:keepLines/>
              <w:spacing w:after="40" w:before="40" w:line="252" w:lineRule="auto"/>
              <w:jc w:val="left"/>
            </w:pPr>
            <w:r>
              <w:rPr>
                <w:b/>
                <w:sz w:val="20"/>
              </w:rPr>
              <w:t xml:space="preserve">Final outcome</w:t>
            </w:r>
          </w:p>
        </w:tc>
        <w:tc>
          <w:tcPr>
            <w:tcW w:type="dxa" w:w="2579"/>
            <w:vAlign w:val="center"/>
            <w:shd w:fill="E9EEF3"/>
          </w:tcPr>
          <w:p>
            <w:pPr>
              <w:pStyle w:val="Compact"/>
              <w:keepNext/>
              <w:keepLines/>
              <w:spacing w:after="40" w:before="40" w:line="252" w:lineRule="auto"/>
              <w:jc w:val="left"/>
            </w:pPr>
            <w:r>
              <w:rPr>
                <w:b/>
                <w:sz w:val="20"/>
              </w:rPr>
              <w:t xml:space="preserve">Equivalent quote-row multiplier: status</w:t>
            </w:r>
          </w:p>
        </w:tc>
      </w:tr>
      <w:tr>
        <w:trPr>
          <w:cantSplit/>
        </w:trPr>
        <w:tc>
          <w:tcPr>
            <w:tcW w:type="dxa" w:w="3152"/>
            <w:vAlign w:val="center"/>
          </w:tcPr>
          <w:p>
            <w:pPr>
              <w:pStyle w:val="Compact"/>
              <w:keepNext/>
              <w:keepLines/>
              <w:spacing w:after="40" w:before="40" w:line="252" w:lineRule="auto"/>
              <w:jc w:val="right"/>
            </w:pPr>
            <w:r>
              <w:rPr>
                <w:b w:val="0"/>
                <w:sz w:val="20"/>
              </w:rPr>
              <w:t xml:space="preserve">31 Aug · 15:00 CT</w:t>
            </w:r>
          </w:p>
        </w:tc>
        <w:tc>
          <w:tcPr>
            <w:tcW w:type="dxa" w:w="3152"/>
            <w:vAlign w:val="center"/>
          </w:tcPr>
          <w:p>
            <w:pPr>
              <w:pStyle w:val="Compact"/>
              <w:keepNext/>
              <w:keepLines/>
              <w:spacing w:after="40" w:before="40" w:line="252" w:lineRule="auto"/>
              <w:jc w:val="right"/>
            </w:pPr>
            <w:r>
              <w:rPr>
                <w:b w:val="0"/>
                <w:sz w:val="20"/>
              </w:rPr>
              <w:t xml:space="preserve">120</w:t>
            </w:r>
          </w:p>
        </w:tc>
        <w:tc>
          <w:tcPr>
            <w:tcW w:type="dxa" w:w="2866"/>
            <w:vAlign w:val="center"/>
          </w:tcPr>
          <w:p>
            <w:pPr>
              <w:pStyle w:val="Compact"/>
              <w:keepNext/>
              <w:keepLines/>
              <w:spacing w:after="40" w:before="40" w:line="252" w:lineRule="auto"/>
              <w:jc w:val="right"/>
            </w:pPr>
            <w:r>
              <w:rPr>
                <w:b w:val="0"/>
                <w:sz w:val="20"/>
              </w:rPr>
              <w:t xml:space="preserve">0</w:t>
            </w:r>
          </w:p>
        </w:tc>
        <w:tc>
          <w:tcPr>
            <w:tcW w:type="dxa" w:w="2579"/>
            <w:vAlign w:val="center"/>
          </w:tcPr>
          <w:p>
            <w:pPr>
              <w:pStyle w:val="Compact"/>
              <w:keepNext/>
              <w:keepLines/>
              <w:spacing w:after="40" w:before="40" w:line="252" w:lineRule="auto"/>
              <w:jc w:val="left"/>
            </w:pPr>
            <w:r>
              <w:rPr>
                <w:b w:val="0"/>
                <w:sz w:val="20"/>
              </w:rPr>
              <w:t xml:space="preserve">Solved</w:t>
            </w:r>
          </w:p>
        </w:tc>
        <w:tc>
          <w:tcPr>
            <w:tcW w:type="dxa" w:w="2579"/>
            <w:vAlign w:val="center"/>
          </w:tcPr>
          <w:p>
            <w:pPr>
              <w:pStyle w:val="Compact"/>
              <w:keepNext/>
              <w:keepLines/>
              <w:spacing w:after="40" w:before="40" w:line="252" w:lineRule="auto"/>
              <w:jc w:val="right"/>
            </w:pPr>
            <w:r>
              <w:rPr>
                <w:b w:val="0"/>
                <w:sz w:val="20"/>
              </w:rPr>
              <w:t xml:space="preserve">1: solved</w:t>
            </w:r>
          </w:p>
        </w:tc>
      </w:tr>
      <w:tr>
        <w:trPr>
          <w:cantSplit/>
        </w:trPr>
        <w:tc>
          <w:tcPr>
            <w:tcW w:type="dxa" w:w="3152"/>
            <w:vAlign w:val="center"/>
          </w:tcPr>
          <w:p>
            <w:pPr>
              <w:pStyle w:val="Compact"/>
              <w:keepNext/>
              <w:keepLines/>
              <w:spacing w:after="40" w:before="40" w:line="252" w:lineRule="auto"/>
              <w:jc w:val="right"/>
            </w:pPr>
            <w:r>
              <w:rPr>
                <w:b w:val="0"/>
                <w:sz w:val="20"/>
              </w:rPr>
              <w:t xml:space="preserve">31 Aug · 15:00 CT</w:t>
            </w:r>
          </w:p>
        </w:tc>
        <w:tc>
          <w:tcPr>
            <w:tcW w:type="dxa" w:w="3152"/>
            <w:vAlign w:val="center"/>
          </w:tcPr>
          <w:p>
            <w:pPr>
              <w:pStyle w:val="Compact"/>
              <w:keepNext/>
              <w:keepLines/>
              <w:spacing w:after="40" w:before="40" w:line="252" w:lineRule="auto"/>
              <w:jc w:val="right"/>
            </w:pPr>
            <w:r>
              <w:rPr>
                <w:b w:val="0"/>
                <w:sz w:val="20"/>
              </w:rPr>
              <w:t xml:space="preserve">240</w:t>
            </w:r>
          </w:p>
        </w:tc>
        <w:tc>
          <w:tcPr>
            <w:tcW w:type="dxa" w:w="2866"/>
            <w:vAlign w:val="center"/>
          </w:tcPr>
          <w:p>
            <w:pPr>
              <w:pStyle w:val="Compact"/>
              <w:keepNext/>
              <w:keepLines/>
              <w:spacing w:after="40" w:before="40" w:line="252" w:lineRule="auto"/>
              <w:jc w:val="right"/>
            </w:pPr>
            <w:r>
              <w:rPr>
                <w:b w:val="0"/>
                <w:sz w:val="20"/>
              </w:rPr>
              <w:t xml:space="preserve">0</w:t>
            </w:r>
          </w:p>
        </w:tc>
        <w:tc>
          <w:tcPr>
            <w:tcW w:type="dxa" w:w="2579"/>
            <w:vAlign w:val="center"/>
          </w:tcPr>
          <w:p>
            <w:pPr>
              <w:pStyle w:val="Compact"/>
              <w:keepNext/>
              <w:keepLines/>
              <w:spacing w:after="40" w:before="40" w:line="252" w:lineRule="auto"/>
              <w:jc w:val="left"/>
            </w:pPr>
            <w:r>
              <w:rPr>
                <w:b w:val="0"/>
                <w:sz w:val="20"/>
              </w:rPr>
              <w:t xml:space="preserve">Solved</w:t>
            </w:r>
          </w:p>
        </w:tc>
        <w:tc>
          <w:tcPr>
            <w:tcW w:type="dxa" w:w="2579"/>
            <w:vAlign w:val="center"/>
          </w:tcPr>
          <w:p>
            <w:pPr>
              <w:pStyle w:val="Compact"/>
              <w:keepNext/>
              <w:keepLines/>
              <w:spacing w:after="40" w:before="40" w:line="252" w:lineRule="auto"/>
              <w:jc w:val="right"/>
            </w:pPr>
            <w:r>
              <w:rPr>
                <w:b w:val="0"/>
                <w:sz w:val="20"/>
              </w:rPr>
              <w:t xml:space="preserve">1: solved</w:t>
            </w:r>
          </w:p>
        </w:tc>
      </w:tr>
      <w:tr>
        <w:trPr>
          <w:cantSplit/>
        </w:trPr>
        <w:tc>
          <w:tcPr>
            <w:tcW w:type="dxa" w:w="3152"/>
            <w:vAlign w:val="center"/>
          </w:tcPr>
          <w:p>
            <w:pPr>
              <w:pStyle w:val="Compact"/>
              <w:keepNext/>
              <w:keepLines/>
              <w:spacing w:after="40" w:before="40" w:line="252" w:lineRule="auto"/>
              <w:jc w:val="right"/>
            </w:pPr>
            <w:r>
              <w:rPr>
                <w:b w:val="0"/>
                <w:sz w:val="20"/>
              </w:rPr>
              <w:t xml:space="preserve">18 Sep · 15:00 CT</w:t>
            </w:r>
          </w:p>
        </w:tc>
        <w:tc>
          <w:tcPr>
            <w:tcW w:type="dxa" w:w="3152"/>
            <w:vAlign w:val="center"/>
          </w:tcPr>
          <w:p>
            <w:pPr>
              <w:pStyle w:val="Compact"/>
              <w:keepNext/>
              <w:keepLines/>
              <w:spacing w:after="40" w:before="40" w:line="252" w:lineRule="auto"/>
              <w:jc w:val="right"/>
            </w:pPr>
            <w:r>
              <w:rPr>
                <w:b w:val="0"/>
                <w:sz w:val="20"/>
              </w:rPr>
              <w:t xml:space="preserve">120</w:t>
            </w:r>
          </w:p>
        </w:tc>
        <w:tc>
          <w:tcPr>
            <w:tcW w:type="dxa" w:w="2866"/>
            <w:vAlign w:val="center"/>
          </w:tcPr>
          <w:p>
            <w:pPr>
              <w:pStyle w:val="Compact"/>
              <w:keepNext/>
              <w:keepLines/>
              <w:spacing w:after="40" w:before="40" w:line="252" w:lineRule="auto"/>
              <w:jc w:val="right"/>
            </w:pPr>
            <w:r>
              <w:rPr>
                <w:b w:val="0"/>
                <w:sz w:val="20"/>
              </w:rPr>
              <w:t xml:space="preserve">0</w:t>
            </w:r>
          </w:p>
        </w:tc>
        <w:tc>
          <w:tcPr>
            <w:tcW w:type="dxa" w:w="2579"/>
            <w:vAlign w:val="center"/>
          </w:tcPr>
          <w:p>
            <w:pPr>
              <w:pStyle w:val="Compact"/>
              <w:keepNext/>
              <w:keepLines/>
              <w:spacing w:after="40" w:before="40" w:line="252" w:lineRule="auto"/>
              <w:jc w:val="left"/>
            </w:pPr>
            <w:r>
              <w:rPr>
                <w:b w:val="0"/>
                <w:sz w:val="20"/>
              </w:rPr>
              <w:t xml:space="preserve">Solved</w:t>
            </w:r>
          </w:p>
        </w:tc>
        <w:tc>
          <w:tcPr>
            <w:tcW w:type="dxa" w:w="2579"/>
            <w:vAlign w:val="center"/>
          </w:tcPr>
          <w:p>
            <w:pPr>
              <w:pStyle w:val="Compact"/>
              <w:keepNext/>
              <w:keepLines/>
              <w:spacing w:after="40" w:before="40" w:line="252" w:lineRule="auto"/>
              <w:jc w:val="left"/>
            </w:pPr>
            <w:r>
              <w:rPr>
                <w:b w:val="0"/>
                <w:sz w:val="20"/>
              </w:rPr>
              <w:t xml:space="preserve">1: postcheck_failure, 10: solved</w:t>
            </w:r>
          </w:p>
        </w:tc>
      </w:tr>
      <w:tr>
        <w:trPr>
          <w:cantSplit/>
        </w:trPr>
        <w:tc>
          <w:tcPr>
            <w:tcW w:type="dxa" w:w="3152"/>
            <w:vAlign w:val="center"/>
          </w:tcPr>
          <w:p>
            <w:pPr>
              <w:pStyle w:val="Compact"/>
              <w:keepNext/>
              <w:keepLines/>
              <w:spacing w:after="40" w:before="40" w:line="252" w:lineRule="auto"/>
              <w:jc w:val="right"/>
            </w:pPr>
            <w:r>
              <w:rPr>
                <w:b w:val="0"/>
                <w:sz w:val="20"/>
              </w:rPr>
              <w:t xml:space="preserve">18 Sep · 15:00 CT</w:t>
            </w:r>
          </w:p>
        </w:tc>
        <w:tc>
          <w:tcPr>
            <w:tcW w:type="dxa" w:w="3152"/>
            <w:vAlign w:val="center"/>
          </w:tcPr>
          <w:p>
            <w:pPr>
              <w:pStyle w:val="Compact"/>
              <w:keepNext/>
              <w:keepLines/>
              <w:spacing w:after="40" w:before="40" w:line="252" w:lineRule="auto"/>
              <w:jc w:val="right"/>
            </w:pPr>
            <w:r>
              <w:rPr>
                <w:b w:val="0"/>
                <w:sz w:val="20"/>
              </w:rPr>
              <w:t xml:space="preserve">240</w:t>
            </w:r>
          </w:p>
        </w:tc>
        <w:tc>
          <w:tcPr>
            <w:tcW w:type="dxa" w:w="2866"/>
            <w:vAlign w:val="center"/>
          </w:tcPr>
          <w:p>
            <w:pPr>
              <w:pStyle w:val="Compact"/>
              <w:keepNext/>
              <w:keepLines/>
              <w:spacing w:after="40" w:before="40" w:line="252" w:lineRule="auto"/>
              <w:jc w:val="right"/>
            </w:pPr>
            <w:r>
              <w:rPr>
                <w:b w:val="0"/>
                <w:sz w:val="20"/>
              </w:rPr>
              <w:t xml:space="preserve">0</w:t>
            </w:r>
          </w:p>
        </w:tc>
        <w:tc>
          <w:tcPr>
            <w:tcW w:type="dxa" w:w="2579"/>
            <w:vAlign w:val="center"/>
          </w:tcPr>
          <w:p>
            <w:pPr>
              <w:pStyle w:val="Compact"/>
              <w:keepNext/>
              <w:keepLines/>
              <w:spacing w:after="40" w:before="40" w:line="252" w:lineRule="auto"/>
              <w:jc w:val="left"/>
            </w:pPr>
            <w:r>
              <w:rPr>
                <w:b w:val="0"/>
                <w:sz w:val="20"/>
              </w:rPr>
              <w:t xml:space="preserve">Solved</w:t>
            </w:r>
          </w:p>
        </w:tc>
        <w:tc>
          <w:tcPr>
            <w:tcW w:type="dxa" w:w="2579"/>
            <w:vAlign w:val="center"/>
          </w:tcPr>
          <w:p>
            <w:pPr>
              <w:pStyle w:val="Compact"/>
              <w:keepNext/>
              <w:keepLines/>
              <w:spacing w:after="40" w:before="40" w:line="252" w:lineRule="auto"/>
              <w:jc w:val="right"/>
            </w:pPr>
            <w:r>
              <w:rPr>
                <w:b w:val="0"/>
                <w:sz w:val="20"/>
              </w:rPr>
              <w:t xml:space="preserve">1: solved</w:t>
            </w:r>
          </w:p>
        </w:tc>
      </w:tr>
      <w:tr>
        <w:trPr>
          <w:cantSplit/>
        </w:trPr>
        <w:tc>
          <w:tcPr>
            <w:tcW w:type="dxa" w:w="3152"/>
            <w:vAlign w:val="center"/>
          </w:tcPr>
          <w:p>
            <w:pPr>
              <w:pStyle w:val="Compact"/>
              <w:keepNext/>
              <w:keepLines/>
              <w:spacing w:after="40" w:before="40" w:line="252" w:lineRule="auto"/>
              <w:jc w:val="right"/>
            </w:pPr>
            <w:r>
              <w:rPr>
                <w:b w:val="0"/>
                <w:sz w:val="20"/>
              </w:rPr>
              <w:t xml:space="preserve">18 Sep · 15:15 CT</w:t>
            </w:r>
          </w:p>
        </w:tc>
        <w:tc>
          <w:tcPr>
            <w:tcW w:type="dxa" w:w="3152"/>
            <w:vAlign w:val="center"/>
          </w:tcPr>
          <w:p>
            <w:pPr>
              <w:pStyle w:val="Compact"/>
              <w:keepNext/>
              <w:keepLines/>
              <w:spacing w:after="40" w:before="40" w:line="252" w:lineRule="auto"/>
              <w:jc w:val="right"/>
            </w:pPr>
            <w:r>
              <w:rPr>
                <w:b w:val="0"/>
                <w:sz w:val="20"/>
              </w:rPr>
              <w:t xml:space="preserve">120</w:t>
            </w:r>
          </w:p>
        </w:tc>
        <w:tc>
          <w:tcPr>
            <w:tcW w:type="dxa" w:w="2866"/>
            <w:vAlign w:val="center"/>
          </w:tcPr>
          <w:p>
            <w:pPr>
              <w:pStyle w:val="Compact"/>
              <w:keepNext/>
              <w:keepLines/>
              <w:spacing w:after="40" w:before="40" w:line="252" w:lineRule="auto"/>
              <w:jc w:val="right"/>
            </w:pPr>
            <w:r>
              <w:rPr>
                <w:b w:val="0"/>
                <w:sz w:val="20"/>
              </w:rPr>
              <w:t xml:space="preserve">0.0265641741</w:t>
            </w:r>
          </w:p>
        </w:tc>
        <w:tc>
          <w:tcPr>
            <w:tcW w:type="dxa" w:w="2579"/>
            <w:vAlign w:val="center"/>
          </w:tcPr>
          <w:p>
            <w:pPr>
              <w:pStyle w:val="Compact"/>
              <w:keepNext/>
              <w:keepLines/>
              <w:spacing w:after="40" w:before="40" w:line="252" w:lineRule="auto"/>
              <w:jc w:val="left"/>
            </w:pPr>
            <w:r>
              <w:rPr>
                <w:b w:val="0"/>
                <w:sz w:val="20"/>
              </w:rPr>
              <w:t xml:space="preserve">Blocked on this grid</w:t>
            </w:r>
          </w:p>
        </w:tc>
        <w:tc>
          <w:tcPr>
            <w:tcW w:type="dxa" w:w="2579"/>
            <w:vAlign w:val="center"/>
          </w:tcPr>
          <w:p>
            <w:pPr>
              <w:pStyle w:val="Compact"/>
              <w:keepNext/>
              <w:keepLines/>
              <w:spacing w:after="40" w:before="40" w:line="252" w:lineRule="auto"/>
              <w:jc w:val="left"/>
            </w:pPr>
            <w:r>
              <w:rPr>
                <w:b w:val="0"/>
                <w:sz w:val="20"/>
              </w:rPr>
              <w:t xml:space="preserve">No QP attempted</w:t>
            </w:r>
          </w:p>
        </w:tc>
      </w:tr>
      <w:tr>
        <w:trPr>
          <w:cantSplit/>
        </w:trPr>
        <w:tc>
          <w:tcPr>
            <w:tcW w:type="dxa" w:w="3152"/>
            <w:vAlign w:val="center"/>
          </w:tcPr>
          <w:p>
            <w:pPr>
              <w:pStyle w:val="Compact"/>
              <w:keepNext/>
              <w:keepLines/>
              <w:spacing w:after="40" w:before="40" w:line="252" w:lineRule="auto"/>
              <w:jc w:val="right"/>
            </w:pPr>
            <w:r>
              <w:rPr>
                <w:b w:val="0"/>
                <w:sz w:val="20"/>
              </w:rPr>
              <w:t xml:space="preserve">18 Sep · 15:15 CT</w:t>
            </w:r>
          </w:p>
        </w:tc>
        <w:tc>
          <w:tcPr>
            <w:tcW w:type="dxa" w:w="3152"/>
            <w:vAlign w:val="center"/>
          </w:tcPr>
          <w:p>
            <w:pPr>
              <w:pStyle w:val="Compact"/>
              <w:keepNext/>
              <w:keepLines/>
              <w:spacing w:after="40" w:before="40" w:line="252" w:lineRule="auto"/>
              <w:jc w:val="right"/>
            </w:pPr>
            <w:r>
              <w:rPr>
                <w:b w:val="0"/>
                <w:sz w:val="20"/>
              </w:rPr>
              <w:t xml:space="preserve">240</w:t>
            </w:r>
          </w:p>
        </w:tc>
        <w:tc>
          <w:tcPr>
            <w:tcW w:type="dxa" w:w="2866"/>
            <w:vAlign w:val="center"/>
          </w:tcPr>
          <w:p>
            <w:pPr>
              <w:pStyle w:val="Compact"/>
              <w:keepNext/>
              <w:keepLines/>
              <w:spacing w:after="40" w:before="40" w:line="252" w:lineRule="auto"/>
              <w:jc w:val="right"/>
            </w:pPr>
            <w:r>
              <w:rPr>
                <w:b w:val="0"/>
                <w:sz w:val="20"/>
              </w:rPr>
              <w:t xml:space="preserve">0</w:t>
            </w:r>
          </w:p>
        </w:tc>
        <w:tc>
          <w:tcPr>
            <w:tcW w:type="dxa" w:w="2579"/>
            <w:vAlign w:val="center"/>
          </w:tcPr>
          <w:p>
            <w:pPr>
              <w:pStyle w:val="Compact"/>
              <w:keepNext/>
              <w:keepLines/>
              <w:spacing w:after="40" w:before="40" w:line="252" w:lineRule="auto"/>
              <w:jc w:val="left"/>
            </w:pPr>
            <w:r>
              <w:rPr>
                <w:b w:val="0"/>
                <w:sz w:val="20"/>
              </w:rPr>
              <w:t xml:space="preserve">Solved</w:t>
            </w:r>
          </w:p>
        </w:tc>
        <w:tc>
          <w:tcPr>
            <w:tcW w:type="dxa" w:w="2579"/>
            <w:vAlign w:val="center"/>
          </w:tcPr>
          <w:p>
            <w:pPr>
              <w:pStyle w:val="Compact"/>
              <w:keepNext/>
              <w:keepLines/>
              <w:spacing w:after="40" w:before="40" w:line="252" w:lineRule="auto"/>
              <w:jc w:val="right"/>
            </w:pPr>
            <w:r>
              <w:rPr>
                <w:b w:val="0"/>
                <w:sz w:val="20"/>
              </w:rPr>
              <w:t xml:space="preserve">1: solved</w:t>
            </w:r>
          </w:p>
        </w:tc>
      </w:tr>
    </w:tbl>
    <w:p>
      <w:bookmarkStart w:id="647" w:name="table32"/>
      <w:pPr>
        <w:pStyle w:val="TableCaption"/>
      </w:pPr>
      <w:r>
        <w:t xml:space="preserve">Table 32. The disclosed 120/240-bin feasibility comparison and subsequent hard-bound QP outcome. Positive row multipliers give algebraically equivalent constraints; failed numerical attempts are retained. A printed zero is the LP’s numerical result, subject to the residual checks below.</w:t>
      </w:r>
      <w:bookmarkEnd w:id="647"/>
    </w:p>
    <w:p>
      <w:pPr>
        <w:sectPr>
          <w:type w:val="nextPage"/>
          <w:pgSz w:w="16838" w:h="11906" w:orient="landscape"/>
          <w:pgMar w:top="1008" w:bottom="1008" w:left="1152" w:right="1152" w:header="432" w:footer="432" w:gutter="0"/>
          <w:pgNumType w:fmt="decimal"/>
        </w:sectPr>
        <w:spacing w:before="0" w:after="0" w:line="1" w:lineRule="exact"/>
      </w:pPr>
      <w:r>
        <w:rPr>
          <w:sz w:val="2"/>
        </w:rPr>
      </w:r>
    </w:p>
    <w:p>
      <w:pPr>
        <w:pStyle w:val="BodyText"/>
      </w:pPr>
      <w:r>
        <w:t xml:space="preserve">The late snapshot requires approximately 0.026564 points of widening on 120 bins, both with independent maturities and with calendar constraints. On 240 bins, the original spreads are feasible. The finer common grid is therefore used for all three primary fits. This decision follows pilots on all snapshots; none is an untouched temporal test set. The 120-bin controls remain available.</w:t>
      </w:r>
    </w:p>
    <w:bookmarkEnd w:id="147"/>
    <w:bookmarkStart w:id="151" w:name="X7ae040bd002c822a13d1c385dacb4b7b1d71736"/>
    <w:p>
      <w:bookmarkStart w:id="648" w:name="h39"/>
      <w:pPr>
        <w:pStyle w:val="Heading2"/>
        <w:numPr>
          <w:ilvl w:val="1"/>
          <w:numId w:val="70"/>
        </w:numPr>
      </w:pPr>
      <w:bookmarkEnd w:id="648"/>
      <w:r>
        <w:t>Selecting a smooth member of the feasible family</w:t>
      </w:r>
    </w:p>
    <w:p>
      <w:pPr>
        <w:pStyle w:val="FirstParagraph"/>
      </w:pPr>
      <w:r>
        <w:t xml:space="preserve">Let</w:t>
      </w:r>
      <w:r>
        <w:t xml:space="preserve"> </w:t>
      </w:r>
      <m:oMath>
        <m:sSub>
          <m:e>
            <m:r>
              <m:rPr>
                <m:sty m:val="p"/>
                <m:scr m:val="script"/>
              </m:rPr>
              <m:t>F</m:t>
            </m:r>
          </m:e>
          <m:sub>
            <m:r>
              <m:t>J</m:t>
            </m:r>
          </m:sub>
        </m:sSub>
      </m:oMath>
      <w:r>
        <w:t xml:space="preserve"> </w:t>
      </w:r>
      <w:r>
        <w:t xml:space="preserve">be the subset satisfying the original intervals without widening. Equation (43) chooses the member with minimum density-height curvature, using the finite-difference stencil described by Driscoll and Braun [7] and the smoothing framework discussed by Boyd and Vandenberghe [11].</w:t>
      </w:r>
    </w:p>
    <w:p>
      <w:pPr>
        <w:pStyle w:val="BodyText"/>
        <w:keepNext/>
        <w:spacing w:before="120" w:after="40"/>
        <w:jc w:val="center"/>
      </w:pPr>
      <m:oMathPara>
        <m:oMathParaPr>
          <m:jc m:val="center"/>
        </m:oMathParaPr>
        <m:oMath>
          <m:m>
            <m:mPr>
              <m:baseJc m:val="center"/>
              <m:plcHide m:val="on"/>
              <m:mcs>
                <m:mc>
                  <m:mcPr>
                    <m:mcJc m:val="center"/>
                    <m:count m:val="1"/>
                  </m:mcPr>
                </m:mc>
              </m:mcs>
            </m:mPr>
            <m:mr>
              <m:e>
                <m:acc>
                  <m:accPr>
                    <m:chr m:val="̂"/>
                  </m:accPr>
                  <m:e>
                    <m:r>
                      <m:t>W</m:t>
                    </m:r>
                  </m:e>
                </m:acc>
                <m:r>
                  <m:rPr>
                    <m:sty m:val="p"/>
                  </m:rPr>
                  <m:t>=</m:t>
                </m:r>
                <m:r>
                  <m:rPr>
                    <m:sty m:val="p"/>
                  </m:rPr>
                  <m:t>arg</m:t>
                </m:r>
                <m:limLow>
                  <m:e>
                    <m:r>
                      <m:rPr>
                        <m:sty m:val="p"/>
                      </m:rPr>
                      <m:t>min</m:t>
                    </m:r>
                  </m:e>
                  <m:lim>
                    <m:r>
                      <m:t>W</m:t>
                    </m:r>
                    <m:r>
                      <m:rPr>
                        <m:sty m:val="p"/>
                      </m:rPr>
                      <m:t>∈</m:t>
                    </m:r>
                    <m:sSub>
                      <m:e>
                        <m:r>
                          <m:rPr>
                            <m:sty m:val="p"/>
                            <m:scr m:val="script"/>
                          </m:rPr>
                          <m:t>F</m:t>
                        </m:r>
                      </m:e>
                      <m:sub>
                        <m:r>
                          <m:t>J</m:t>
                        </m:r>
                      </m:sub>
                    </m:sSub>
                  </m:lim>
                </m:limLow>
                <m:sSub>
                  <m:e>
                    <m:r>
                      <m:rPr>
                        <m:sty m:val="p"/>
                        <m:scr m:val="script"/>
                      </m:rPr>
                      <m:t>R</m:t>
                    </m:r>
                  </m:e>
                  <m:sub>
                    <m:r>
                      <m:t>J</m:t>
                    </m:r>
                  </m:sub>
                </m:sSub>
                <m:d>
                  <m:dPr>
                    <m:begChr m:val="("/>
                    <m:endChr m:val=")"/>
                    <m:sepChr m:val=""/>
                    <m:grow/>
                  </m:dPr>
                  <m:e>
                    <m:r>
                      <m:t>W</m:t>
                    </m:r>
                  </m:e>
                </m:d>
                <m:r>
                  <m:rPr>
                    <m:sty m:val="p"/>
                  </m:rPr>
                  <m:t>,</m:t>
                </m:r>
              </m:e>
            </m:mr>
            <m:mr>
              <m:e>
                <m:sSub>
                  <m:e>
                    <m:r>
                      <m:rPr>
                        <m:sty m:val="p"/>
                        <m:scr m:val="script"/>
                      </m:rPr>
                      <m:t>R</m:t>
                    </m:r>
                  </m:e>
                  <m:sub>
                    <m:r>
                      <m:t>J</m:t>
                    </m:r>
                  </m:sub>
                </m:sSub>
                <m:d>
                  <m:dPr>
                    <m:begChr m:val="("/>
                    <m:endChr m:val=")"/>
                    <m:sepChr m:val=""/>
                    <m:grow/>
                  </m:dPr>
                  <m:e>
                    <m:r>
                      <m:t>W</m:t>
                    </m:r>
                  </m:e>
                </m:d>
                <m:r>
                  <m:rPr>
                    <m:sty m:val="p"/>
                  </m:rPr>
                  <m:t>=</m:t>
                </m:r>
                <m:f>
                  <m:fPr>
                    <m:type m:val="bar"/>
                  </m:fPr>
                  <m:num>
                    <m:r>
                      <m:t>1</m:t>
                    </m:r>
                  </m:num>
                  <m:den>
                    <m:r>
                      <m:t>J</m:t>
                    </m:r>
                    <m:r>
                      <m:rPr>
                        <m:sty m:val="p"/>
                      </m:rPr>
                      <m:t>−</m:t>
                    </m:r>
                    <m:r>
                      <m:t>2</m:t>
                    </m:r>
                  </m:den>
                </m:f>
                <m:nary>
                  <m:naryPr>
                    <m:chr m:val="∑"/>
                    <m:limLoc m:val="undOvr"/>
                    <m:subHide m:val="off"/>
                    <m:supHide m:val="off"/>
                  </m:naryPr>
                  <m:sub>
                    <m:r>
                      <m:t>m</m:t>
                    </m:r>
                    <m:r>
                      <m:rPr>
                        <m:sty m:val="p"/>
                      </m:rPr>
                      <m:t>=</m:t>
                    </m:r>
                    <m:r>
                      <m:t>1</m:t>
                    </m:r>
                  </m:sub>
                  <m:sup>
                    <m:r>
                      <m:t>M</m:t>
                    </m:r>
                  </m:sup>
                  <m:e>
                    <m:nary>
                      <m:naryPr>
                        <m:chr m:val="∑"/>
                        <m:limLoc m:val="undOvr"/>
                        <m:subHide m:val="off"/>
                        <m:supHide m:val="off"/>
                      </m:naryPr>
                      <m:sub>
                        <m:r>
                          <m:t>j</m:t>
                        </m:r>
                        <m:r>
                          <m:rPr>
                            <m:sty m:val="p"/>
                          </m:rPr>
                          <m:t>=</m:t>
                        </m:r>
                        <m:r>
                          <m:t>2</m:t>
                        </m:r>
                      </m:sub>
                      <m:sup>
                        <m:r>
                          <m:t>J</m:t>
                        </m:r>
                        <m:r>
                          <m:rPr>
                            <m:sty m:val="p"/>
                          </m:rPr>
                          <m:t>−</m:t>
                        </m:r>
                        <m:r>
                          <m:t>1</m:t>
                        </m:r>
                      </m:sup>
                      <m:e>
                        <m:sSup>
                          <m:e>
                            <m:d>
                              <m:dPr>
                                <m:begChr m:val="("/>
                                <m:endChr m:val=")"/>
                                <m:sepChr m:val=""/>
                                <m:grow/>
                              </m:dPr>
                              <m:e>
                                <m:f>
                                  <m:fPr>
                                    <m:type m:val="bar"/>
                                  </m:fPr>
                                  <m:num>
                                    <m:sSub>
                                      <m:e>
                                        <m:r>
                                          <m:t>w</m:t>
                                        </m:r>
                                      </m:e>
                                      <m:sub>
                                        <m:r>
                                          <m:t>m</m:t>
                                        </m:r>
                                        <m:r>
                                          <m:rPr>
                                            <m:sty m:val="p"/>
                                          </m:rPr>
                                          <m:t>,</m:t>
                                        </m:r>
                                        <m:r>
                                          <m:t>j</m:t>
                                        </m:r>
                                        <m:r>
                                          <m:rPr>
                                            <m:sty m:val="p"/>
                                          </m:rPr>
                                          <m:t>+</m:t>
                                        </m:r>
                                        <m:r>
                                          <m:t>1</m:t>
                                        </m:r>
                                      </m:sub>
                                    </m:sSub>
                                    <m:r>
                                      <m:rPr>
                                        <m:sty m:val="p"/>
                                      </m:rPr>
                                      <m:t>−</m:t>
                                    </m:r>
                                    <m:r>
                                      <m:t>2</m:t>
                                    </m:r>
                                    <m:sSub>
                                      <m:e>
                                        <m:r>
                                          <m:t>w</m:t>
                                        </m:r>
                                      </m:e>
                                      <m:sub>
                                        <m:r>
                                          <m:t>m</m:t>
                                        </m:r>
                                        <m:r>
                                          <m:t>j</m:t>
                                        </m:r>
                                      </m:sub>
                                    </m:sSub>
                                    <m:r>
                                      <m:rPr>
                                        <m:sty m:val="p"/>
                                      </m:rPr>
                                      <m:t>+</m:t>
                                    </m:r>
                                    <m:sSub>
                                      <m:e>
                                        <m:r>
                                          <m:t>w</m:t>
                                        </m:r>
                                      </m:e>
                                      <m:sub>
                                        <m:r>
                                          <m:t>m</m:t>
                                        </m:r>
                                        <m:r>
                                          <m:rPr>
                                            <m:sty m:val="p"/>
                                          </m:rPr>
                                          <m:t>,</m:t>
                                        </m:r>
                                        <m:r>
                                          <m:t>j</m:t>
                                        </m:r>
                                        <m:r>
                                          <m:rPr>
                                            <m:sty m:val="p"/>
                                          </m:rPr>
                                          <m:t>−</m:t>
                                        </m:r>
                                        <m:r>
                                          <m:t>1</m:t>
                                        </m:r>
                                      </m:sub>
                                    </m:sSub>
                                  </m:num>
                                  <m:den>
                                    <m:r>
                                      <m:t>Δ</m:t>
                                    </m:r>
                                    <m:r>
                                      <m:t>u</m:t>
                                    </m:r>
                                  </m:den>
                                </m:f>
                              </m:e>
                            </m:d>
                          </m:e>
                          <m:sup>
                            <m:r>
                              <m:t>2</m:t>
                            </m:r>
                          </m:sup>
                        </m:sSup>
                      </m:e>
                    </m:nary>
                  </m:e>
                </m:nary>
                <m:r>
                  <m:rPr>
                    <m:sty m:val="p"/>
                  </m:rPr>
                  <m:t>.</m:t>
                </m:r>
              </m:e>
            </m:mr>
          </m:m>
        </m:oMath>
      </m:oMathPara>
    </w:p>
    <w:p>
      <w:bookmarkStart w:id="649" w:name="equation43"/>
      <w:pPr>
        <w:pStyle w:val="EquationCaption"/>
      </w:pPr>
      <w:r>
        <w:t xml:space="preserve">Equation 43. Minimum-curvature density inside original quote restrictions.</w:t>
      </w:r>
      <w:bookmarkEnd w:id="649"/>
    </w:p>
    <w:p>
      <w:pPr>
        <w:pStyle w:val="BodyText"/>
      </w:pPr>
      <w:r>
        <w:t xml:space="preserve">For a fixed equal-width grid this is a positive multiple of Equation (21), so it gives the same minimisers when used alone. There is no trade-off parameter against midpoint error. Spread compatibility is now imposed; a zero in-sample miss count is therefore a construction property, not independent density validation.</w:t>
      </w:r>
    </w:p>
    <w:p>
      <w:pPr>
        <w:pStyle w:val="BodyText"/>
      </w:pPr>
      <w:r>
        <w:t xml:space="preserve">As Goulart and Chen’s solver discussion makes clear [15], numerical stopping criteria are formulation dependent in finite precision. The physical-price QP initially returned AlmostSolved. Objective multipliers of 0.1, 10 and 100 did not resolve it. Dividing quote rows and bounds by the forward achieved strict Solved status for the primary fits without changing their feasible sets. Accepted QPs require solver tolerances of</w:t>
      </w:r>
      <w:r>
        <w:t xml:space="preserve"> </w:t>
      </w:r>
      <m:oMath>
        <m:sSup>
          <m:e>
            <m:r>
              <m:t>10</m:t>
            </m:r>
          </m:e>
          <m:sup>
            <m:r>
              <m:rPr>
                <m:sty m:val="p"/>
              </m:rPr>
              <m:t>−</m:t>
            </m:r>
            <m:r>
              <m:t>11</m:t>
            </m:r>
          </m:sup>
        </m:sSup>
      </m:oMath>
      <w:r>
        <w:t xml:space="preserve"> </w:t>
      </w:r>
      <w:r>
        <w:t xml:space="preserve">and independent checks in original price units.</w:t>
      </w:r>
    </w:p>
    <w:p>
      <w:pPr>
        <w:pStyle w:val="BodyText"/>
      </w:pPr>
      <w:r>
        <w:t xml:space="preserve">A September 120-bin control returned Solved but missed a physical bound by</w:t>
      </w:r>
      <w:r>
        <w:t xml:space="preserve"> </w:t>
      </w:r>
      <m:oMath>
        <m:r>
          <m:t>2.97</m:t>
        </m:r>
        <m:r>
          <m:rPr>
            <m:sty m:val="p"/>
          </m:rPr>
          <m:t>×</m:t>
        </m:r>
        <m:sSup>
          <m:e>
            <m:r>
              <m:t>10</m:t>
            </m:r>
          </m:e>
          <m:sup>
            <m:r>
              <m:rPr>
                <m:sty m:val="p"/>
              </m:rPr>
              <m:t>−</m:t>
            </m:r>
            <m:r>
              <m:t>7</m:t>
            </m:r>
          </m:sup>
        </m:sSup>
      </m:oMath>
      <w:r>
        <w:t xml:space="preserve"> </w:t>
      </w:r>
      <w:r>
        <w:t xml:space="preserve">points, above the</w:t>
      </w:r>
      <w:r>
        <w:t xml:space="preserve"> </w:t>
      </w:r>
      <m:oMath>
        <m:sSup>
          <m:e>
            <m:r>
              <m:t>10</m:t>
            </m:r>
          </m:e>
          <m:sup>
            <m:r>
              <m:rPr>
                <m:sty m:val="p"/>
              </m:rPr>
              <m:t>−</m:t>
            </m:r>
            <m:r>
              <m:t>7</m:t>
            </m:r>
          </m:sup>
        </m:sSup>
      </m:oMath>
      <w:r>
        <w:t xml:space="preserve"> </w:t>
      </w:r>
      <w:r>
        <w:t xml:space="preserve">acceptance threshold. An equivalent positive quote-row multiplier of ten resolved that case. The runner records all attempts with multipliers one, ten and one hundred; it neither modifies the quotes nor loosens the acceptance rule.</w:t>
      </w:r>
    </w:p>
    <w:p>
      <w:pPr>
        <w:sectPr>
          <w:type w:val="nextPage"/>
          <w:pgSz w:w="11906" w:h="16838" w:orient="portrait"/>
          <w:pgMar w:top="1008" w:bottom="1008" w:left="1152" w:right="1152" w:header="432" w:footer="432" w:gutter="0"/>
          <w:pgNumType w:fmt="decimal"/>
        </w:sectPr>
        <w:spacing w:before="0" w:after="0" w:line="1" w:lineRule="exact"/>
      </w:pPr>
      <w:r>
        <w:rPr>
          <w:sz w:val="2"/>
        </w:rPr>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047"/>
        <w:gridCol w:w="2047"/>
        <w:gridCol w:w="2047"/>
        <w:gridCol w:w="2047"/>
        <w:gridCol w:w="2047"/>
        <w:gridCol w:w="2047"/>
        <w:gridCol w:w="2047"/>
      </w:tblGrid>
      <w:tr>
        <w:trPr>
          <w:tblHeader w:val="true"/>
          <w:cantSplit/>
          <w:tblHeader/>
        </w:trPr>
        <w:tc>
          <w:tcPr>
            <w:tcW w:type="dxa" w:w="2047"/>
            <w:vAlign w:val="center"/>
            <w:shd w:fill="E9EEF3"/>
          </w:tcPr>
          <w:p>
            <w:pPr>
              <w:pStyle w:val="Compact"/>
              <w:keepNext/>
              <w:keepLines/>
              <w:spacing w:after="40" w:before="40" w:line="252" w:lineRule="auto"/>
              <w:jc w:val="left"/>
            </w:pPr>
            <w:r>
              <w:rPr>
                <w:b/>
                <w:sz w:val="20"/>
              </w:rPr>
              <w:t xml:space="preserve">Snapshot</w:t>
            </w:r>
          </w:p>
        </w:tc>
        <w:tc>
          <w:tcPr>
            <w:tcW w:type="dxa" w:w="2047"/>
            <w:vAlign w:val="center"/>
            <w:shd w:fill="E9EEF3"/>
          </w:tcPr>
          <w:p>
            <w:pPr>
              <w:pStyle w:val="Compact"/>
              <w:keepNext/>
              <w:keepLines/>
              <w:spacing w:after="40" w:before="40" w:line="252" w:lineRule="auto"/>
              <w:jc w:val="left"/>
            </w:pPr>
            <w:r>
              <w:rPr>
                <w:b/>
                <w:sz w:val="20"/>
              </w:rPr>
              <w:t xml:space="preserve">Estimator</w:t>
            </w:r>
          </w:p>
        </w:tc>
        <w:tc>
          <w:tcPr>
            <w:tcW w:type="dxa" w:w="2047"/>
            <w:vAlign w:val="center"/>
            <w:shd w:fill="E9EEF3"/>
          </w:tcPr>
          <w:p>
            <w:pPr>
              <w:pStyle w:val="Compact"/>
              <w:keepNext/>
              <w:keepLines/>
              <w:spacing w:after="40" w:before="40" w:line="252" w:lineRule="auto"/>
              <w:jc w:val="left"/>
            </w:pPr>
            <w:r>
              <w:rPr>
                <w:b/>
                <w:sz w:val="20"/>
              </w:rPr>
              <w:t xml:space="preserve">Expiry</w:t>
            </w:r>
          </w:p>
        </w:tc>
        <w:tc>
          <w:tcPr>
            <w:tcW w:type="dxa" w:w="2047"/>
            <w:vAlign w:val="center"/>
            <w:shd w:fill="E9EEF3"/>
          </w:tcPr>
          <w:p>
            <w:pPr>
              <w:pStyle w:val="Compact"/>
              <w:keepNext/>
              <w:keepLines/>
              <w:spacing w:after="40" w:before="40" w:line="252" w:lineRule="auto"/>
              <w:jc w:val="left"/>
            </w:pPr>
            <w:r>
              <w:rPr>
                <w:b/>
                <w:sz w:val="20"/>
              </w:rPr>
              <w:t xml:space="preserve">Call RMSE (points)</w:t>
            </w:r>
          </w:p>
        </w:tc>
        <w:tc>
          <w:tcPr>
            <w:tcW w:type="dxa" w:w="2047"/>
            <w:vAlign w:val="center"/>
            <w:shd w:fill="E9EEF3"/>
          </w:tcPr>
          <w:p>
            <w:pPr>
              <w:pStyle w:val="Compact"/>
              <w:keepNext/>
              <w:keepLines/>
              <w:spacing w:after="40" w:before="40" w:line="252" w:lineRule="auto"/>
              <w:jc w:val="left"/>
            </w:pPr>
            <w:r>
              <w:rPr>
                <w:b/>
                <w:sz w:val="20"/>
              </w:rPr>
              <w:t xml:space="preserve">Put RMSE (points)</w:t>
            </w:r>
          </w:p>
        </w:tc>
        <w:tc>
          <w:tcPr>
            <w:tcW w:type="dxa" w:w="2047"/>
            <w:vAlign w:val="center"/>
            <w:shd w:fill="E9EEF3"/>
          </w:tcPr>
          <w:p>
            <w:pPr>
              <w:pStyle w:val="Compact"/>
              <w:keepNext/>
              <w:keepLines/>
              <w:spacing w:after="40" w:before="40" w:line="252" w:lineRule="auto"/>
              <w:jc w:val="left"/>
            </w:pPr>
            <w:r>
              <w:rPr>
                <w:b/>
                <w:sz w:val="20"/>
              </w:rPr>
              <w:t xml:space="preserve">Calls / puts outside</w:t>
            </w:r>
          </w:p>
        </w:tc>
        <w:tc>
          <w:tcPr>
            <w:tcW w:type="dxa" w:w="2047"/>
            <w:vAlign w:val="center"/>
            <w:shd w:fill="E9EEF3"/>
          </w:tcPr>
          <w:p>
            <w:pPr>
              <w:pStyle w:val="Compact"/>
              <w:keepNext/>
              <w:keepLines/>
              <w:spacing w:after="40" w:before="40" w:line="252" w:lineRule="auto"/>
              <w:jc w:val="left"/>
            </w:pPr>
            <w:r>
              <w:rPr>
                <w:b/>
                <w:sz w:val="20"/>
              </w:rPr>
              <w:t xml:space="preserve">Largest miss (points)</w:t>
            </w:r>
          </w:p>
        </w:tc>
      </w:tr>
      <w:tr>
        <w:trPr>
          <w:cantSplit/>
        </w:trPr>
        <w:tc>
          <w:tcPr>
            <w:tcW w:type="dxa" w:w="2047"/>
            <w:vAlign w:val="center"/>
          </w:tcPr>
          <w:p>
            <w:pPr>
              <w:pStyle w:val="Compact"/>
              <w:keepNext w:val="0"/>
              <w:keepLines/>
              <w:spacing w:after="40" w:before="40" w:line="252" w:lineRule="auto"/>
              <w:jc w:val="right"/>
            </w:pPr>
            <w:r>
              <w:rPr>
                <w:b w:val="0"/>
                <w:sz w:val="20"/>
              </w:rPr>
              <w:t xml:space="preserve">31 Aug · 15:00 CT</w:t>
            </w:r>
          </w:p>
        </w:tc>
        <w:tc>
          <w:tcPr>
            <w:tcW w:type="dxa" w:w="2047"/>
            <w:vAlign w:val="center"/>
          </w:tcPr>
          <w:p>
            <w:pPr>
              <w:pStyle w:val="Compact"/>
              <w:keepNext w:val="0"/>
              <w:keepLines/>
              <w:spacing w:after="40" w:before="40" w:line="252" w:lineRule="auto"/>
              <w:jc w:val="right"/>
            </w:pPr>
            <w:r>
              <w:rPr>
                <w:b w:val="0"/>
                <w:sz w:val="20"/>
              </w:rPr>
              <w:t xml:space="preserve">240-bin constrained</w:t>
            </w:r>
          </w:p>
        </w:tc>
        <w:tc>
          <w:tcPr>
            <w:tcW w:type="dxa" w:w="2047"/>
            <w:vAlign w:val="center"/>
          </w:tcPr>
          <w:p>
            <w:pPr>
              <w:pStyle w:val="Compact"/>
              <w:keepNext w:val="0"/>
              <w:keepLines/>
              <w:spacing w:after="40" w:before="40" w:line="252" w:lineRule="auto"/>
              <w:jc w:val="right"/>
            </w:pPr>
            <w:r>
              <w:rPr>
                <w:b w:val="0"/>
                <w:sz w:val="20"/>
              </w:rPr>
              <w:t xml:space="preserve">2026-10-16</w:t>
            </w:r>
          </w:p>
        </w:tc>
        <w:tc>
          <w:tcPr>
            <w:tcW w:type="dxa" w:w="2047"/>
            <w:vAlign w:val="center"/>
          </w:tcPr>
          <w:p>
            <w:pPr>
              <w:pStyle w:val="Compact"/>
              <w:keepNext w:val="0"/>
              <w:keepLines/>
              <w:spacing w:after="40" w:before="40" w:line="252" w:lineRule="auto"/>
              <w:jc w:val="right"/>
            </w:pPr>
            <w:r>
              <w:rPr>
                <w:b w:val="0"/>
                <w:sz w:val="20"/>
              </w:rPr>
              <w:t xml:space="preserve">3.2961</w:t>
            </w:r>
          </w:p>
        </w:tc>
        <w:tc>
          <w:tcPr>
            <w:tcW w:type="dxa" w:w="2047"/>
            <w:vAlign w:val="center"/>
          </w:tcPr>
          <w:p>
            <w:pPr>
              <w:pStyle w:val="Compact"/>
              <w:keepNext w:val="0"/>
              <w:keepLines/>
              <w:spacing w:after="40" w:before="40" w:line="252" w:lineRule="auto"/>
              <w:jc w:val="right"/>
            </w:pPr>
            <w:r>
              <w:rPr>
                <w:b w:val="0"/>
                <w:sz w:val="20"/>
              </w:rPr>
              <w:t xml:space="preserve">3.3985</w:t>
            </w:r>
          </w:p>
        </w:tc>
        <w:tc>
          <w:tcPr>
            <w:tcW w:type="dxa" w:w="2047"/>
            <w:vAlign w:val="center"/>
          </w:tcPr>
          <w:p>
            <w:pPr>
              <w:pStyle w:val="Compact"/>
              <w:keepNext w:val="0"/>
              <w:keepLines/>
              <w:spacing w:after="40" w:before="40" w:line="252" w:lineRule="auto"/>
              <w:jc w:val="right"/>
            </w:pPr>
            <w:r>
              <w:rPr>
                <w:b w:val="0"/>
                <w:sz w:val="20"/>
              </w:rPr>
              <w:t xml:space="preserve">0 / 0</w:t>
            </w:r>
          </w:p>
        </w:tc>
        <w:tc>
          <w:tcPr>
            <w:tcW w:type="dxa" w:w="2047"/>
            <w:vAlign w:val="center"/>
          </w:tcPr>
          <w:p>
            <w:pPr>
              <w:pStyle w:val="Compact"/>
              <w:keepNext w:val="0"/>
              <w:keepLines/>
              <w:spacing w:after="40" w:before="40" w:line="252" w:lineRule="auto"/>
              <w:jc w:val="right"/>
            </w:pPr>
            <w:r>
              <w:rPr>
                <w:b w:val="0"/>
                <w:sz w:val="20"/>
              </w:rPr>
              <w:t xml:space="preserve">1.38e-11</w:t>
            </w:r>
          </w:p>
        </w:tc>
      </w:tr>
      <w:tr>
        <w:trPr>
          <w:cantSplit/>
        </w:trPr>
        <w:tc>
          <w:tcPr>
            <w:tcW w:type="dxa" w:w="2047"/>
            <w:vAlign w:val="center"/>
          </w:tcPr>
          <w:p>
            <w:pPr>
              <w:pStyle w:val="Compact"/>
              <w:keepNext w:val="0"/>
              <w:keepLines/>
              <w:spacing w:after="40" w:before="40" w:line="252" w:lineRule="auto"/>
              <w:jc w:val="right"/>
            </w:pPr>
            <w:r>
              <w:rPr>
                <w:b w:val="0"/>
                <w:sz w:val="20"/>
              </w:rPr>
              <w:t xml:space="preserve">31 Aug · 15:00 CT</w:t>
            </w:r>
          </w:p>
        </w:tc>
        <w:tc>
          <w:tcPr>
            <w:tcW w:type="dxa" w:w="2047"/>
            <w:vAlign w:val="center"/>
          </w:tcPr>
          <w:p>
            <w:pPr>
              <w:pStyle w:val="Compact"/>
              <w:keepNext w:val="0"/>
              <w:keepLines/>
              <w:spacing w:after="40" w:before="40" w:line="252" w:lineRule="auto"/>
              <w:jc w:val="right"/>
            </w:pPr>
            <w:r>
              <w:rPr>
                <w:b w:val="0"/>
                <w:sz w:val="20"/>
              </w:rPr>
              <w:t xml:space="preserve">240-bin constrained</w:t>
            </w:r>
          </w:p>
        </w:tc>
        <w:tc>
          <w:tcPr>
            <w:tcW w:type="dxa" w:w="2047"/>
            <w:vAlign w:val="center"/>
          </w:tcPr>
          <w:p>
            <w:pPr>
              <w:pStyle w:val="Compact"/>
              <w:keepNext w:val="0"/>
              <w:keepLines/>
              <w:spacing w:after="40" w:before="40" w:line="252" w:lineRule="auto"/>
              <w:jc w:val="right"/>
            </w:pPr>
            <w:r>
              <w:rPr>
                <w:b w:val="0"/>
                <w:sz w:val="20"/>
              </w:rPr>
              <w:t xml:space="preserve">2026-11-20</w:t>
            </w:r>
          </w:p>
        </w:tc>
        <w:tc>
          <w:tcPr>
            <w:tcW w:type="dxa" w:w="2047"/>
            <w:vAlign w:val="center"/>
          </w:tcPr>
          <w:p>
            <w:pPr>
              <w:pStyle w:val="Compact"/>
              <w:keepNext w:val="0"/>
              <w:keepLines/>
              <w:spacing w:after="40" w:before="40" w:line="252" w:lineRule="auto"/>
              <w:jc w:val="right"/>
            </w:pPr>
            <w:r>
              <w:rPr>
                <w:b w:val="0"/>
                <w:sz w:val="20"/>
              </w:rPr>
              <w:t xml:space="preserve">3.1513</w:t>
            </w:r>
          </w:p>
        </w:tc>
        <w:tc>
          <w:tcPr>
            <w:tcW w:type="dxa" w:w="2047"/>
            <w:vAlign w:val="center"/>
          </w:tcPr>
          <w:p>
            <w:pPr>
              <w:pStyle w:val="Compact"/>
              <w:keepNext w:val="0"/>
              <w:keepLines/>
              <w:spacing w:after="40" w:before="40" w:line="252" w:lineRule="auto"/>
              <w:jc w:val="right"/>
            </w:pPr>
            <w:r>
              <w:rPr>
                <w:b w:val="0"/>
                <w:sz w:val="20"/>
              </w:rPr>
              <w:t xml:space="preserve">2.8919</w:t>
            </w:r>
          </w:p>
        </w:tc>
        <w:tc>
          <w:tcPr>
            <w:tcW w:type="dxa" w:w="2047"/>
            <w:vAlign w:val="center"/>
          </w:tcPr>
          <w:p>
            <w:pPr>
              <w:pStyle w:val="Compact"/>
              <w:keepNext w:val="0"/>
              <w:keepLines/>
              <w:spacing w:after="40" w:before="40" w:line="252" w:lineRule="auto"/>
              <w:jc w:val="right"/>
            </w:pPr>
            <w:r>
              <w:rPr>
                <w:b w:val="0"/>
                <w:sz w:val="20"/>
              </w:rPr>
              <w:t xml:space="preserve">0 / 0</w:t>
            </w:r>
          </w:p>
        </w:tc>
        <w:tc>
          <w:tcPr>
            <w:tcW w:type="dxa" w:w="2047"/>
            <w:vAlign w:val="center"/>
          </w:tcPr>
          <w:p>
            <w:pPr>
              <w:pStyle w:val="Compact"/>
              <w:keepNext w:val="0"/>
              <w:keepLines/>
              <w:spacing w:after="40" w:before="40" w:line="252" w:lineRule="auto"/>
              <w:jc w:val="right"/>
            </w:pPr>
            <w:r>
              <w:rPr>
                <w:b w:val="0"/>
                <w:sz w:val="20"/>
              </w:rPr>
              <w:t xml:space="preserve">1.06e-11</w:t>
            </w:r>
          </w:p>
        </w:tc>
      </w:tr>
      <w:tr>
        <w:trPr>
          <w:cantSplit/>
        </w:trPr>
        <w:tc>
          <w:tcPr>
            <w:tcW w:type="dxa" w:w="2047"/>
            <w:vAlign w:val="center"/>
          </w:tcPr>
          <w:p>
            <w:pPr>
              <w:pStyle w:val="Compact"/>
              <w:keepNext w:val="0"/>
              <w:keepLines/>
              <w:spacing w:after="40" w:before="40" w:line="252" w:lineRule="auto"/>
              <w:jc w:val="right"/>
            </w:pPr>
            <w:r>
              <w:rPr>
                <w:b w:val="0"/>
                <w:sz w:val="20"/>
              </w:rPr>
              <w:t xml:space="preserve">31 Aug · 15:00 CT</w:t>
            </w:r>
          </w:p>
        </w:tc>
        <w:tc>
          <w:tcPr>
            <w:tcW w:type="dxa" w:w="2047"/>
            <w:vAlign w:val="center"/>
          </w:tcPr>
          <w:p>
            <w:pPr>
              <w:pStyle w:val="Compact"/>
              <w:keepNext w:val="0"/>
              <w:keepLines/>
              <w:spacing w:after="40" w:before="40" w:line="252" w:lineRule="auto"/>
              <w:jc w:val="right"/>
            </w:pPr>
            <w:r>
              <w:rPr>
                <w:b w:val="0"/>
                <w:sz w:val="20"/>
              </w:rPr>
              <w:t xml:space="preserve">240-bin constrained</w:t>
            </w:r>
          </w:p>
        </w:tc>
        <w:tc>
          <w:tcPr>
            <w:tcW w:type="dxa" w:w="2047"/>
            <w:vAlign w:val="center"/>
          </w:tcPr>
          <w:p>
            <w:pPr>
              <w:pStyle w:val="Compact"/>
              <w:keepNext w:val="0"/>
              <w:keepLines/>
              <w:spacing w:after="40" w:before="40" w:line="252" w:lineRule="auto"/>
              <w:jc w:val="right"/>
            </w:pPr>
            <w:r>
              <w:rPr>
                <w:b w:val="0"/>
                <w:sz w:val="20"/>
              </w:rPr>
              <w:t xml:space="preserve">2026-12-18</w:t>
            </w:r>
          </w:p>
        </w:tc>
        <w:tc>
          <w:tcPr>
            <w:tcW w:type="dxa" w:w="2047"/>
            <w:vAlign w:val="center"/>
          </w:tcPr>
          <w:p>
            <w:pPr>
              <w:pStyle w:val="Compact"/>
              <w:keepNext w:val="0"/>
              <w:keepLines/>
              <w:spacing w:after="40" w:before="40" w:line="252" w:lineRule="auto"/>
              <w:jc w:val="right"/>
            </w:pPr>
            <w:r>
              <w:rPr>
                <w:b w:val="0"/>
                <w:sz w:val="20"/>
              </w:rPr>
              <w:t xml:space="preserve">2.7834</w:t>
            </w:r>
          </w:p>
        </w:tc>
        <w:tc>
          <w:tcPr>
            <w:tcW w:type="dxa" w:w="2047"/>
            <w:vAlign w:val="center"/>
          </w:tcPr>
          <w:p>
            <w:pPr>
              <w:pStyle w:val="Compact"/>
              <w:keepNext w:val="0"/>
              <w:keepLines/>
              <w:spacing w:after="40" w:before="40" w:line="252" w:lineRule="auto"/>
              <w:jc w:val="right"/>
            </w:pPr>
            <w:r>
              <w:rPr>
                <w:b w:val="0"/>
                <w:sz w:val="20"/>
              </w:rPr>
              <w:t xml:space="preserve">2.4480</w:t>
            </w:r>
          </w:p>
        </w:tc>
        <w:tc>
          <w:tcPr>
            <w:tcW w:type="dxa" w:w="2047"/>
            <w:vAlign w:val="center"/>
          </w:tcPr>
          <w:p>
            <w:pPr>
              <w:pStyle w:val="Compact"/>
              <w:keepNext w:val="0"/>
              <w:keepLines/>
              <w:spacing w:after="40" w:before="40" w:line="252" w:lineRule="auto"/>
              <w:jc w:val="right"/>
            </w:pPr>
            <w:r>
              <w:rPr>
                <w:b w:val="0"/>
                <w:sz w:val="20"/>
              </w:rPr>
              <w:t xml:space="preserve">0 / 0</w:t>
            </w:r>
          </w:p>
        </w:tc>
        <w:tc>
          <w:tcPr>
            <w:tcW w:type="dxa" w:w="2047"/>
            <w:vAlign w:val="center"/>
          </w:tcPr>
          <w:p>
            <w:pPr>
              <w:pStyle w:val="Compact"/>
              <w:keepNext w:val="0"/>
              <w:keepLines/>
              <w:spacing w:after="40" w:before="40" w:line="252" w:lineRule="auto"/>
              <w:jc w:val="right"/>
            </w:pPr>
            <w:r>
              <w:rPr>
                <w:b w:val="0"/>
                <w:sz w:val="20"/>
              </w:rPr>
              <w:t xml:space="preserve">1.03e-11</w:t>
            </w:r>
          </w:p>
        </w:tc>
      </w:tr>
      <w:tr>
        <w:trPr>
          <w:cantSplit/>
        </w:trPr>
        <w:tc>
          <w:tcPr>
            <w:tcW w:type="dxa" w:w="2047"/>
            <w:vAlign w:val="center"/>
          </w:tcPr>
          <w:p>
            <w:pPr>
              <w:pStyle w:val="Compact"/>
              <w:keepNext w:val="0"/>
              <w:keepLines/>
              <w:spacing w:after="40" w:before="40" w:line="252" w:lineRule="auto"/>
              <w:jc w:val="right"/>
            </w:pPr>
            <w:r>
              <w:rPr>
                <w:b w:val="0"/>
                <w:sz w:val="20"/>
              </w:rPr>
              <w:t xml:space="preserve">18 Sep · 15:00 CT</w:t>
            </w:r>
          </w:p>
        </w:tc>
        <w:tc>
          <w:tcPr>
            <w:tcW w:type="dxa" w:w="2047"/>
            <w:vAlign w:val="center"/>
          </w:tcPr>
          <w:p>
            <w:pPr>
              <w:pStyle w:val="Compact"/>
              <w:keepNext w:val="0"/>
              <w:keepLines/>
              <w:spacing w:after="40" w:before="40" w:line="252" w:lineRule="auto"/>
              <w:jc w:val="right"/>
            </w:pPr>
            <w:r>
              <w:rPr>
                <w:b w:val="0"/>
                <w:sz w:val="20"/>
              </w:rPr>
              <w:t xml:space="preserve">240-bin constrained</w:t>
            </w:r>
          </w:p>
        </w:tc>
        <w:tc>
          <w:tcPr>
            <w:tcW w:type="dxa" w:w="2047"/>
            <w:vAlign w:val="center"/>
          </w:tcPr>
          <w:p>
            <w:pPr>
              <w:pStyle w:val="Compact"/>
              <w:keepNext w:val="0"/>
              <w:keepLines/>
              <w:spacing w:after="40" w:before="40" w:line="252" w:lineRule="auto"/>
              <w:jc w:val="right"/>
            </w:pPr>
            <w:r>
              <w:rPr>
                <w:b w:val="0"/>
                <w:sz w:val="20"/>
              </w:rPr>
              <w:t xml:space="preserve">2026-10-16</w:t>
            </w:r>
          </w:p>
        </w:tc>
        <w:tc>
          <w:tcPr>
            <w:tcW w:type="dxa" w:w="2047"/>
            <w:vAlign w:val="center"/>
          </w:tcPr>
          <w:p>
            <w:pPr>
              <w:pStyle w:val="Compact"/>
              <w:keepNext w:val="0"/>
              <w:keepLines/>
              <w:spacing w:after="40" w:before="40" w:line="252" w:lineRule="auto"/>
              <w:jc w:val="right"/>
            </w:pPr>
            <w:r>
              <w:rPr>
                <w:b w:val="0"/>
                <w:sz w:val="20"/>
              </w:rPr>
              <w:t xml:space="preserve">0.7861</w:t>
            </w:r>
          </w:p>
        </w:tc>
        <w:tc>
          <w:tcPr>
            <w:tcW w:type="dxa" w:w="2047"/>
            <w:vAlign w:val="center"/>
          </w:tcPr>
          <w:p>
            <w:pPr>
              <w:pStyle w:val="Compact"/>
              <w:keepNext w:val="0"/>
              <w:keepLines/>
              <w:spacing w:after="40" w:before="40" w:line="252" w:lineRule="auto"/>
              <w:jc w:val="right"/>
            </w:pPr>
            <w:r>
              <w:rPr>
                <w:b w:val="0"/>
                <w:sz w:val="20"/>
              </w:rPr>
              <w:t xml:space="preserve">0.5697</w:t>
            </w:r>
          </w:p>
        </w:tc>
        <w:tc>
          <w:tcPr>
            <w:tcW w:type="dxa" w:w="2047"/>
            <w:vAlign w:val="center"/>
          </w:tcPr>
          <w:p>
            <w:pPr>
              <w:pStyle w:val="Compact"/>
              <w:keepNext w:val="0"/>
              <w:keepLines/>
              <w:spacing w:after="40" w:before="40" w:line="252" w:lineRule="auto"/>
              <w:jc w:val="right"/>
            </w:pPr>
            <w:r>
              <w:rPr>
                <w:b w:val="0"/>
                <w:sz w:val="20"/>
              </w:rPr>
              <w:t xml:space="preserve">0 / 0</w:t>
            </w:r>
          </w:p>
        </w:tc>
        <w:tc>
          <w:tcPr>
            <w:tcW w:type="dxa" w:w="2047"/>
            <w:vAlign w:val="center"/>
          </w:tcPr>
          <w:p>
            <w:pPr>
              <w:pStyle w:val="Compact"/>
              <w:keepNext w:val="0"/>
              <w:keepLines/>
              <w:spacing w:after="40" w:before="40" w:line="252" w:lineRule="auto"/>
              <w:jc w:val="right"/>
            </w:pPr>
            <w:r>
              <w:rPr>
                <w:b w:val="0"/>
                <w:sz w:val="20"/>
              </w:rPr>
              <w:t xml:space="preserve">6.96e-11</w:t>
            </w:r>
          </w:p>
        </w:tc>
      </w:tr>
      <w:tr>
        <w:trPr>
          <w:cantSplit/>
        </w:trPr>
        <w:tc>
          <w:tcPr>
            <w:tcW w:type="dxa" w:w="2047"/>
            <w:vAlign w:val="center"/>
          </w:tcPr>
          <w:p>
            <w:pPr>
              <w:pStyle w:val="Compact"/>
              <w:keepNext w:val="0"/>
              <w:keepLines/>
              <w:spacing w:after="40" w:before="40" w:line="252" w:lineRule="auto"/>
              <w:jc w:val="right"/>
            </w:pPr>
            <w:r>
              <w:rPr>
                <w:b w:val="0"/>
                <w:sz w:val="20"/>
              </w:rPr>
              <w:t xml:space="preserve">18 Sep · 15:00 CT</w:t>
            </w:r>
          </w:p>
        </w:tc>
        <w:tc>
          <w:tcPr>
            <w:tcW w:type="dxa" w:w="2047"/>
            <w:vAlign w:val="center"/>
          </w:tcPr>
          <w:p>
            <w:pPr>
              <w:pStyle w:val="Compact"/>
              <w:keepNext w:val="0"/>
              <w:keepLines/>
              <w:spacing w:after="40" w:before="40" w:line="252" w:lineRule="auto"/>
              <w:jc w:val="right"/>
            </w:pPr>
            <w:r>
              <w:rPr>
                <w:b w:val="0"/>
                <w:sz w:val="20"/>
              </w:rPr>
              <w:t xml:space="preserve">240-bin constrained</w:t>
            </w:r>
          </w:p>
        </w:tc>
        <w:tc>
          <w:tcPr>
            <w:tcW w:type="dxa" w:w="2047"/>
            <w:vAlign w:val="center"/>
          </w:tcPr>
          <w:p>
            <w:pPr>
              <w:pStyle w:val="Compact"/>
              <w:keepNext w:val="0"/>
              <w:keepLines/>
              <w:spacing w:after="40" w:before="40" w:line="252" w:lineRule="auto"/>
              <w:jc w:val="right"/>
            </w:pPr>
            <w:r>
              <w:rPr>
                <w:b w:val="0"/>
                <w:sz w:val="20"/>
              </w:rPr>
              <w:t xml:space="preserve">2026-11-20</w:t>
            </w:r>
          </w:p>
        </w:tc>
        <w:tc>
          <w:tcPr>
            <w:tcW w:type="dxa" w:w="2047"/>
            <w:vAlign w:val="center"/>
          </w:tcPr>
          <w:p>
            <w:pPr>
              <w:pStyle w:val="Compact"/>
              <w:keepNext w:val="0"/>
              <w:keepLines/>
              <w:spacing w:after="40" w:before="40" w:line="252" w:lineRule="auto"/>
              <w:jc w:val="right"/>
            </w:pPr>
            <w:r>
              <w:rPr>
                <w:b w:val="0"/>
                <w:sz w:val="20"/>
              </w:rPr>
              <w:t xml:space="preserve">0.7695</w:t>
            </w:r>
          </w:p>
        </w:tc>
        <w:tc>
          <w:tcPr>
            <w:tcW w:type="dxa" w:w="2047"/>
            <w:vAlign w:val="center"/>
          </w:tcPr>
          <w:p>
            <w:pPr>
              <w:pStyle w:val="Compact"/>
              <w:keepNext w:val="0"/>
              <w:keepLines/>
              <w:spacing w:after="40" w:before="40" w:line="252" w:lineRule="auto"/>
              <w:jc w:val="right"/>
            </w:pPr>
            <w:r>
              <w:rPr>
                <w:b w:val="0"/>
                <w:sz w:val="20"/>
              </w:rPr>
              <w:t xml:space="preserve">0.6337</w:t>
            </w:r>
          </w:p>
        </w:tc>
        <w:tc>
          <w:tcPr>
            <w:tcW w:type="dxa" w:w="2047"/>
            <w:vAlign w:val="center"/>
          </w:tcPr>
          <w:p>
            <w:pPr>
              <w:pStyle w:val="Compact"/>
              <w:keepNext w:val="0"/>
              <w:keepLines/>
              <w:spacing w:after="40" w:before="40" w:line="252" w:lineRule="auto"/>
              <w:jc w:val="right"/>
            </w:pPr>
            <w:r>
              <w:rPr>
                <w:b w:val="0"/>
                <w:sz w:val="20"/>
              </w:rPr>
              <w:t xml:space="preserve">0 / 0</w:t>
            </w:r>
          </w:p>
        </w:tc>
        <w:tc>
          <w:tcPr>
            <w:tcW w:type="dxa" w:w="2047"/>
            <w:vAlign w:val="center"/>
          </w:tcPr>
          <w:p>
            <w:pPr>
              <w:pStyle w:val="Compact"/>
              <w:keepNext w:val="0"/>
              <w:keepLines/>
              <w:spacing w:after="40" w:before="40" w:line="252" w:lineRule="auto"/>
              <w:jc w:val="right"/>
            </w:pPr>
            <w:r>
              <w:rPr>
                <w:b w:val="0"/>
                <w:sz w:val="20"/>
              </w:rPr>
              <w:t xml:space="preserve">6.3e-11</w:t>
            </w:r>
          </w:p>
        </w:tc>
      </w:tr>
      <w:tr>
        <w:trPr>
          <w:cantSplit/>
        </w:trPr>
        <w:tc>
          <w:tcPr>
            <w:tcW w:type="dxa" w:w="2047"/>
            <w:vAlign w:val="center"/>
          </w:tcPr>
          <w:p>
            <w:pPr>
              <w:pStyle w:val="Compact"/>
              <w:keepNext w:val="0"/>
              <w:keepLines/>
              <w:spacing w:after="40" w:before="40" w:line="252" w:lineRule="auto"/>
              <w:jc w:val="right"/>
            </w:pPr>
            <w:r>
              <w:rPr>
                <w:b w:val="0"/>
                <w:sz w:val="20"/>
              </w:rPr>
              <w:t xml:space="preserve">18 Sep · 15:00 CT</w:t>
            </w:r>
          </w:p>
        </w:tc>
        <w:tc>
          <w:tcPr>
            <w:tcW w:type="dxa" w:w="2047"/>
            <w:vAlign w:val="center"/>
          </w:tcPr>
          <w:p>
            <w:pPr>
              <w:pStyle w:val="Compact"/>
              <w:keepNext w:val="0"/>
              <w:keepLines/>
              <w:spacing w:after="40" w:before="40" w:line="252" w:lineRule="auto"/>
              <w:jc w:val="right"/>
            </w:pPr>
            <w:r>
              <w:rPr>
                <w:b w:val="0"/>
                <w:sz w:val="20"/>
              </w:rPr>
              <w:t xml:space="preserve">240-bin constrained</w:t>
            </w:r>
          </w:p>
        </w:tc>
        <w:tc>
          <w:tcPr>
            <w:tcW w:type="dxa" w:w="2047"/>
            <w:vAlign w:val="center"/>
          </w:tcPr>
          <w:p>
            <w:pPr>
              <w:pStyle w:val="Compact"/>
              <w:keepNext w:val="0"/>
              <w:keepLines/>
              <w:spacing w:after="40" w:before="40" w:line="252" w:lineRule="auto"/>
              <w:jc w:val="right"/>
            </w:pPr>
            <w:r>
              <w:rPr>
                <w:b w:val="0"/>
                <w:sz w:val="20"/>
              </w:rPr>
              <w:t xml:space="preserve">2026-12-18</w:t>
            </w:r>
          </w:p>
        </w:tc>
        <w:tc>
          <w:tcPr>
            <w:tcW w:type="dxa" w:w="2047"/>
            <w:vAlign w:val="center"/>
          </w:tcPr>
          <w:p>
            <w:pPr>
              <w:pStyle w:val="Compact"/>
              <w:keepNext w:val="0"/>
              <w:keepLines/>
              <w:spacing w:after="40" w:before="40" w:line="252" w:lineRule="auto"/>
              <w:jc w:val="right"/>
            </w:pPr>
            <w:r>
              <w:rPr>
                <w:b w:val="0"/>
                <w:sz w:val="20"/>
              </w:rPr>
              <w:t xml:space="preserve">0.7234</w:t>
            </w:r>
          </w:p>
        </w:tc>
        <w:tc>
          <w:tcPr>
            <w:tcW w:type="dxa" w:w="2047"/>
            <w:vAlign w:val="center"/>
          </w:tcPr>
          <w:p>
            <w:pPr>
              <w:pStyle w:val="Compact"/>
              <w:keepNext w:val="0"/>
              <w:keepLines/>
              <w:spacing w:after="40" w:before="40" w:line="252" w:lineRule="auto"/>
              <w:jc w:val="right"/>
            </w:pPr>
            <w:r>
              <w:rPr>
                <w:b w:val="0"/>
                <w:sz w:val="20"/>
              </w:rPr>
              <w:t xml:space="preserve">0.5273</w:t>
            </w:r>
          </w:p>
        </w:tc>
        <w:tc>
          <w:tcPr>
            <w:tcW w:type="dxa" w:w="2047"/>
            <w:vAlign w:val="center"/>
          </w:tcPr>
          <w:p>
            <w:pPr>
              <w:pStyle w:val="Compact"/>
              <w:keepNext w:val="0"/>
              <w:keepLines/>
              <w:spacing w:after="40" w:before="40" w:line="252" w:lineRule="auto"/>
              <w:jc w:val="right"/>
            </w:pPr>
            <w:r>
              <w:rPr>
                <w:b w:val="0"/>
                <w:sz w:val="20"/>
              </w:rPr>
              <w:t xml:space="preserve">0 / 0</w:t>
            </w:r>
          </w:p>
        </w:tc>
        <w:tc>
          <w:tcPr>
            <w:tcW w:type="dxa" w:w="2047"/>
            <w:vAlign w:val="center"/>
          </w:tcPr>
          <w:p>
            <w:pPr>
              <w:pStyle w:val="Compact"/>
              <w:keepNext w:val="0"/>
              <w:keepLines/>
              <w:spacing w:after="40" w:before="40" w:line="252" w:lineRule="auto"/>
              <w:jc w:val="right"/>
            </w:pPr>
            <w:r>
              <w:rPr>
                <w:b w:val="0"/>
                <w:sz w:val="20"/>
              </w:rPr>
              <w:t xml:space="preserve">6.11e-11</w:t>
            </w:r>
          </w:p>
        </w:tc>
      </w:tr>
      <w:tr>
        <w:trPr>
          <w:cantSplit/>
        </w:trPr>
        <w:tc>
          <w:tcPr>
            <w:tcW w:type="dxa" w:w="2047"/>
            <w:vAlign w:val="center"/>
          </w:tcPr>
          <w:p>
            <w:pPr>
              <w:pStyle w:val="Compact"/>
              <w:keepNext w:val="0"/>
              <w:keepLines/>
              <w:spacing w:after="40" w:before="40" w:line="252" w:lineRule="auto"/>
              <w:jc w:val="right"/>
            </w:pPr>
            <w:r>
              <w:rPr>
                <w:b w:val="0"/>
                <w:sz w:val="20"/>
              </w:rPr>
              <w:t xml:space="preserve">18 Sep · 15:15 CT</w:t>
            </w:r>
          </w:p>
        </w:tc>
        <w:tc>
          <w:tcPr>
            <w:tcW w:type="dxa" w:w="2047"/>
            <w:vAlign w:val="center"/>
          </w:tcPr>
          <w:p>
            <w:pPr>
              <w:pStyle w:val="Compact"/>
              <w:keepNext w:val="0"/>
              <w:keepLines/>
              <w:spacing w:after="40" w:before="40" w:line="252" w:lineRule="auto"/>
              <w:jc w:val="right"/>
            </w:pPr>
            <w:r>
              <w:rPr>
                <w:b w:val="0"/>
                <w:sz w:val="20"/>
              </w:rPr>
              <w:t xml:space="preserve">240-bin constrained</w:t>
            </w:r>
          </w:p>
        </w:tc>
        <w:tc>
          <w:tcPr>
            <w:tcW w:type="dxa" w:w="2047"/>
            <w:vAlign w:val="center"/>
          </w:tcPr>
          <w:p>
            <w:pPr>
              <w:pStyle w:val="Compact"/>
              <w:keepNext w:val="0"/>
              <w:keepLines/>
              <w:spacing w:after="40" w:before="40" w:line="252" w:lineRule="auto"/>
              <w:jc w:val="right"/>
            </w:pPr>
            <w:r>
              <w:rPr>
                <w:b w:val="0"/>
                <w:sz w:val="20"/>
              </w:rPr>
              <w:t xml:space="preserve">2026-10-16</w:t>
            </w:r>
          </w:p>
        </w:tc>
        <w:tc>
          <w:tcPr>
            <w:tcW w:type="dxa" w:w="2047"/>
            <w:vAlign w:val="center"/>
          </w:tcPr>
          <w:p>
            <w:pPr>
              <w:pStyle w:val="Compact"/>
              <w:keepNext w:val="0"/>
              <w:keepLines/>
              <w:spacing w:after="40" w:before="40" w:line="252" w:lineRule="auto"/>
              <w:jc w:val="right"/>
            </w:pPr>
            <w:r>
              <w:rPr>
                <w:b w:val="0"/>
                <w:sz w:val="20"/>
              </w:rPr>
              <w:t xml:space="preserve">0.4469</w:t>
            </w:r>
          </w:p>
        </w:tc>
        <w:tc>
          <w:tcPr>
            <w:tcW w:type="dxa" w:w="2047"/>
            <w:vAlign w:val="center"/>
          </w:tcPr>
          <w:p>
            <w:pPr>
              <w:pStyle w:val="Compact"/>
              <w:keepNext w:val="0"/>
              <w:keepLines/>
              <w:spacing w:after="40" w:before="40" w:line="252" w:lineRule="auto"/>
              <w:jc w:val="right"/>
            </w:pPr>
            <w:r>
              <w:rPr>
                <w:b w:val="0"/>
                <w:sz w:val="20"/>
              </w:rPr>
              <w:t xml:space="preserve">0.2602</w:t>
            </w:r>
          </w:p>
        </w:tc>
        <w:tc>
          <w:tcPr>
            <w:tcW w:type="dxa" w:w="2047"/>
            <w:vAlign w:val="center"/>
          </w:tcPr>
          <w:p>
            <w:pPr>
              <w:pStyle w:val="Compact"/>
              <w:keepNext w:val="0"/>
              <w:keepLines/>
              <w:spacing w:after="40" w:before="40" w:line="252" w:lineRule="auto"/>
              <w:jc w:val="right"/>
            </w:pPr>
            <w:r>
              <w:rPr>
                <w:b w:val="0"/>
                <w:sz w:val="20"/>
              </w:rPr>
              <w:t xml:space="preserve">0 / 0</w:t>
            </w:r>
          </w:p>
        </w:tc>
        <w:tc>
          <w:tcPr>
            <w:tcW w:type="dxa" w:w="2047"/>
            <w:vAlign w:val="center"/>
          </w:tcPr>
          <w:p>
            <w:pPr>
              <w:pStyle w:val="Compact"/>
              <w:keepNext w:val="0"/>
              <w:keepLines/>
              <w:spacing w:after="40" w:before="40" w:line="252" w:lineRule="auto"/>
              <w:jc w:val="right"/>
            </w:pPr>
            <w:r>
              <w:rPr>
                <w:b w:val="0"/>
                <w:sz w:val="20"/>
              </w:rPr>
              <w:t xml:space="preserve">6.89e-11</w:t>
            </w:r>
          </w:p>
        </w:tc>
      </w:tr>
      <w:tr>
        <w:trPr>
          <w:cantSplit/>
        </w:trPr>
        <w:tc>
          <w:tcPr>
            <w:tcW w:type="dxa" w:w="2047"/>
            <w:vAlign w:val="center"/>
          </w:tcPr>
          <w:p>
            <w:pPr>
              <w:pStyle w:val="Compact"/>
              <w:keepNext w:val="0"/>
              <w:keepLines/>
              <w:spacing w:after="40" w:before="40" w:line="252" w:lineRule="auto"/>
              <w:jc w:val="right"/>
            </w:pPr>
            <w:r>
              <w:rPr>
                <w:b w:val="0"/>
                <w:sz w:val="20"/>
              </w:rPr>
              <w:t xml:space="preserve">18 Sep · 15:15 CT</w:t>
            </w:r>
          </w:p>
        </w:tc>
        <w:tc>
          <w:tcPr>
            <w:tcW w:type="dxa" w:w="2047"/>
            <w:vAlign w:val="center"/>
          </w:tcPr>
          <w:p>
            <w:pPr>
              <w:pStyle w:val="Compact"/>
              <w:keepNext w:val="0"/>
              <w:keepLines/>
              <w:spacing w:after="40" w:before="40" w:line="252" w:lineRule="auto"/>
              <w:jc w:val="right"/>
            </w:pPr>
            <w:r>
              <w:rPr>
                <w:b w:val="0"/>
                <w:sz w:val="20"/>
              </w:rPr>
              <w:t xml:space="preserve">240-bin constrained</w:t>
            </w:r>
          </w:p>
        </w:tc>
        <w:tc>
          <w:tcPr>
            <w:tcW w:type="dxa" w:w="2047"/>
            <w:vAlign w:val="center"/>
          </w:tcPr>
          <w:p>
            <w:pPr>
              <w:pStyle w:val="Compact"/>
              <w:keepNext w:val="0"/>
              <w:keepLines/>
              <w:spacing w:after="40" w:before="40" w:line="252" w:lineRule="auto"/>
              <w:jc w:val="right"/>
            </w:pPr>
            <w:r>
              <w:rPr>
                <w:b w:val="0"/>
                <w:sz w:val="20"/>
              </w:rPr>
              <w:t xml:space="preserve">2026-11-20</w:t>
            </w:r>
          </w:p>
        </w:tc>
        <w:tc>
          <w:tcPr>
            <w:tcW w:type="dxa" w:w="2047"/>
            <w:vAlign w:val="center"/>
          </w:tcPr>
          <w:p>
            <w:pPr>
              <w:pStyle w:val="Compact"/>
              <w:keepNext w:val="0"/>
              <w:keepLines/>
              <w:spacing w:after="40" w:before="40" w:line="252" w:lineRule="auto"/>
              <w:jc w:val="right"/>
            </w:pPr>
            <w:r>
              <w:rPr>
                <w:b w:val="0"/>
                <w:sz w:val="20"/>
              </w:rPr>
              <w:t xml:space="preserve">0.4221</w:t>
            </w:r>
          </w:p>
        </w:tc>
        <w:tc>
          <w:tcPr>
            <w:tcW w:type="dxa" w:w="2047"/>
            <w:vAlign w:val="center"/>
          </w:tcPr>
          <w:p>
            <w:pPr>
              <w:pStyle w:val="Compact"/>
              <w:keepNext w:val="0"/>
              <w:keepLines/>
              <w:spacing w:after="40" w:before="40" w:line="252" w:lineRule="auto"/>
              <w:jc w:val="right"/>
            </w:pPr>
            <w:r>
              <w:rPr>
                <w:b w:val="0"/>
                <w:sz w:val="20"/>
              </w:rPr>
              <w:t xml:space="preserve">0.2530</w:t>
            </w:r>
          </w:p>
        </w:tc>
        <w:tc>
          <w:tcPr>
            <w:tcW w:type="dxa" w:w="2047"/>
            <w:vAlign w:val="center"/>
          </w:tcPr>
          <w:p>
            <w:pPr>
              <w:pStyle w:val="Compact"/>
              <w:keepNext w:val="0"/>
              <w:keepLines/>
              <w:spacing w:after="40" w:before="40" w:line="252" w:lineRule="auto"/>
              <w:jc w:val="right"/>
            </w:pPr>
            <w:r>
              <w:rPr>
                <w:b w:val="0"/>
                <w:sz w:val="20"/>
              </w:rPr>
              <w:t xml:space="preserve">0 / 0</w:t>
            </w:r>
          </w:p>
        </w:tc>
        <w:tc>
          <w:tcPr>
            <w:tcW w:type="dxa" w:w="2047"/>
            <w:vAlign w:val="center"/>
          </w:tcPr>
          <w:p>
            <w:pPr>
              <w:pStyle w:val="Compact"/>
              <w:keepNext w:val="0"/>
              <w:keepLines/>
              <w:spacing w:after="40" w:before="40" w:line="252" w:lineRule="auto"/>
              <w:jc w:val="right"/>
            </w:pPr>
            <w:r>
              <w:rPr>
                <w:b w:val="0"/>
                <w:sz w:val="20"/>
              </w:rPr>
              <w:t xml:space="preserve">2.06e-12</w:t>
            </w:r>
          </w:p>
        </w:tc>
      </w:tr>
      <w:tr>
        <w:trPr>
          <w:cantSplit/>
        </w:trPr>
        <w:tc>
          <w:tcPr>
            <w:tcW w:type="dxa" w:w="2047"/>
            <w:vAlign w:val="center"/>
          </w:tcPr>
          <w:p>
            <w:pPr>
              <w:pStyle w:val="Compact"/>
              <w:keepNext w:val="0"/>
              <w:keepLines/>
              <w:spacing w:after="40" w:before="40" w:line="252" w:lineRule="auto"/>
              <w:jc w:val="right"/>
            </w:pPr>
            <w:r>
              <w:rPr>
                <w:b w:val="0"/>
                <w:sz w:val="20"/>
              </w:rPr>
              <w:t xml:space="preserve">18 Sep · 15:15 CT</w:t>
            </w:r>
          </w:p>
        </w:tc>
        <w:tc>
          <w:tcPr>
            <w:tcW w:type="dxa" w:w="2047"/>
            <w:vAlign w:val="center"/>
          </w:tcPr>
          <w:p>
            <w:pPr>
              <w:pStyle w:val="Compact"/>
              <w:keepNext w:val="0"/>
              <w:keepLines/>
              <w:spacing w:after="40" w:before="40" w:line="252" w:lineRule="auto"/>
              <w:jc w:val="right"/>
            </w:pPr>
            <w:r>
              <w:rPr>
                <w:b w:val="0"/>
                <w:sz w:val="20"/>
              </w:rPr>
              <w:t xml:space="preserve">240-bin constrained</w:t>
            </w:r>
          </w:p>
        </w:tc>
        <w:tc>
          <w:tcPr>
            <w:tcW w:type="dxa" w:w="2047"/>
            <w:vAlign w:val="center"/>
          </w:tcPr>
          <w:p>
            <w:pPr>
              <w:pStyle w:val="Compact"/>
              <w:keepNext w:val="0"/>
              <w:keepLines/>
              <w:spacing w:after="40" w:before="40" w:line="252" w:lineRule="auto"/>
              <w:jc w:val="right"/>
            </w:pPr>
            <w:r>
              <w:rPr>
                <w:b w:val="0"/>
                <w:sz w:val="20"/>
              </w:rPr>
              <w:t xml:space="preserve">2026-12-18</w:t>
            </w:r>
          </w:p>
        </w:tc>
        <w:tc>
          <w:tcPr>
            <w:tcW w:type="dxa" w:w="2047"/>
            <w:vAlign w:val="center"/>
          </w:tcPr>
          <w:p>
            <w:pPr>
              <w:pStyle w:val="Compact"/>
              <w:keepNext w:val="0"/>
              <w:keepLines/>
              <w:spacing w:after="40" w:before="40" w:line="252" w:lineRule="auto"/>
              <w:jc w:val="right"/>
            </w:pPr>
            <w:r>
              <w:rPr>
                <w:b w:val="0"/>
                <w:sz w:val="20"/>
              </w:rPr>
              <w:t xml:space="preserve">0.4846</w:t>
            </w:r>
          </w:p>
        </w:tc>
        <w:tc>
          <w:tcPr>
            <w:tcW w:type="dxa" w:w="2047"/>
            <w:vAlign w:val="center"/>
          </w:tcPr>
          <w:p>
            <w:pPr>
              <w:pStyle w:val="Compact"/>
              <w:keepNext w:val="0"/>
              <w:keepLines/>
              <w:spacing w:after="40" w:before="40" w:line="252" w:lineRule="auto"/>
              <w:jc w:val="right"/>
            </w:pPr>
            <w:r>
              <w:rPr>
                <w:b w:val="0"/>
                <w:sz w:val="20"/>
              </w:rPr>
              <w:t xml:space="preserve">0.3167</w:t>
            </w:r>
          </w:p>
        </w:tc>
        <w:tc>
          <w:tcPr>
            <w:tcW w:type="dxa" w:w="2047"/>
            <w:vAlign w:val="center"/>
          </w:tcPr>
          <w:p>
            <w:pPr>
              <w:pStyle w:val="Compact"/>
              <w:keepNext w:val="0"/>
              <w:keepLines/>
              <w:spacing w:after="40" w:before="40" w:line="252" w:lineRule="auto"/>
              <w:jc w:val="right"/>
            </w:pPr>
            <w:r>
              <w:rPr>
                <w:b w:val="0"/>
                <w:sz w:val="20"/>
              </w:rPr>
              <w:t xml:space="preserve">0 / 0</w:t>
            </w:r>
          </w:p>
        </w:tc>
        <w:tc>
          <w:tcPr>
            <w:tcW w:type="dxa" w:w="2047"/>
            <w:vAlign w:val="center"/>
          </w:tcPr>
          <w:p>
            <w:pPr>
              <w:pStyle w:val="Compact"/>
              <w:keepNext w:val="0"/>
              <w:keepLines/>
              <w:spacing w:after="40" w:before="40" w:line="252" w:lineRule="auto"/>
              <w:jc w:val="right"/>
            </w:pPr>
            <w:r>
              <w:rPr>
                <w:b w:val="0"/>
                <w:sz w:val="20"/>
              </w:rPr>
              <w:t xml:space="preserve">2.33e-12</w:t>
            </w:r>
          </w:p>
        </w:tc>
      </w:tr>
      <w:tr>
        <w:trPr>
          <w:cantSplit/>
        </w:trPr>
        <w:tc>
          <w:tcPr>
            <w:tcW w:type="dxa" w:w="2047"/>
            <w:vAlign w:val="center"/>
          </w:tcPr>
          <w:p>
            <w:pPr>
              <w:pStyle w:val="Compact"/>
              <w:keepNext w:val="0"/>
              <w:keepLines/>
              <w:spacing w:after="40" w:before="40" w:line="252" w:lineRule="auto"/>
              <w:jc w:val="right"/>
            </w:pPr>
            <w:r>
              <w:rPr>
                <w:b w:val="0"/>
                <w:sz w:val="20"/>
              </w:rPr>
              <w:t xml:space="preserve">18 Sep · 15:00 CT</w:t>
            </w:r>
          </w:p>
        </w:tc>
        <w:tc>
          <w:tcPr>
            <w:tcW w:type="dxa" w:w="2047"/>
            <w:vAlign w:val="center"/>
          </w:tcPr>
          <w:p>
            <w:pPr>
              <w:pStyle w:val="Compact"/>
              <w:keepNext w:val="0"/>
              <w:keepLines/>
              <w:spacing w:after="40" w:before="40" w:line="252" w:lineRule="auto"/>
              <w:jc w:val="left"/>
            </w:pPr>
            <w:r>
              <w:rPr>
                <w:b w:val="0"/>
                <w:sz w:val="20"/>
              </w:rPr>
              <w:t xml:space="preserve">Notebook 9 primary</w:t>
            </w:r>
          </w:p>
        </w:tc>
        <w:tc>
          <w:tcPr>
            <w:tcW w:type="dxa" w:w="2047"/>
            <w:vAlign w:val="center"/>
          </w:tcPr>
          <w:p>
            <w:pPr>
              <w:pStyle w:val="Compact"/>
              <w:keepNext w:val="0"/>
              <w:keepLines/>
              <w:spacing w:after="40" w:before="40" w:line="252" w:lineRule="auto"/>
              <w:jc w:val="right"/>
            </w:pPr>
            <w:r>
              <w:rPr>
                <w:b w:val="0"/>
                <w:sz w:val="20"/>
              </w:rPr>
              <w:t xml:space="preserve">2026-10-16</w:t>
            </w:r>
          </w:p>
        </w:tc>
        <w:tc>
          <w:tcPr>
            <w:tcW w:type="dxa" w:w="2047"/>
            <w:vAlign w:val="center"/>
          </w:tcPr>
          <w:p>
            <w:pPr>
              <w:pStyle w:val="Compact"/>
              <w:keepNext w:val="0"/>
              <w:keepLines/>
              <w:spacing w:after="40" w:before="40" w:line="252" w:lineRule="auto"/>
              <w:jc w:val="right"/>
            </w:pPr>
            <w:r>
              <w:rPr>
                <w:b w:val="0"/>
                <w:sz w:val="20"/>
              </w:rPr>
              <w:t xml:space="preserve">0.8895</w:t>
            </w:r>
          </w:p>
        </w:tc>
        <w:tc>
          <w:tcPr>
            <w:tcW w:type="dxa" w:w="2047"/>
            <w:vAlign w:val="center"/>
          </w:tcPr>
          <w:p>
            <w:pPr>
              <w:pStyle w:val="Compact"/>
              <w:keepNext w:val="0"/>
              <w:keepLines/>
              <w:spacing w:after="40" w:before="40" w:line="252" w:lineRule="auto"/>
              <w:jc w:val="right"/>
            </w:pPr>
            <w:r>
              <w:rPr>
                <w:b w:val="0"/>
                <w:sz w:val="20"/>
              </w:rPr>
              <w:t xml:space="preserve">1.0036</w:t>
            </w:r>
          </w:p>
        </w:tc>
        <w:tc>
          <w:tcPr>
            <w:tcW w:type="dxa" w:w="2047"/>
            <w:vAlign w:val="center"/>
          </w:tcPr>
          <w:p>
            <w:pPr>
              <w:pStyle w:val="Compact"/>
              <w:keepNext w:val="0"/>
              <w:keepLines/>
              <w:spacing w:after="40" w:before="40" w:line="252" w:lineRule="auto"/>
              <w:jc w:val="right"/>
            </w:pPr>
            <w:r>
              <w:rPr>
                <w:b w:val="0"/>
                <w:sz w:val="20"/>
              </w:rPr>
              <w:t xml:space="preserve">100 / 236</w:t>
            </w:r>
          </w:p>
        </w:tc>
        <w:tc>
          <w:tcPr>
            <w:tcW w:type="dxa" w:w="2047"/>
            <w:vAlign w:val="center"/>
          </w:tcPr>
          <w:p>
            <w:pPr>
              <w:pStyle w:val="Compact"/>
              <w:keepNext w:val="0"/>
              <w:keepLines/>
              <w:spacing w:after="40" w:before="40" w:line="252" w:lineRule="auto"/>
              <w:jc w:val="right"/>
            </w:pPr>
            <w:r>
              <w:rPr>
                <w:b w:val="0"/>
                <w:sz w:val="20"/>
              </w:rPr>
              <w:t xml:space="preserve">1.866071</w:t>
            </w:r>
          </w:p>
        </w:tc>
      </w:tr>
      <w:tr>
        <w:trPr>
          <w:cantSplit/>
        </w:trPr>
        <w:tc>
          <w:tcPr>
            <w:tcW w:type="dxa" w:w="2047"/>
            <w:vAlign w:val="center"/>
          </w:tcPr>
          <w:p>
            <w:pPr>
              <w:pStyle w:val="Compact"/>
              <w:keepNext w:val="0"/>
              <w:keepLines/>
              <w:spacing w:after="40" w:before="40" w:line="252" w:lineRule="auto"/>
              <w:jc w:val="right"/>
            </w:pPr>
            <w:r>
              <w:rPr>
                <w:b w:val="0"/>
                <w:sz w:val="20"/>
              </w:rPr>
              <w:t xml:space="preserve">18 Sep · 15:00 CT</w:t>
            </w:r>
          </w:p>
        </w:tc>
        <w:tc>
          <w:tcPr>
            <w:tcW w:type="dxa" w:w="2047"/>
            <w:vAlign w:val="center"/>
          </w:tcPr>
          <w:p>
            <w:pPr>
              <w:pStyle w:val="Compact"/>
              <w:keepNext w:val="0"/>
              <w:keepLines/>
              <w:spacing w:after="40" w:before="40" w:line="252" w:lineRule="auto"/>
              <w:jc w:val="left"/>
            </w:pPr>
            <w:r>
              <w:rPr>
                <w:b w:val="0"/>
                <w:sz w:val="20"/>
              </w:rPr>
              <w:t xml:space="preserve">Notebook 9 primary</w:t>
            </w:r>
          </w:p>
        </w:tc>
        <w:tc>
          <w:tcPr>
            <w:tcW w:type="dxa" w:w="2047"/>
            <w:vAlign w:val="center"/>
          </w:tcPr>
          <w:p>
            <w:pPr>
              <w:pStyle w:val="Compact"/>
              <w:keepNext w:val="0"/>
              <w:keepLines/>
              <w:spacing w:after="40" w:before="40" w:line="252" w:lineRule="auto"/>
              <w:jc w:val="right"/>
            </w:pPr>
            <w:r>
              <w:rPr>
                <w:b w:val="0"/>
                <w:sz w:val="20"/>
              </w:rPr>
              <w:t xml:space="preserve">2026-11-20</w:t>
            </w:r>
          </w:p>
        </w:tc>
        <w:tc>
          <w:tcPr>
            <w:tcW w:type="dxa" w:w="2047"/>
            <w:vAlign w:val="center"/>
          </w:tcPr>
          <w:p>
            <w:pPr>
              <w:pStyle w:val="Compact"/>
              <w:keepNext w:val="0"/>
              <w:keepLines/>
              <w:spacing w:after="40" w:before="40" w:line="252" w:lineRule="auto"/>
              <w:jc w:val="right"/>
            </w:pPr>
            <w:r>
              <w:rPr>
                <w:b w:val="0"/>
                <w:sz w:val="20"/>
              </w:rPr>
              <w:t xml:space="preserve">0.4477</w:t>
            </w:r>
          </w:p>
        </w:tc>
        <w:tc>
          <w:tcPr>
            <w:tcW w:type="dxa" w:w="2047"/>
            <w:vAlign w:val="center"/>
          </w:tcPr>
          <w:p>
            <w:pPr>
              <w:pStyle w:val="Compact"/>
              <w:keepNext w:val="0"/>
              <w:keepLines/>
              <w:spacing w:after="40" w:before="40" w:line="252" w:lineRule="auto"/>
              <w:jc w:val="right"/>
            </w:pPr>
            <w:r>
              <w:rPr>
                <w:b w:val="0"/>
                <w:sz w:val="20"/>
              </w:rPr>
              <w:t xml:space="preserve">0.8228</w:t>
            </w:r>
          </w:p>
        </w:tc>
        <w:tc>
          <w:tcPr>
            <w:tcW w:type="dxa" w:w="2047"/>
            <w:vAlign w:val="center"/>
          </w:tcPr>
          <w:p>
            <w:pPr>
              <w:pStyle w:val="Compact"/>
              <w:keepNext w:val="0"/>
              <w:keepLines/>
              <w:spacing w:after="40" w:before="40" w:line="252" w:lineRule="auto"/>
              <w:jc w:val="right"/>
            </w:pPr>
            <w:r>
              <w:rPr>
                <w:b w:val="0"/>
                <w:sz w:val="20"/>
              </w:rPr>
              <w:t xml:space="preserve">36 / 145</w:t>
            </w:r>
          </w:p>
        </w:tc>
        <w:tc>
          <w:tcPr>
            <w:tcW w:type="dxa" w:w="2047"/>
            <w:vAlign w:val="center"/>
          </w:tcPr>
          <w:p>
            <w:pPr>
              <w:pStyle w:val="Compact"/>
              <w:keepNext w:val="0"/>
              <w:keepLines/>
              <w:spacing w:after="40" w:before="40" w:line="252" w:lineRule="auto"/>
              <w:jc w:val="right"/>
            </w:pPr>
            <w:r>
              <w:rPr>
                <w:b w:val="0"/>
                <w:sz w:val="20"/>
              </w:rPr>
              <w:t xml:space="preserve">1.368845</w:t>
            </w:r>
          </w:p>
        </w:tc>
      </w:tr>
      <w:tr>
        <w:trPr>
          <w:cantSplit/>
        </w:trPr>
        <w:tc>
          <w:tcPr>
            <w:tcW w:type="dxa" w:w="2047"/>
            <w:vAlign w:val="center"/>
          </w:tcPr>
          <w:p>
            <w:pPr>
              <w:pStyle w:val="Compact"/>
              <w:keepNext w:val="0"/>
              <w:keepLines/>
              <w:spacing w:after="40" w:before="40" w:line="252" w:lineRule="auto"/>
              <w:jc w:val="right"/>
            </w:pPr>
            <w:r>
              <w:rPr>
                <w:b w:val="0"/>
                <w:sz w:val="20"/>
              </w:rPr>
              <w:t xml:space="preserve">18 Sep · 15:00 CT</w:t>
            </w:r>
          </w:p>
        </w:tc>
        <w:tc>
          <w:tcPr>
            <w:tcW w:type="dxa" w:w="2047"/>
            <w:vAlign w:val="center"/>
          </w:tcPr>
          <w:p>
            <w:pPr>
              <w:pStyle w:val="Compact"/>
              <w:keepNext w:val="0"/>
              <w:keepLines/>
              <w:spacing w:after="40" w:before="40" w:line="252" w:lineRule="auto"/>
              <w:jc w:val="left"/>
            </w:pPr>
            <w:r>
              <w:rPr>
                <w:b w:val="0"/>
                <w:sz w:val="20"/>
              </w:rPr>
              <w:t xml:space="preserve">Notebook 9 primary</w:t>
            </w:r>
          </w:p>
        </w:tc>
        <w:tc>
          <w:tcPr>
            <w:tcW w:type="dxa" w:w="2047"/>
            <w:vAlign w:val="center"/>
          </w:tcPr>
          <w:p>
            <w:pPr>
              <w:pStyle w:val="Compact"/>
              <w:keepNext w:val="0"/>
              <w:keepLines/>
              <w:spacing w:after="40" w:before="40" w:line="252" w:lineRule="auto"/>
              <w:jc w:val="right"/>
            </w:pPr>
            <w:r>
              <w:rPr>
                <w:b w:val="0"/>
                <w:sz w:val="20"/>
              </w:rPr>
              <w:t xml:space="preserve">2026-12-18</w:t>
            </w:r>
          </w:p>
        </w:tc>
        <w:tc>
          <w:tcPr>
            <w:tcW w:type="dxa" w:w="2047"/>
            <w:vAlign w:val="center"/>
          </w:tcPr>
          <w:p>
            <w:pPr>
              <w:pStyle w:val="Compact"/>
              <w:keepNext w:val="0"/>
              <w:keepLines/>
              <w:spacing w:after="40" w:before="40" w:line="252" w:lineRule="auto"/>
              <w:jc w:val="right"/>
            </w:pPr>
            <w:r>
              <w:rPr>
                <w:b w:val="0"/>
                <w:sz w:val="20"/>
              </w:rPr>
              <w:t xml:space="preserve">0.3323</w:t>
            </w:r>
          </w:p>
        </w:tc>
        <w:tc>
          <w:tcPr>
            <w:tcW w:type="dxa" w:w="2047"/>
            <w:vAlign w:val="center"/>
          </w:tcPr>
          <w:p>
            <w:pPr>
              <w:pStyle w:val="Compact"/>
              <w:keepNext w:val="0"/>
              <w:keepLines/>
              <w:spacing w:after="40" w:before="40" w:line="252" w:lineRule="auto"/>
              <w:jc w:val="right"/>
            </w:pPr>
            <w:r>
              <w:rPr>
                <w:b w:val="0"/>
                <w:sz w:val="20"/>
              </w:rPr>
              <w:t xml:space="preserve">0.7146</w:t>
            </w:r>
          </w:p>
        </w:tc>
        <w:tc>
          <w:tcPr>
            <w:tcW w:type="dxa" w:w="2047"/>
            <w:vAlign w:val="center"/>
          </w:tcPr>
          <w:p>
            <w:pPr>
              <w:pStyle w:val="Compact"/>
              <w:keepNext w:val="0"/>
              <w:keepLines/>
              <w:spacing w:after="40" w:before="40" w:line="252" w:lineRule="auto"/>
              <w:jc w:val="right"/>
            </w:pPr>
            <w:r>
              <w:rPr>
                <w:b w:val="0"/>
                <w:sz w:val="20"/>
              </w:rPr>
              <w:t xml:space="preserve">6 / 127</w:t>
            </w:r>
          </w:p>
        </w:tc>
        <w:tc>
          <w:tcPr>
            <w:tcW w:type="dxa" w:w="2047"/>
            <w:vAlign w:val="center"/>
          </w:tcPr>
          <w:p>
            <w:pPr>
              <w:pStyle w:val="Compact"/>
              <w:keepNext w:val="0"/>
              <w:keepLines/>
              <w:spacing w:after="40" w:before="40" w:line="252" w:lineRule="auto"/>
              <w:jc w:val="right"/>
            </w:pPr>
            <w:r>
              <w:rPr>
                <w:b w:val="0"/>
                <w:sz w:val="20"/>
              </w:rPr>
              <w:t xml:space="preserve">0.630488</w:t>
            </w:r>
          </w:p>
        </w:tc>
      </w:tr>
      <w:tr>
        <w:trPr>
          <w:cantSplit/>
        </w:trPr>
        <w:tc>
          <w:tcPr>
            <w:tcW w:type="dxa" w:w="2047"/>
            <w:vAlign w:val="center"/>
          </w:tcPr>
          <w:p>
            <w:pPr>
              <w:pStyle w:val="Compact"/>
              <w:keepNext w:val="0"/>
              <w:keepLines/>
              <w:spacing w:after="40" w:before="40" w:line="252" w:lineRule="auto"/>
              <w:jc w:val="right"/>
            </w:pPr>
            <w:r>
              <w:rPr>
                <w:b w:val="0"/>
                <w:sz w:val="20"/>
              </w:rPr>
              <w:t xml:space="preserve">18 Sep · 15:00 CT</w:t>
            </w:r>
          </w:p>
        </w:tc>
        <w:tc>
          <w:tcPr>
            <w:tcW w:type="dxa" w:w="2047"/>
            <w:vAlign w:val="center"/>
          </w:tcPr>
          <w:p>
            <w:pPr>
              <w:pStyle w:val="Compact"/>
              <w:keepNext w:val="0"/>
              <w:keepLines/>
              <w:spacing w:after="40" w:before="40" w:line="252" w:lineRule="auto"/>
              <w:jc w:val="right"/>
            </w:pPr>
            <w:r>
              <w:rPr>
                <w:b w:val="0"/>
                <w:sz w:val="20"/>
              </w:rPr>
              <w:t xml:space="preserve">120-bin constrained</w:t>
            </w:r>
          </w:p>
        </w:tc>
        <w:tc>
          <w:tcPr>
            <w:tcW w:type="dxa" w:w="2047"/>
            <w:vAlign w:val="center"/>
          </w:tcPr>
          <w:p>
            <w:pPr>
              <w:pStyle w:val="Compact"/>
              <w:keepNext w:val="0"/>
              <w:keepLines/>
              <w:spacing w:after="40" w:before="40" w:line="252" w:lineRule="auto"/>
              <w:jc w:val="right"/>
            </w:pPr>
            <w:r>
              <w:rPr>
                <w:b w:val="0"/>
                <w:sz w:val="20"/>
              </w:rPr>
              <w:t xml:space="preserve">2026-10-16</w:t>
            </w:r>
          </w:p>
        </w:tc>
        <w:tc>
          <w:tcPr>
            <w:tcW w:type="dxa" w:w="2047"/>
            <w:vAlign w:val="center"/>
          </w:tcPr>
          <w:p>
            <w:pPr>
              <w:pStyle w:val="Compact"/>
              <w:keepNext w:val="0"/>
              <w:keepLines/>
              <w:spacing w:after="40" w:before="40" w:line="252" w:lineRule="auto"/>
              <w:jc w:val="right"/>
            </w:pPr>
            <w:r>
              <w:rPr>
                <w:b w:val="0"/>
                <w:sz w:val="20"/>
              </w:rPr>
              <w:t xml:space="preserve">0.7915</w:t>
            </w:r>
          </w:p>
        </w:tc>
        <w:tc>
          <w:tcPr>
            <w:tcW w:type="dxa" w:w="2047"/>
            <w:vAlign w:val="center"/>
          </w:tcPr>
          <w:p>
            <w:pPr>
              <w:pStyle w:val="Compact"/>
              <w:keepNext w:val="0"/>
              <w:keepLines/>
              <w:spacing w:after="40" w:before="40" w:line="252" w:lineRule="auto"/>
              <w:jc w:val="right"/>
            </w:pPr>
            <w:r>
              <w:rPr>
                <w:b w:val="0"/>
                <w:sz w:val="20"/>
              </w:rPr>
              <w:t xml:space="preserve">0.5688</w:t>
            </w:r>
          </w:p>
        </w:tc>
        <w:tc>
          <w:tcPr>
            <w:tcW w:type="dxa" w:w="2047"/>
            <w:vAlign w:val="center"/>
          </w:tcPr>
          <w:p>
            <w:pPr>
              <w:pStyle w:val="Compact"/>
              <w:keepNext w:val="0"/>
              <w:keepLines/>
              <w:spacing w:after="40" w:before="40" w:line="252" w:lineRule="auto"/>
              <w:jc w:val="right"/>
            </w:pPr>
            <w:r>
              <w:rPr>
                <w:b w:val="0"/>
                <w:sz w:val="20"/>
              </w:rPr>
              <w:t xml:space="preserve">0 / 0</w:t>
            </w:r>
          </w:p>
        </w:tc>
        <w:tc>
          <w:tcPr>
            <w:tcW w:type="dxa" w:w="2047"/>
            <w:vAlign w:val="center"/>
          </w:tcPr>
          <w:p>
            <w:pPr>
              <w:pStyle w:val="Compact"/>
              <w:keepNext w:val="0"/>
              <w:keepLines/>
              <w:spacing w:after="40" w:before="40" w:line="252" w:lineRule="auto"/>
              <w:jc w:val="right"/>
            </w:pPr>
            <w:r>
              <w:rPr>
                <w:b w:val="0"/>
                <w:sz w:val="20"/>
              </w:rPr>
              <w:t xml:space="preserve">0.000000</w:t>
            </w:r>
          </w:p>
        </w:tc>
      </w:tr>
      <w:tr>
        <w:trPr>
          <w:cantSplit/>
        </w:trPr>
        <w:tc>
          <w:tcPr>
            <w:tcW w:type="dxa" w:w="2047"/>
            <w:vAlign w:val="center"/>
          </w:tcPr>
          <w:p>
            <w:pPr>
              <w:pStyle w:val="Compact"/>
              <w:keepNext w:val="0"/>
              <w:keepLines/>
              <w:spacing w:after="40" w:before="40" w:line="252" w:lineRule="auto"/>
              <w:jc w:val="right"/>
            </w:pPr>
            <w:r>
              <w:rPr>
                <w:b w:val="0"/>
                <w:sz w:val="20"/>
              </w:rPr>
              <w:t xml:space="preserve">18 Sep · 15:00 CT</w:t>
            </w:r>
          </w:p>
        </w:tc>
        <w:tc>
          <w:tcPr>
            <w:tcW w:type="dxa" w:w="2047"/>
            <w:vAlign w:val="center"/>
          </w:tcPr>
          <w:p>
            <w:pPr>
              <w:pStyle w:val="Compact"/>
              <w:keepNext w:val="0"/>
              <w:keepLines/>
              <w:spacing w:after="40" w:before="40" w:line="252" w:lineRule="auto"/>
              <w:jc w:val="right"/>
            </w:pPr>
            <w:r>
              <w:rPr>
                <w:b w:val="0"/>
                <w:sz w:val="20"/>
              </w:rPr>
              <w:t xml:space="preserve">120-bin constrained</w:t>
            </w:r>
          </w:p>
        </w:tc>
        <w:tc>
          <w:tcPr>
            <w:tcW w:type="dxa" w:w="2047"/>
            <w:vAlign w:val="center"/>
          </w:tcPr>
          <w:p>
            <w:pPr>
              <w:pStyle w:val="Compact"/>
              <w:keepNext w:val="0"/>
              <w:keepLines/>
              <w:spacing w:after="40" w:before="40" w:line="252" w:lineRule="auto"/>
              <w:jc w:val="right"/>
            </w:pPr>
            <w:r>
              <w:rPr>
                <w:b w:val="0"/>
                <w:sz w:val="20"/>
              </w:rPr>
              <w:t xml:space="preserve">2026-11-20</w:t>
            </w:r>
          </w:p>
        </w:tc>
        <w:tc>
          <w:tcPr>
            <w:tcW w:type="dxa" w:w="2047"/>
            <w:vAlign w:val="center"/>
          </w:tcPr>
          <w:p>
            <w:pPr>
              <w:pStyle w:val="Compact"/>
              <w:keepNext w:val="0"/>
              <w:keepLines/>
              <w:spacing w:after="40" w:before="40" w:line="252" w:lineRule="auto"/>
              <w:jc w:val="right"/>
            </w:pPr>
            <w:r>
              <w:rPr>
                <w:b w:val="0"/>
                <w:sz w:val="20"/>
              </w:rPr>
              <w:t xml:space="preserve">0.7661</w:t>
            </w:r>
          </w:p>
        </w:tc>
        <w:tc>
          <w:tcPr>
            <w:tcW w:type="dxa" w:w="2047"/>
            <w:vAlign w:val="center"/>
          </w:tcPr>
          <w:p>
            <w:pPr>
              <w:pStyle w:val="Compact"/>
              <w:keepNext w:val="0"/>
              <w:keepLines/>
              <w:spacing w:after="40" w:before="40" w:line="252" w:lineRule="auto"/>
              <w:jc w:val="right"/>
            </w:pPr>
            <w:r>
              <w:rPr>
                <w:b w:val="0"/>
                <w:sz w:val="20"/>
              </w:rPr>
              <w:t xml:space="preserve">0.6341</w:t>
            </w:r>
          </w:p>
        </w:tc>
        <w:tc>
          <w:tcPr>
            <w:tcW w:type="dxa" w:w="2047"/>
            <w:vAlign w:val="center"/>
          </w:tcPr>
          <w:p>
            <w:pPr>
              <w:pStyle w:val="Compact"/>
              <w:keepNext w:val="0"/>
              <w:keepLines/>
              <w:spacing w:after="40" w:before="40" w:line="252" w:lineRule="auto"/>
              <w:jc w:val="right"/>
            </w:pPr>
            <w:r>
              <w:rPr>
                <w:b w:val="0"/>
                <w:sz w:val="20"/>
              </w:rPr>
              <w:t xml:space="preserve">0 / 0</w:t>
            </w:r>
          </w:p>
        </w:tc>
        <w:tc>
          <w:tcPr>
            <w:tcW w:type="dxa" w:w="2047"/>
            <w:vAlign w:val="center"/>
          </w:tcPr>
          <w:p>
            <w:pPr>
              <w:pStyle w:val="Compact"/>
              <w:keepNext w:val="0"/>
              <w:keepLines/>
              <w:spacing w:after="40" w:before="40" w:line="252" w:lineRule="auto"/>
              <w:jc w:val="right"/>
            </w:pPr>
            <w:r>
              <w:rPr>
                <w:b w:val="0"/>
                <w:sz w:val="20"/>
              </w:rPr>
              <w:t xml:space="preserve">0.000000</w:t>
            </w:r>
          </w:p>
        </w:tc>
      </w:tr>
      <w:tr>
        <w:trPr>
          <w:cantSplit/>
        </w:trPr>
        <w:tc>
          <w:tcPr>
            <w:tcW w:type="dxa" w:w="2047"/>
            <w:vAlign w:val="center"/>
          </w:tcPr>
          <w:p>
            <w:pPr>
              <w:pStyle w:val="Compact"/>
              <w:keepNext/>
              <w:keepLines/>
              <w:spacing w:after="40" w:before="40" w:line="252" w:lineRule="auto"/>
              <w:jc w:val="right"/>
            </w:pPr>
            <w:r>
              <w:rPr>
                <w:b w:val="0"/>
                <w:sz w:val="20"/>
              </w:rPr>
              <w:t xml:space="preserve">18 Sep · 15:00 CT</w:t>
            </w:r>
          </w:p>
        </w:tc>
        <w:tc>
          <w:tcPr>
            <w:tcW w:type="dxa" w:w="2047"/>
            <w:vAlign w:val="center"/>
          </w:tcPr>
          <w:p>
            <w:pPr>
              <w:pStyle w:val="Compact"/>
              <w:keepNext/>
              <w:keepLines/>
              <w:spacing w:after="40" w:before="40" w:line="252" w:lineRule="auto"/>
              <w:jc w:val="right"/>
            </w:pPr>
            <w:r>
              <w:rPr>
                <w:b w:val="0"/>
                <w:sz w:val="20"/>
              </w:rPr>
              <w:t xml:space="preserve">120-bin constrained</w:t>
            </w:r>
          </w:p>
        </w:tc>
        <w:tc>
          <w:tcPr>
            <w:tcW w:type="dxa" w:w="2047"/>
            <w:vAlign w:val="center"/>
          </w:tcPr>
          <w:p>
            <w:pPr>
              <w:pStyle w:val="Compact"/>
              <w:keepNext/>
              <w:keepLines/>
              <w:spacing w:after="40" w:before="40" w:line="252" w:lineRule="auto"/>
              <w:jc w:val="right"/>
            </w:pPr>
            <w:r>
              <w:rPr>
                <w:b w:val="0"/>
                <w:sz w:val="20"/>
              </w:rPr>
              <w:t xml:space="preserve">2026-12-18</w:t>
            </w:r>
          </w:p>
        </w:tc>
        <w:tc>
          <w:tcPr>
            <w:tcW w:type="dxa" w:w="2047"/>
            <w:vAlign w:val="center"/>
          </w:tcPr>
          <w:p>
            <w:pPr>
              <w:pStyle w:val="Compact"/>
              <w:keepNext/>
              <w:keepLines/>
              <w:spacing w:after="40" w:before="40" w:line="252" w:lineRule="auto"/>
              <w:jc w:val="right"/>
            </w:pPr>
            <w:r>
              <w:rPr>
                <w:b w:val="0"/>
                <w:sz w:val="20"/>
              </w:rPr>
              <w:t xml:space="preserve">0.7191</w:t>
            </w:r>
          </w:p>
        </w:tc>
        <w:tc>
          <w:tcPr>
            <w:tcW w:type="dxa" w:w="2047"/>
            <w:vAlign w:val="center"/>
          </w:tcPr>
          <w:p>
            <w:pPr>
              <w:pStyle w:val="Compact"/>
              <w:keepNext/>
              <w:keepLines/>
              <w:spacing w:after="40" w:before="40" w:line="252" w:lineRule="auto"/>
              <w:jc w:val="right"/>
            </w:pPr>
            <w:r>
              <w:rPr>
                <w:b w:val="0"/>
                <w:sz w:val="20"/>
              </w:rPr>
              <w:t xml:space="preserve">0.5289</w:t>
            </w:r>
          </w:p>
        </w:tc>
        <w:tc>
          <w:tcPr>
            <w:tcW w:type="dxa" w:w="2047"/>
            <w:vAlign w:val="center"/>
          </w:tcPr>
          <w:p>
            <w:pPr>
              <w:pStyle w:val="Compact"/>
              <w:keepNext/>
              <w:keepLines/>
              <w:spacing w:after="40" w:before="40" w:line="252" w:lineRule="auto"/>
              <w:jc w:val="right"/>
            </w:pPr>
            <w:r>
              <w:rPr>
                <w:b w:val="0"/>
                <w:sz w:val="20"/>
              </w:rPr>
              <w:t xml:space="preserve">0 / 0</w:t>
            </w:r>
          </w:p>
        </w:tc>
        <w:tc>
          <w:tcPr>
            <w:tcW w:type="dxa" w:w="2047"/>
            <w:vAlign w:val="center"/>
          </w:tcPr>
          <w:p>
            <w:pPr>
              <w:pStyle w:val="Compact"/>
              <w:keepNext/>
              <w:keepLines/>
              <w:spacing w:after="40" w:before="40" w:line="252" w:lineRule="auto"/>
              <w:jc w:val="right"/>
            </w:pPr>
            <w:r>
              <w:rPr>
                <w:b w:val="0"/>
                <w:sz w:val="20"/>
              </w:rPr>
              <w:t xml:space="preserve">0.000000</w:t>
            </w:r>
          </w:p>
        </w:tc>
      </w:tr>
    </w:tbl>
    <w:p>
      <w:bookmarkStart w:id="650" w:name="table33"/>
      <w:pPr>
        <w:pStyle w:val="TableCaption"/>
      </w:pPr>
      <w:r>
        <w:t xml:space="preserve">Table 33. Original call/put spread diagnostics and midpoint RMSE. The September 120-bin control changes the criterion while retaining the first empirical study’s bin count. The 240-bin comparison changes both criterion and resolution. All counts use the stated</w:t>
      </w:r>
      <w:r>
        <w:t xml:space="preserve"> </w:t>
      </w:r>
      <m:oMath>
        <m:sSup>
          <m:e>
            <m:r>
              <m:t>10</m:t>
            </m:r>
          </m:e>
          <m:sup>
            <m:r>
              <m:rPr>
                <m:sty m:val="p"/>
              </m:rPr>
              <m:t>−</m:t>
            </m:r>
            <m:r>
              <m:t>7</m:t>
            </m:r>
          </m:sup>
        </m:sSup>
      </m:oMath>
      <w:r>
        <w:t xml:space="preserve">-point tolerance.</w:t>
      </w:r>
      <w:bookmarkEnd w:id="650"/>
    </w:p>
    <w:p>
      <w:pPr>
        <w:sectPr>
          <w:type w:val="nextPage"/>
          <w:pgSz w:w="16838" w:h="11906" w:orient="landscape"/>
          <w:pgMar w:top="1008" w:bottom="1008" w:left="1152" w:right="1152" w:header="432" w:footer="432" w:gutter="0"/>
          <w:pgNumType w:fmt="decimal"/>
        </w:sectPr>
        <w:spacing w:before="0" w:after="0" w:line="1" w:lineRule="exact"/>
      </w:pPr>
      <w:r>
        <w:rPr>
          <w:sz w:val="2"/>
        </w:rPr>
      </w:r>
    </w:p>
    <w:p>
      <w:pPr>
        <w:pStyle w:val="BodyText"/>
        <w:keepNext/>
        <w:spacing w:after="40"/>
        <w:jc w:val="center"/>
      </w:pPr>
      <w:r>
        <w:drawing>
          <wp:inline>
            <wp:extent cx="5334000" cy="3111500"/>
            <wp:effectExtent b="0" l="0" r="0" t="0"/>
            <wp:docPr descr="Original call/put spread residuals before and after hard-bound fitting" title="" id="149" name="Picture"/>
            <a:graphic>
              <a:graphicData uri="http://schemas.openxmlformats.org/drawingml/2006/picture">
                <pic:pic>
                  <pic:nvPicPr>
                    <pic:cNvPr descr="/workspace/scratch/62b9274b9d7e/spx-density-research/figures/figure_29_original_spread_comparison.png" id="150" name="Picture"/>
                    <pic:cNvPicPr>
                      <a:picLocks noChangeArrowheads="1" noChangeAspect="1"/>
                    </pic:cNvPicPr>
                  </pic:nvPicPr>
                  <pic:blipFill>
                    <a:blip r:embed="rId148"/>
                    <a:stretch>
                      <a:fillRect/>
                    </a:stretch>
                  </pic:blipFill>
                  <pic:spPr bwMode="auto">
                    <a:xfrm>
                      <a:off x="0" y="0"/>
                      <a:ext cx="5334000" cy="3111500"/>
                    </a:xfrm>
                    <a:prstGeom prst="rect">
                      <a:avLst/>
                    </a:prstGeom>
                    <a:noFill/>
                    <a:ln w="9525">
                      <a:noFill/>
                      <a:headEnd/>
                      <a:tailEnd/>
                    </a:ln>
                  </pic:spPr>
                </pic:pic>
              </a:graphicData>
            </a:graphic>
          </wp:inline>
        </w:drawing>
      </w:r>
    </w:p>
    <w:p>
      <w:bookmarkStart w:id="651" w:name="figure29"/>
      <w:pPr>
        <w:pStyle w:val="FigureCaption"/>
      </w:pPr>
      <w:r>
        <w:t xml:space="preserve">Figure 29. Standard September snapshot: the first empirical study’s selected 120-bin midpoint fit above, and the new 240-bin original-spread fit below. Shading spans the quoted bid–ask interval in half-spread units. The upper and lower rows have different vertical scales, and all residuals are displayed. The 120-bin hard-bound control also has zero counted spread misses; the September improvement therefore does not require the finer grid.</w:t>
      </w:r>
      <w:bookmarkEnd w:id="651"/>
    </w:p>
    <w:p>
      <w:pPr>
        <w:sectPr>
          <w:type w:val="nextPage"/>
          <w:pgSz w:w="16838" w:h="11906" w:orient="landscape"/>
          <w:pgMar w:top="1008" w:bottom="1008" w:left="1152" w:right="1152" w:header="432" w:footer="432" w:gutter="0"/>
          <w:pgNumType w:fmt="decimal"/>
        </w:sectPr>
        <w:spacing w:before="0" w:after="0" w:line="1" w:lineRule="exact"/>
      </w:pPr>
      <w:r>
        <w:rPr>
          <w:sz w:val="2"/>
        </w:rPr>
      </w:r>
    </w:p>
    <w:p>
      <w:pPr>
        <w:pStyle w:val="BodyText"/>
      </w:pPr>
      <w:r>
        <w:t xml:space="preserve">All 5,518 original option intervals across the three primary snapshots have zero counted misses at the stated tolerance. The September 120-bin hard-bound control also achieves zero, showing that its improvement does not require increased resolution. Across the wider run, sixteen of eighteen attempted QP cases are accepted, giving forty-eight marginal fits. The late 120-bin case is blocked by grid feasibility, and one late validation fold remains numerically unresolved.</w:t>
      </w:r>
    </w:p>
    <w:bookmarkEnd w:id="151"/>
    <w:bookmarkStart w:id="152" w:name="held-out-pairs-and-the-unresolved-fold"/>
    <w:p>
      <w:bookmarkStart w:id="652" w:name="h40"/>
      <w:pPr>
        <w:pStyle w:val="Heading2"/>
        <w:numPr>
          <w:ilvl w:val="1"/>
          <w:numId w:val="70"/>
        </w:numPr>
      </w:pPr>
      <w:bookmarkEnd w:id="652"/>
      <w:r>
        <w:t>Held-out pairs and the unresolved fold</w:t>
      </w:r>
    </w:p>
    <w:p>
      <w:pPr>
        <w:pStyle w:val="FirstParagraph"/>
      </w:pPr>
      <w:r>
        <w:t xml:space="preserve">Whole call–put pairs are withheld at interlaced interior strikes. Carry is recomputed using training pairs only. As Cawley and Talbot discuss [17], evaluation after inspected design choices must be described carefully: these are descriptive interpolation checks, not blind evidence of future-date performance.</w:t>
      </w:r>
    </w:p>
    <w:p>
      <w:pPr>
        <w:sectPr>
          <w:type w:val="nextPage"/>
          <w:pgSz w:w="11906" w:h="16838" w:orient="portrait"/>
          <w:pgMar w:top="1008" w:bottom="1008" w:left="1152" w:right="1152" w:header="432" w:footer="432" w:gutter="0"/>
          <w:pgNumType w:fmt="decimal"/>
        </w:sectPr>
        <w:spacing w:before="0" w:after="0" w:line="1" w:lineRule="exact"/>
      </w:pPr>
      <w:r>
        <w:rPr>
          <w:sz w:val="2"/>
        </w:rPr>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047"/>
        <w:gridCol w:w="2047"/>
        <w:gridCol w:w="2047"/>
        <w:gridCol w:w="2047"/>
        <w:gridCol w:w="2047"/>
        <w:gridCol w:w="2047"/>
        <w:gridCol w:w="2047"/>
      </w:tblGrid>
      <w:tr>
        <w:trPr>
          <w:tblHeader w:val="true"/>
          <w:cantSplit/>
          <w:tblHeader/>
        </w:trPr>
        <w:tc>
          <w:tcPr>
            <w:tcW w:type="dxa" w:w="2047"/>
            <w:vAlign w:val="center"/>
            <w:shd w:fill="E9EEF3"/>
          </w:tcPr>
          <w:p>
            <w:pPr>
              <w:pStyle w:val="Compact"/>
              <w:keepNext/>
              <w:keepLines/>
              <w:spacing w:after="40" w:before="40" w:line="252" w:lineRule="auto"/>
              <w:jc w:val="left"/>
            </w:pPr>
            <w:r>
              <w:rPr>
                <w:b/>
                <w:sz w:val="20"/>
              </w:rPr>
              <w:t xml:space="preserve">Snapshot</w:t>
            </w:r>
          </w:p>
        </w:tc>
        <w:tc>
          <w:tcPr>
            <w:tcW w:type="dxa" w:w="2047"/>
            <w:vAlign w:val="center"/>
            <w:shd w:fill="E9EEF3"/>
          </w:tcPr>
          <w:p>
            <w:pPr>
              <w:pStyle w:val="Compact"/>
              <w:keepNext/>
              <w:keepLines/>
              <w:spacing w:after="40" w:before="40" w:line="252" w:lineRule="auto"/>
              <w:jc w:val="left"/>
            </w:pPr>
            <w:r>
              <w:rPr>
                <w:b/>
                <w:sz w:val="20"/>
              </w:rPr>
              <w:t xml:space="preserve">Solved folds</w:t>
            </w:r>
          </w:p>
        </w:tc>
        <w:tc>
          <w:tcPr>
            <w:tcW w:type="dxa" w:w="2047"/>
            <w:vAlign w:val="center"/>
            <w:shd w:fill="E9EEF3"/>
          </w:tcPr>
          <w:p>
            <w:pPr>
              <w:pStyle w:val="Compact"/>
              <w:keepNext/>
              <w:keepLines/>
              <w:spacing w:after="40" w:before="40" w:line="252" w:lineRule="auto"/>
              <w:jc w:val="left"/>
            </w:pPr>
            <w:r>
              <w:rPr>
                <w:b/>
                <w:sz w:val="20"/>
              </w:rPr>
              <w:t xml:space="preserve">Evaluated quotes</w:t>
            </w:r>
          </w:p>
        </w:tc>
        <w:tc>
          <w:tcPr>
            <w:tcW w:type="dxa" w:w="2047"/>
            <w:vAlign w:val="center"/>
            <w:shd w:fill="E9EEF3"/>
          </w:tcPr>
          <w:p>
            <w:pPr>
              <w:pStyle w:val="Compact"/>
              <w:keepNext/>
              <w:keepLines/>
              <w:spacing w:after="40" w:before="40" w:line="252" w:lineRule="auto"/>
              <w:jc w:val="left"/>
            </w:pPr>
            <w:r>
              <w:rPr>
                <w:b/>
                <w:sz w:val="20"/>
              </w:rPr>
              <w:t xml:space="preserve">Outside spreads</w:t>
            </w:r>
          </w:p>
        </w:tc>
        <w:tc>
          <w:tcPr>
            <w:tcW w:type="dxa" w:w="2047"/>
            <w:vAlign w:val="center"/>
            <w:shd w:fill="E9EEF3"/>
          </w:tcPr>
          <w:p>
            <w:pPr>
              <w:pStyle w:val="Compact"/>
              <w:keepNext/>
              <w:keepLines/>
              <w:spacing w:after="40" w:before="40" w:line="252" w:lineRule="auto"/>
              <w:jc w:val="left"/>
            </w:pPr>
            <w:r>
              <w:rPr>
                <w:b/>
                <w:sz w:val="20"/>
              </w:rPr>
              <w:t xml:space="preserve">Outside (%)</w:t>
            </w:r>
          </w:p>
        </w:tc>
        <w:tc>
          <w:tcPr>
            <w:tcW w:type="dxa" w:w="2047"/>
            <w:vAlign w:val="center"/>
            <w:shd w:fill="E9EEF3"/>
          </w:tcPr>
          <w:p>
            <w:pPr>
              <w:pStyle w:val="Compact"/>
              <w:keepNext/>
              <w:keepLines/>
              <w:spacing w:after="40" w:before="40" w:line="252" w:lineRule="auto"/>
              <w:jc w:val="left"/>
            </w:pPr>
            <w:r>
              <w:rPr>
                <w:b/>
                <w:sz w:val="20"/>
              </w:rPr>
              <w:t xml:space="preserve">Largest miss (points)</w:t>
            </w:r>
          </w:p>
        </w:tc>
        <w:tc>
          <w:tcPr>
            <w:tcW w:type="dxa" w:w="2047"/>
            <w:vAlign w:val="center"/>
            <w:shd w:fill="E9EEF3"/>
          </w:tcPr>
          <w:p>
            <w:pPr>
              <w:pStyle w:val="Compact"/>
              <w:keepNext/>
              <w:keepLines/>
              <w:spacing w:after="40" w:before="40" w:line="252" w:lineRule="auto"/>
              <w:jc w:val="left"/>
            </w:pPr>
            <w:r>
              <w:rPr>
                <w:b/>
                <w:sz w:val="20"/>
              </w:rPr>
              <w:t xml:space="preserve">Pooled normalised MSE</w:t>
            </w:r>
          </w:p>
        </w:tc>
      </w:tr>
      <w:tr>
        <w:trPr>
          <w:cantSplit/>
        </w:trPr>
        <w:tc>
          <w:tcPr>
            <w:tcW w:type="dxa" w:w="2047"/>
            <w:vAlign w:val="center"/>
          </w:tcPr>
          <w:p>
            <w:pPr>
              <w:pStyle w:val="Compact"/>
              <w:keepNext/>
              <w:keepLines/>
              <w:spacing w:after="40" w:before="40" w:line="252" w:lineRule="auto"/>
              <w:jc w:val="right"/>
            </w:pPr>
            <w:r>
              <w:rPr>
                <w:b w:val="0"/>
                <w:sz w:val="20"/>
              </w:rPr>
              <w:t xml:space="preserve">31 Aug · 15:00 CT</w:t>
            </w:r>
          </w:p>
        </w:tc>
        <w:tc>
          <w:tcPr>
            <w:tcW w:type="dxa" w:w="2047"/>
            <w:vAlign w:val="center"/>
          </w:tcPr>
          <w:p>
            <w:pPr>
              <w:pStyle w:val="Compact"/>
              <w:keepNext/>
              <w:keepLines/>
              <w:spacing w:after="40" w:before="40" w:line="252" w:lineRule="auto"/>
              <w:jc w:val="right"/>
            </w:pPr>
            <w:r>
              <w:rPr>
                <w:b w:val="0"/>
                <w:sz w:val="20"/>
              </w:rPr>
              <w:t xml:space="preserve">3 / 3</w:t>
            </w:r>
          </w:p>
        </w:tc>
        <w:tc>
          <w:tcPr>
            <w:tcW w:type="dxa" w:w="2047"/>
            <w:vAlign w:val="center"/>
          </w:tcPr>
          <w:p>
            <w:pPr>
              <w:pStyle w:val="Compact"/>
              <w:keepNext/>
              <w:keepLines/>
              <w:spacing w:after="40" w:before="40" w:line="252" w:lineRule="auto"/>
              <w:jc w:val="right"/>
            </w:pPr>
            <w:r>
              <w:rPr>
                <w:b w:val="0"/>
                <w:sz w:val="20"/>
              </w:rPr>
              <w:t xml:space="preserve">1668</w:t>
            </w:r>
          </w:p>
        </w:tc>
        <w:tc>
          <w:tcPr>
            <w:tcW w:type="dxa" w:w="2047"/>
            <w:vAlign w:val="center"/>
          </w:tcPr>
          <w:p>
            <w:pPr>
              <w:pStyle w:val="Compact"/>
              <w:keepNext/>
              <w:keepLines/>
              <w:spacing w:after="40" w:before="40" w:line="252" w:lineRule="auto"/>
              <w:jc w:val="right"/>
            </w:pPr>
            <w:r>
              <w:rPr>
                <w:b w:val="0"/>
                <w:sz w:val="20"/>
              </w:rPr>
              <w:t xml:space="preserve">40</w:t>
            </w:r>
          </w:p>
        </w:tc>
        <w:tc>
          <w:tcPr>
            <w:tcW w:type="dxa" w:w="2047"/>
            <w:vAlign w:val="center"/>
          </w:tcPr>
          <w:p>
            <w:pPr>
              <w:pStyle w:val="Compact"/>
              <w:keepNext/>
              <w:keepLines/>
              <w:spacing w:after="40" w:before="40" w:line="252" w:lineRule="auto"/>
              <w:jc w:val="right"/>
            </w:pPr>
            <w:r>
              <w:rPr>
                <w:b w:val="0"/>
                <w:sz w:val="20"/>
              </w:rPr>
              <w:t xml:space="preserve">2.398</w:t>
            </w:r>
          </w:p>
        </w:tc>
        <w:tc>
          <w:tcPr>
            <w:tcW w:type="dxa" w:w="2047"/>
            <w:vAlign w:val="center"/>
          </w:tcPr>
          <w:p>
            <w:pPr>
              <w:pStyle w:val="Compact"/>
              <w:keepNext/>
              <w:keepLines/>
              <w:spacing w:after="40" w:before="40" w:line="252" w:lineRule="auto"/>
              <w:jc w:val="right"/>
            </w:pPr>
            <w:r>
              <w:rPr>
                <w:b w:val="0"/>
                <w:sz w:val="20"/>
              </w:rPr>
              <w:t xml:space="preserve">0.872056</w:t>
            </w:r>
          </w:p>
        </w:tc>
        <w:tc>
          <w:tcPr>
            <w:tcW w:type="dxa" w:w="2047"/>
            <w:vAlign w:val="center"/>
          </w:tcPr>
          <w:p>
            <w:pPr>
              <w:pStyle w:val="Compact"/>
              <w:keepNext/>
              <w:keepLines/>
              <w:spacing w:after="40" w:before="40" w:line="252" w:lineRule="auto"/>
              <w:jc w:val="right"/>
            </w:pPr>
            <w:r>
              <w:rPr>
                <w:b w:val="0"/>
                <w:sz w:val="20"/>
              </w:rPr>
              <w:t xml:space="preserve">1.496021e-07</w:t>
            </w:r>
          </w:p>
        </w:tc>
      </w:tr>
      <w:tr>
        <w:trPr>
          <w:cantSplit/>
        </w:trPr>
        <w:tc>
          <w:tcPr>
            <w:tcW w:type="dxa" w:w="2047"/>
            <w:vAlign w:val="center"/>
          </w:tcPr>
          <w:p>
            <w:pPr>
              <w:pStyle w:val="Compact"/>
              <w:keepNext/>
              <w:keepLines/>
              <w:spacing w:after="40" w:before="40" w:line="252" w:lineRule="auto"/>
              <w:jc w:val="right"/>
            </w:pPr>
            <w:r>
              <w:rPr>
                <w:b w:val="0"/>
                <w:sz w:val="20"/>
              </w:rPr>
              <w:t xml:space="preserve">18 Sep · 15:00 CT</w:t>
            </w:r>
          </w:p>
        </w:tc>
        <w:tc>
          <w:tcPr>
            <w:tcW w:type="dxa" w:w="2047"/>
            <w:vAlign w:val="center"/>
          </w:tcPr>
          <w:p>
            <w:pPr>
              <w:pStyle w:val="Compact"/>
              <w:keepNext/>
              <w:keepLines/>
              <w:spacing w:after="40" w:before="40" w:line="252" w:lineRule="auto"/>
              <w:jc w:val="right"/>
            </w:pPr>
            <w:r>
              <w:rPr>
                <w:b w:val="0"/>
                <w:sz w:val="20"/>
              </w:rPr>
              <w:t xml:space="preserve">3 / 3</w:t>
            </w:r>
          </w:p>
        </w:tc>
        <w:tc>
          <w:tcPr>
            <w:tcW w:type="dxa" w:w="2047"/>
            <w:vAlign w:val="center"/>
          </w:tcPr>
          <w:p>
            <w:pPr>
              <w:pStyle w:val="Compact"/>
              <w:keepNext/>
              <w:keepLines/>
              <w:spacing w:after="40" w:before="40" w:line="252" w:lineRule="auto"/>
              <w:jc w:val="right"/>
            </w:pPr>
            <w:r>
              <w:rPr>
                <w:b w:val="0"/>
                <w:sz w:val="20"/>
              </w:rPr>
              <w:t xml:space="preserve">1926</w:t>
            </w:r>
          </w:p>
        </w:tc>
        <w:tc>
          <w:tcPr>
            <w:tcW w:type="dxa" w:w="2047"/>
            <w:vAlign w:val="center"/>
          </w:tcPr>
          <w:p>
            <w:pPr>
              <w:pStyle w:val="Compact"/>
              <w:keepNext/>
              <w:keepLines/>
              <w:spacing w:after="40" w:before="40" w:line="252" w:lineRule="auto"/>
              <w:jc w:val="right"/>
            </w:pPr>
            <w:r>
              <w:rPr>
                <w:b w:val="0"/>
                <w:sz w:val="20"/>
              </w:rPr>
              <w:t xml:space="preserve">46</w:t>
            </w:r>
          </w:p>
        </w:tc>
        <w:tc>
          <w:tcPr>
            <w:tcW w:type="dxa" w:w="2047"/>
            <w:vAlign w:val="center"/>
          </w:tcPr>
          <w:p>
            <w:pPr>
              <w:pStyle w:val="Compact"/>
              <w:keepNext/>
              <w:keepLines/>
              <w:spacing w:after="40" w:before="40" w:line="252" w:lineRule="auto"/>
              <w:jc w:val="right"/>
            </w:pPr>
            <w:r>
              <w:rPr>
                <w:b w:val="0"/>
                <w:sz w:val="20"/>
              </w:rPr>
              <w:t xml:space="preserve">2.388</w:t>
            </w:r>
          </w:p>
        </w:tc>
        <w:tc>
          <w:tcPr>
            <w:tcW w:type="dxa" w:w="2047"/>
            <w:vAlign w:val="center"/>
          </w:tcPr>
          <w:p>
            <w:pPr>
              <w:pStyle w:val="Compact"/>
              <w:keepNext/>
              <w:keepLines/>
              <w:spacing w:after="40" w:before="40" w:line="252" w:lineRule="auto"/>
              <w:jc w:val="right"/>
            </w:pPr>
            <w:r>
              <w:rPr>
                <w:b w:val="0"/>
                <w:sz w:val="20"/>
              </w:rPr>
              <w:t xml:space="preserve">0.392571</w:t>
            </w:r>
          </w:p>
        </w:tc>
        <w:tc>
          <w:tcPr>
            <w:tcW w:type="dxa" w:w="2047"/>
            <w:vAlign w:val="center"/>
          </w:tcPr>
          <w:p>
            <w:pPr>
              <w:pStyle w:val="Compact"/>
              <w:keepNext/>
              <w:keepLines/>
              <w:spacing w:after="40" w:before="40" w:line="252" w:lineRule="auto"/>
              <w:jc w:val="right"/>
            </w:pPr>
            <w:r>
              <w:rPr>
                <w:b w:val="0"/>
                <w:sz w:val="20"/>
              </w:rPr>
              <w:t xml:space="preserve">7.838472e-09</w:t>
            </w:r>
          </w:p>
        </w:tc>
      </w:tr>
      <w:tr>
        <w:trPr>
          <w:cantSplit/>
        </w:trPr>
        <w:tc>
          <w:tcPr>
            <w:tcW w:type="dxa" w:w="2047"/>
            <w:vAlign w:val="center"/>
          </w:tcPr>
          <w:p>
            <w:pPr>
              <w:pStyle w:val="Compact"/>
              <w:keepNext/>
              <w:keepLines/>
              <w:spacing w:after="40" w:before="40" w:line="252" w:lineRule="auto"/>
              <w:jc w:val="right"/>
            </w:pPr>
            <w:r>
              <w:rPr>
                <w:b w:val="0"/>
                <w:sz w:val="20"/>
              </w:rPr>
              <w:t xml:space="preserve">18 Sep · 15:15 CT</w:t>
            </w:r>
          </w:p>
        </w:tc>
        <w:tc>
          <w:tcPr>
            <w:tcW w:type="dxa" w:w="2047"/>
            <w:vAlign w:val="center"/>
          </w:tcPr>
          <w:p>
            <w:pPr>
              <w:pStyle w:val="Compact"/>
              <w:keepNext/>
              <w:keepLines/>
              <w:spacing w:after="40" w:before="40" w:line="252" w:lineRule="auto"/>
              <w:jc w:val="right"/>
            </w:pPr>
            <w:r>
              <w:rPr>
                <w:b w:val="0"/>
                <w:sz w:val="20"/>
              </w:rPr>
              <w:t xml:space="preserve">2 / 3</w:t>
            </w:r>
          </w:p>
        </w:tc>
        <w:tc>
          <w:tcPr>
            <w:tcW w:type="dxa" w:w="2047"/>
            <w:vAlign w:val="center"/>
          </w:tcPr>
          <w:p>
            <w:pPr>
              <w:pStyle w:val="Compact"/>
              <w:keepNext/>
              <w:keepLines/>
              <w:spacing w:after="40" w:before="40" w:line="252" w:lineRule="auto"/>
              <w:jc w:val="right"/>
            </w:pPr>
            <w:r>
              <w:rPr>
                <w:b w:val="0"/>
                <w:sz w:val="20"/>
              </w:rPr>
              <w:t xml:space="preserve">1256</w:t>
            </w:r>
          </w:p>
        </w:tc>
        <w:tc>
          <w:tcPr>
            <w:tcW w:type="dxa" w:w="2047"/>
            <w:vAlign w:val="center"/>
          </w:tcPr>
          <w:p>
            <w:pPr>
              <w:pStyle w:val="Compact"/>
              <w:keepNext/>
              <w:keepLines/>
              <w:spacing w:after="40" w:before="40" w:line="252" w:lineRule="auto"/>
              <w:jc w:val="right"/>
            </w:pPr>
            <w:r>
              <w:rPr>
                <w:b w:val="0"/>
                <w:sz w:val="20"/>
              </w:rPr>
              <w:t xml:space="preserve">24</w:t>
            </w:r>
          </w:p>
        </w:tc>
        <w:tc>
          <w:tcPr>
            <w:tcW w:type="dxa" w:w="2047"/>
            <w:vAlign w:val="center"/>
          </w:tcPr>
          <w:p>
            <w:pPr>
              <w:pStyle w:val="Compact"/>
              <w:keepNext/>
              <w:keepLines/>
              <w:spacing w:after="40" w:before="40" w:line="252" w:lineRule="auto"/>
              <w:jc w:val="right"/>
            </w:pPr>
            <w:r>
              <w:rPr>
                <w:b w:val="0"/>
                <w:sz w:val="20"/>
              </w:rPr>
              <w:t xml:space="preserve">1.911</w:t>
            </w:r>
          </w:p>
        </w:tc>
        <w:tc>
          <w:tcPr>
            <w:tcW w:type="dxa" w:w="2047"/>
            <w:vAlign w:val="center"/>
          </w:tcPr>
          <w:p>
            <w:pPr>
              <w:pStyle w:val="Compact"/>
              <w:keepNext/>
              <w:keepLines/>
              <w:spacing w:after="40" w:before="40" w:line="252" w:lineRule="auto"/>
              <w:jc w:val="right"/>
            </w:pPr>
            <w:r>
              <w:rPr>
                <w:b w:val="0"/>
                <w:sz w:val="20"/>
              </w:rPr>
              <w:t xml:space="preserve">0.058489</w:t>
            </w:r>
          </w:p>
        </w:tc>
        <w:tc>
          <w:tcPr>
            <w:tcW w:type="dxa" w:w="2047"/>
            <w:vAlign w:val="center"/>
          </w:tcPr>
          <w:p>
            <w:pPr>
              <w:pStyle w:val="Compact"/>
              <w:keepNext/>
              <w:keepLines/>
              <w:spacing w:after="40" w:before="40" w:line="252" w:lineRule="auto"/>
              <w:jc w:val="right"/>
            </w:pPr>
            <w:r>
              <w:rPr>
                <w:b w:val="0"/>
                <w:sz w:val="20"/>
              </w:rPr>
              <w:t xml:space="preserve">2.261022e-09</w:t>
            </w:r>
          </w:p>
        </w:tc>
      </w:tr>
    </w:tbl>
    <w:p>
      <w:bookmarkStart w:id="653" w:name="table34"/>
      <w:pPr>
        <w:pStyle w:val="TableCaption"/>
      </w:pPr>
      <w:r>
        <w:t xml:space="preserve">Table 34. Held-out call and put errors. Each successful fold contributes its actual quote count to the pooled forward-scaled midpoint MSE. The late snapshot has only two accepted folds, so its score must not be treated as directly comparable complete-fold evidence.</w:t>
      </w:r>
      <w:bookmarkEnd w:id="653"/>
    </w:p>
    <w:p>
      <w:pPr>
        <w:sectPr>
          <w:type w:val="nextPage"/>
          <w:pgSz w:w="16838" w:h="11906" w:orient="landscape"/>
          <w:pgMar w:top="1008" w:bottom="1008" w:left="1152" w:right="1152" w:header="432" w:footer="432" w:gutter="0"/>
          <w:pgNumType w:fmt="decimal"/>
        </w:sectPr>
        <w:spacing w:before="0" w:after="0" w:line="1" w:lineRule="exact"/>
      </w:pPr>
      <w:r>
        <w:rPr>
          <w:sz w:val="2"/>
        </w:rPr>
      </w:r>
    </w:p>
    <w:p>
      <w:pPr>
        <w:pStyle w:val="BodyText"/>
      </w:pPr>
      <w:r>
        <w:t xml:space="preserve">The first late-snapshot fold is feasible in its LP, but its QP does not meet the complete numerical rule. Row multiplier one returns Solved with a physical miss of approximately</w:t>
      </w:r>
      <w:r>
        <w:t xml:space="preserve"> </w:t>
      </w:r>
      <m:oMath>
        <m:r>
          <m:t>1.29</m:t>
        </m:r>
        <m:r>
          <m:rPr>
            <m:sty m:val="p"/>
          </m:rPr>
          <m:t>×</m:t>
        </m:r>
        <m:sSup>
          <m:e>
            <m:r>
              <m:t>10</m:t>
            </m:r>
          </m:e>
          <m:sup>
            <m:r>
              <m:rPr>
                <m:sty m:val="p"/>
              </m:rPr>
              <m:t>−</m:t>
            </m:r>
            <m:r>
              <m:t>7</m:t>
            </m:r>
          </m:sup>
        </m:sSup>
      </m:oMath>
      <w:r>
        <w:t xml:space="preserve"> </w:t>
      </w:r>
      <w:r>
        <w:t xml:space="preserve">points; multipliers ten and one hundred return AlmostSolved. The case is retained and excluded with explicit coverage of two accepted folds out of three. It is not reclassified as quote incompatibility or silently replaced.</w:t>
      </w:r>
    </w:p>
    <w:p>
      <w:pPr>
        <w:pStyle w:val="BodyText"/>
      </w:pPr>
      <w:r>
        <w:t xml:space="preserve">Even successful folds leave some held-out prices outside their ranges: forty of 1,668 evaluated option quotes in August and forty-six of 1,926 in standard September. The late result covers only 1,256 quotes and is not directly comparable as a complete-fold score. Exact in-sample compatibility does not automatically extend to unseen strikes.</w:t>
      </w:r>
    </w:p>
    <w:bookmarkEnd w:id="152"/>
    <w:bookmarkStart w:id="153" w:name="X232d6a991486c89a7fb9a5bf7498326319b8528"/>
    <w:p>
      <w:bookmarkStart w:id="654" w:name="h41"/>
      <w:pPr>
        <w:pStyle w:val="Heading2"/>
        <w:numPr>
          <w:ilvl w:val="1"/>
          <w:numId w:val="70"/>
        </w:numPr>
      </w:pPr>
      <w:bookmarkEnd w:id="654"/>
      <w:r>
        <w:t>Conditional ranges rather than a single tail answer</w:t>
      </w:r>
    </w:p>
    <w:p>
      <w:pPr>
        <w:pStyle w:val="FirstParagraph"/>
      </w:pPr>
      <w:r>
        <w:t xml:space="preserve">As Malz explains [14], tail probabilities can depend strongly on extrapolation choices. To quantify the remaining freedom within the declared empirical representation, Equation (44) removes the curvature objective and minimises or maximises each event probability over</w:t>
      </w:r>
      <w:r>
        <w:t xml:space="preserve"> </w:t>
      </w:r>
      <m:oMath>
        <m:sSub>
          <m:e>
            <m:r>
              <m:rPr>
                <m:sty m:val="p"/>
                <m:scr m:val="script"/>
              </m:rPr>
              <m:t>F</m:t>
            </m:r>
          </m:e>
          <m:sub>
            <m:r>
              <m:t>J</m:t>
            </m:r>
          </m:sub>
        </m:sSub>
      </m:oMath>
      <w:r>
        <w:t xml:space="preserve">. The vector</w:t>
      </w:r>
      <w:r>
        <w:t xml:space="preserve"> </w:t>
      </w:r>
      <m:oMath>
        <m:r>
          <m:rPr>
            <m:sty m:val="b"/>
          </m:rPr>
          <m:t>a</m:t>
        </m:r>
      </m:oMath>
      <w:r>
        <w:t xml:space="preserve"> </w:t>
      </w:r>
      <w:r>
        <w:t xml:space="preserve">contains exact event fractions within bins.</w:t>
      </w:r>
    </w:p>
    <w:p>
      <w:pPr>
        <w:pStyle w:val="BodyText"/>
        <w:keepNext/>
        <w:spacing w:before="120" w:after="40"/>
        <w:jc w:val="center"/>
      </w:pPr>
      <m:oMathPara>
        <m:oMathParaPr>
          <m:jc m:val="center"/>
        </m:oMathParaPr>
        <m:oMath>
          <m:m>
            <m:mPr>
              <m:baseJc m:val="center"/>
              <m:plcHide m:val="on"/>
              <m:mcs>
                <m:mc>
                  <m:mcPr>
                    <m:mcJc m:val="center"/>
                    <m:count m:val="1"/>
                  </m:mcPr>
                </m:mc>
              </m:mcs>
            </m:mPr>
            <m:mr>
              <m:e>
                <m:sSub>
                  <m:e>
                    <m:bar>
                      <m:barPr>
                        <m:pos m:val="bot"/>
                      </m:barPr>
                      <m:e>
                        <m:r>
                          <m:t>p</m:t>
                        </m:r>
                      </m:e>
                    </m:bar>
                  </m:e>
                  <m:sub>
                    <m:r>
                      <m:t>J</m:t>
                    </m:r>
                  </m:sub>
                </m:sSub>
                <m:d>
                  <m:dPr>
                    <m:begChr m:val="("/>
                    <m:endChr m:val=")"/>
                    <m:sepChr m:val=""/>
                    <m:grow/>
                  </m:dPr>
                  <m:e>
                    <m:r>
                      <m:rPr>
                        <m:sty m:val="b"/>
                      </m:rPr>
                      <m:t>a</m:t>
                    </m:r>
                  </m:e>
                </m:d>
                <m:r>
                  <m:rPr>
                    <m:sty m:val="p"/>
                  </m:rPr>
                  <m:t>=</m:t>
                </m:r>
                <m:limLow>
                  <m:e>
                    <m:r>
                      <m:rPr>
                        <m:sty m:val="p"/>
                      </m:rPr>
                      <m:t>min</m:t>
                    </m:r>
                  </m:e>
                  <m:lim>
                    <m:r>
                      <m:t>W</m:t>
                    </m:r>
                    <m:r>
                      <m:rPr>
                        <m:sty m:val="p"/>
                      </m:rPr>
                      <m:t>∈</m:t>
                    </m:r>
                    <m:sSub>
                      <m:e>
                        <m:r>
                          <m:rPr>
                            <m:sty m:val="p"/>
                            <m:scr m:val="script"/>
                          </m:rPr>
                          <m:t>F</m:t>
                        </m:r>
                      </m:e>
                      <m:sub>
                        <m:r>
                          <m:t>J</m:t>
                        </m:r>
                      </m:sub>
                    </m:sSub>
                  </m:lim>
                </m:limLow>
                <m:sSup>
                  <m:e>
                    <m:r>
                      <m:rPr>
                        <m:sty m:val="b"/>
                      </m:rPr>
                      <m:t>a</m:t>
                    </m:r>
                  </m:e>
                  <m:sup>
                    <m:r>
                      <m:rPr>
                        <m:sty m:val="p"/>
                        <m:scr m:val="sans-serif"/>
                      </m:rPr>
                      <m:t>T</m:t>
                    </m:r>
                  </m:sup>
                </m:sSup>
                <m:r>
                  <m:rPr>
                    <m:sty m:val="p"/>
                  </m:rPr>
                  <m:t>vec</m:t>
                </m:r>
                <m:d>
                  <m:dPr>
                    <m:begChr m:val="("/>
                    <m:endChr m:val=")"/>
                    <m:sepChr m:val=""/>
                    <m:grow/>
                  </m:dPr>
                  <m:e>
                    <m:r>
                      <m:t>W</m:t>
                    </m:r>
                  </m:e>
                </m:d>
                <m:r>
                  <m:rPr>
                    <m:sty m:val="p"/>
                  </m:rPr>
                  <m:t>,</m:t>
                </m:r>
              </m:e>
            </m:mr>
            <m:mr>
              <m:e>
                <m:sSub>
                  <m:e>
                    <m:bar>
                      <m:barPr>
                        <m:pos m:val="top"/>
                      </m:barPr>
                      <m:e>
                        <m:r>
                          <m:t>p</m:t>
                        </m:r>
                      </m:e>
                    </m:bar>
                  </m:e>
                  <m:sub>
                    <m:r>
                      <m:t>J</m:t>
                    </m:r>
                  </m:sub>
                </m:sSub>
                <m:d>
                  <m:dPr>
                    <m:begChr m:val="("/>
                    <m:endChr m:val=")"/>
                    <m:sepChr m:val=""/>
                    <m:grow/>
                  </m:dPr>
                  <m:e>
                    <m:r>
                      <m:rPr>
                        <m:sty m:val="b"/>
                      </m:rPr>
                      <m:t>a</m:t>
                    </m:r>
                  </m:e>
                </m:d>
                <m:r>
                  <m:rPr>
                    <m:sty m:val="p"/>
                  </m:rPr>
                  <m:t>=</m:t>
                </m:r>
                <m:limLow>
                  <m:e>
                    <m:r>
                      <m:rPr>
                        <m:sty m:val="p"/>
                      </m:rPr>
                      <m:t>max</m:t>
                    </m:r>
                  </m:e>
                  <m:lim>
                    <m:r>
                      <m:t>W</m:t>
                    </m:r>
                    <m:r>
                      <m:rPr>
                        <m:sty m:val="p"/>
                      </m:rPr>
                      <m:t>∈</m:t>
                    </m:r>
                    <m:sSub>
                      <m:e>
                        <m:r>
                          <m:rPr>
                            <m:sty m:val="p"/>
                            <m:scr m:val="script"/>
                          </m:rPr>
                          <m:t>F</m:t>
                        </m:r>
                      </m:e>
                      <m:sub>
                        <m:r>
                          <m:t>J</m:t>
                        </m:r>
                      </m:sub>
                    </m:sSub>
                  </m:lim>
                </m:limLow>
                <m:sSup>
                  <m:e>
                    <m:r>
                      <m:rPr>
                        <m:sty m:val="b"/>
                      </m:rPr>
                      <m:t>a</m:t>
                    </m:r>
                  </m:e>
                  <m:sup>
                    <m:r>
                      <m:rPr>
                        <m:sty m:val="p"/>
                        <m:scr m:val="sans-serif"/>
                      </m:rPr>
                      <m:t>T</m:t>
                    </m:r>
                  </m:sup>
                </m:sSup>
                <m:r>
                  <m:rPr>
                    <m:sty m:val="p"/>
                  </m:rPr>
                  <m:t>vec</m:t>
                </m:r>
                <m:d>
                  <m:dPr>
                    <m:begChr m:val="("/>
                    <m:endChr m:val=")"/>
                    <m:sepChr m:val=""/>
                    <m:grow/>
                  </m:dPr>
                  <m:e>
                    <m:r>
                      <m:t>W</m:t>
                    </m:r>
                  </m:e>
                </m:d>
                <m:r>
                  <m:rPr>
                    <m:sty m:val="p"/>
                  </m:rPr>
                  <m:t>.</m:t>
                </m:r>
              </m:e>
            </m:mr>
          </m:m>
        </m:oMath>
      </m:oMathPara>
    </w:p>
    <w:p>
      <w:bookmarkStart w:id="655" w:name="equation44"/>
      <w:pPr>
        <w:pStyle w:val="EquationCaption"/>
      </w:pPr>
      <w:r>
        <w:t xml:space="preserve">Equation 44. Conditional feasible lower and upper event probabilities.</w:t>
      </w:r>
      <w:bookmarkEnd w:id="655"/>
    </w:p>
    <w:p>
      <w:pPr>
        <w:pStyle w:val="BodyText"/>
      </w:pPr>
      <w:r>
        <w:t xml:space="preserve">All maturities remain jointly constrained while one event is optimised. The seventy-two completed LPs provide conditional feasible ranges. They fix the 240-bin support, point carry, selected observations and any stated interpolation weights. They are not confidence intervals, do not propagate carry or sampling uncertainty, and are not asserted to be sharp over every possible distribution. Their independent physical-price residual limit is</w:t>
      </w:r>
      <w:r>
        <w:t xml:space="preserve"> </w:t>
      </w:r>
      <m:oMath>
        <m:r>
          <m:t>2</m:t>
        </m:r>
        <m:r>
          <m:rPr>
            <m:sty m:val="p"/>
          </m:rPr>
          <m:t>×</m:t>
        </m:r>
        <m:sSup>
          <m:e>
            <m:r>
              <m:t>10</m:t>
            </m:r>
          </m:e>
          <m:sup>
            <m:r>
              <m:rPr>
                <m:sty m:val="p"/>
              </m:rPr>
              <m:t>−</m:t>
            </m:r>
            <m:r>
              <m:t>6</m:t>
            </m:r>
          </m:sup>
        </m:sSup>
      </m:oMath>
      <w:r>
        <w:t xml:space="preserve"> </w:t>
      </w:r>
      <w:r>
        <w:t xml:space="preserve">points, separately reported from the QP counting tolerance.</w:t>
      </w:r>
    </w:p>
    <w:bookmarkEnd w:id="153"/>
    <w:bookmarkStart w:id="166" w:name="Xbdee72716abfeaf8b079cf7ae1238e0e74230c1"/>
    <w:p>
      <w:bookmarkStart w:id="656" w:name="h42"/>
      <w:pPr>
        <w:pStyle w:val="Heading2"/>
        <w:numPr>
          <w:ilvl w:val="1"/>
          <w:numId w:val="70"/>
        </w:numPr>
      </w:pPr>
      <w:bookmarkEnd w:id="656"/>
      <w:r>
        <w:t>Fixed expiries and a common elapsed horizon</w:t>
      </w:r>
    </w:p>
    <w:p>
      <w:pPr>
        <w:pStyle w:val="FirstParagraph"/>
      </w:pPr>
      <w:r>
        <w:t xml:space="preserve">A fixed expiry is eighteen days closer in September than in August and another fifteen minutes closer in the late snapshot. Each fit also uses its own inferred forward. Figure 30 therefore combines changing observations with changing time to settlement, and a fixed normalised threshold need not represent the same physical index level.</w:t>
      </w:r>
    </w:p>
    <w:p>
      <w:pPr>
        <w:sectPr>
          <w:type w:val="nextPage"/>
          <w:pgSz w:w="11906" w:h="16838" w:orient="portrait"/>
          <w:pgMar w:top="1008" w:bottom="1008" w:left="1152" w:right="1152" w:header="432" w:footer="432" w:gutter="0"/>
          <w:pgNumType w:fmt="decimal"/>
        </w:sectPr>
        <w:spacing w:before="0" w:after="0" w:line="1" w:lineRule="exact"/>
      </w:pPr>
      <w:r>
        <w:rPr>
          <w:sz w:val="2"/>
        </w:rPr>
      </w:r>
    </w:p>
    <w:p>
      <w:pPr>
        <w:pStyle w:val="BodyText"/>
        <w:keepNext/>
        <w:spacing w:after="40"/>
        <w:jc w:val="center"/>
      </w:pPr>
      <w:r>
        <w:drawing>
          <wp:inline>
            <wp:extent cx="5334000" cy="3155949"/>
            <wp:effectExtent b="0" l="0" r="0" t="0"/>
            <wp:docPr descr="Fixed-expiry comparisons across the three observed snapshots" title="" id="155" name="Picture"/>
            <a:graphic>
              <a:graphicData uri="http://schemas.openxmlformats.org/drawingml/2006/picture">
                <pic:pic>
                  <pic:nvPicPr>
                    <pic:cNvPr descr="/workspace/scratch/62b9274b9d7e/spx-density-research/figures/figure_30_fixed_expiry_date_comparison.png" id="156" name="Picture"/>
                    <pic:cNvPicPr>
                      <a:picLocks noChangeArrowheads="1" noChangeAspect="1"/>
                    </pic:cNvPicPr>
                  </pic:nvPicPr>
                  <pic:blipFill>
                    <a:blip r:embed="rId154"/>
                    <a:stretch>
                      <a:fillRect/>
                    </a:stretch>
                  </pic:blipFill>
                  <pic:spPr bwMode="auto">
                    <a:xfrm>
                      <a:off x="0" y="0"/>
                      <a:ext cx="5334000" cy="3155949"/>
                    </a:xfrm>
                    <a:prstGeom prst="rect">
                      <a:avLst/>
                    </a:prstGeom>
                    <a:noFill/>
                    <a:ln w="9525">
                      <a:noFill/>
                      <a:headEnd/>
                      <a:tailEnd/>
                    </a:ln>
                  </pic:spPr>
                </pic:pic>
              </a:graphicData>
            </a:graphic>
          </wp:inline>
        </w:drawing>
      </w:r>
    </w:p>
    <w:p>
      <w:bookmarkStart w:id="657" w:name="figure30"/>
      <w:pPr>
        <w:pStyle w:val="FigureCaption"/>
      </w:pPr>
      <w:r>
        <w:t xml:space="preserve">Figure 30. Fixed-expiry density comparisons, with full support above and central detail below. The elapsed horizon falls by 18 days between August and standard September, and by another 15 minutes at the later snapshot. Each curve uses its own inferred forward; the same normalised threshold can therefore correspond to different index levels. These curves cannot isolate a pure change in expectations at a fixed horizon.</w:t>
      </w:r>
      <w:bookmarkEnd w:id="657"/>
    </w:p>
    <w:p>
      <w:pPr>
        <w:sectPr>
          <w:type w:val="nextPage"/>
          <w:pgSz w:w="16838" w:h="11906" w:orient="landscape"/>
          <w:pgMar w:top="1008" w:bottom="1008" w:left="1152" w:right="1152" w:header="432" w:footer="432" w:gutter="0"/>
          <w:pgNumType w:fmt="decimal"/>
        </w:sectPr>
        <w:spacing w:before="0" w:after="0" w:line="1" w:lineRule="exact"/>
      </w:pPr>
      <w:r>
        <w:rPr>
          <w:sz w:val="2"/>
        </w:rPr>
      </w:r>
    </w:p>
    <w:p>
      <w:pPr>
        <w:pStyle w:val="BodyText"/>
      </w:pPr>
      <w:r>
        <w:t xml:space="preserve">For a complementary comparison, Equation (45) explicitly assumes a linear mixture between adjacent normalised maturity distributions bracketing sixty elapsed days. It does not extrapolate or invent a sixty-day discount factor or forward.</w:t>
      </w:r>
    </w:p>
    <w:p>
      <w:pPr>
        <w:pStyle w:val="BodyText"/>
        <w:keepNext/>
        <w:spacing w:before="120" w:after="40"/>
        <w:jc w:val="center"/>
      </w:pPr>
      <m:oMathPara>
        <m:oMathParaPr>
          <m:jc m:val="center"/>
        </m:oMathParaPr>
        <m:oMath>
          <m:m>
            <m:mPr>
              <m:baseJc m:val="center"/>
              <m:plcHide m:val="on"/>
              <m:mcs>
                <m:mc>
                  <m:mcPr>
                    <m:mcJc m:val="center"/>
                    <m:count m:val="1"/>
                  </m:mcPr>
                </m:mc>
              </m:mcs>
            </m:mPr>
            <m:mr>
              <m:e>
                <m:sSub>
                  <m:e>
                    <m:r>
                      <m:t>ω</m:t>
                    </m:r>
                  </m:e>
                  <m:sub>
                    <m:r>
                      <m:rPr>
                        <m:sty m:val="p"/>
                      </m:rPr>
                      <m:t>*</m:t>
                    </m:r>
                  </m:sub>
                </m:sSub>
                <m:r>
                  <m:rPr>
                    <m:sty m:val="p"/>
                  </m:rPr>
                  <m:t>=</m:t>
                </m:r>
                <m:f>
                  <m:fPr>
                    <m:type m:val="bar"/>
                  </m:fPr>
                  <m:num>
                    <m:sSub>
                      <m:e>
                        <m:r>
                          <m:t>T</m:t>
                        </m:r>
                      </m:e>
                      <m:sub>
                        <m:r>
                          <m:rPr>
                            <m:sty m:val="p"/>
                          </m:rPr>
                          <m:t>*</m:t>
                        </m:r>
                      </m:sub>
                    </m:sSub>
                    <m:r>
                      <m:rPr>
                        <m:sty m:val="p"/>
                      </m:rPr>
                      <m:t>−</m:t>
                    </m:r>
                    <m:sSub>
                      <m:e>
                        <m:r>
                          <m:t>T</m:t>
                        </m:r>
                      </m:e>
                      <m:sub>
                        <m:r>
                          <m:t>a</m:t>
                        </m:r>
                      </m:sub>
                    </m:sSub>
                  </m:num>
                  <m:den>
                    <m:sSub>
                      <m:e>
                        <m:r>
                          <m:t>T</m:t>
                        </m:r>
                      </m:e>
                      <m:sub>
                        <m:r>
                          <m:t>b</m:t>
                        </m:r>
                      </m:sub>
                    </m:sSub>
                    <m:r>
                      <m:rPr>
                        <m:sty m:val="p"/>
                      </m:rPr>
                      <m:t>−</m:t>
                    </m:r>
                    <m:sSub>
                      <m:e>
                        <m:r>
                          <m:t>T</m:t>
                        </m:r>
                      </m:e>
                      <m:sub>
                        <m:r>
                          <m:t>a</m:t>
                        </m:r>
                      </m:sub>
                    </m:sSub>
                  </m:den>
                </m:f>
                <m:r>
                  <m:rPr>
                    <m:sty m:val="p"/>
                  </m:rPr>
                  <m:t>,</m:t>
                </m:r>
                <m:r>
                  <m:t>  </m:t>
                </m:r>
                <m:sSub>
                  <m:e>
                    <m:r>
                      <m:t>T</m:t>
                    </m:r>
                  </m:e>
                  <m:sub>
                    <m:r>
                      <m:t>a</m:t>
                    </m:r>
                  </m:sub>
                </m:sSub>
                <m:r>
                  <m:rPr>
                    <m:sty m:val="p"/>
                  </m:rPr>
                  <m:t>≤</m:t>
                </m:r>
                <m:sSub>
                  <m:e>
                    <m:r>
                      <m:t>T</m:t>
                    </m:r>
                  </m:e>
                  <m:sub>
                    <m:r>
                      <m:rPr>
                        <m:sty m:val="p"/>
                      </m:rPr>
                      <m:t>*</m:t>
                    </m:r>
                  </m:sub>
                </m:sSub>
                <m:r>
                  <m:rPr>
                    <m:sty m:val="p"/>
                  </m:rPr>
                  <m:t>≤</m:t>
                </m:r>
                <m:sSub>
                  <m:e>
                    <m:r>
                      <m:t>T</m:t>
                    </m:r>
                  </m:e>
                  <m:sub>
                    <m:r>
                      <m:t>b</m:t>
                    </m:r>
                  </m:sub>
                </m:sSub>
                <m:r>
                  <m:rPr>
                    <m:sty m:val="p"/>
                  </m:rPr>
                  <m:t>,</m:t>
                </m:r>
              </m:e>
            </m:mr>
            <m:mr>
              <m:e>
                <m:sSub>
                  <m:e>
                    <m:r>
                      <m:rPr>
                        <m:sty m:val="b"/>
                      </m:rPr>
                      <m:t>w</m:t>
                    </m:r>
                  </m:e>
                  <m:sub>
                    <m:r>
                      <m:rPr>
                        <m:sty m:val="p"/>
                      </m:rPr>
                      <m:t>*</m:t>
                    </m:r>
                  </m:sub>
                </m:sSub>
                <m:r>
                  <m:rPr>
                    <m:sty m:val="p"/>
                  </m:rPr>
                  <m:t>=</m:t>
                </m:r>
                <m:d>
                  <m:dPr>
                    <m:begChr m:val="("/>
                    <m:endChr m:val=")"/>
                    <m:sepChr m:val=""/>
                    <m:grow/>
                  </m:dPr>
                  <m:e>
                    <m:r>
                      <m:t>1</m:t>
                    </m:r>
                    <m:r>
                      <m:rPr>
                        <m:sty m:val="p"/>
                      </m:rPr>
                      <m:t>−</m:t>
                    </m:r>
                    <m:sSub>
                      <m:e>
                        <m:r>
                          <m:t>ω</m:t>
                        </m:r>
                      </m:e>
                      <m:sub>
                        <m:r>
                          <m:rPr>
                            <m:sty m:val="p"/>
                          </m:rPr>
                          <m:t>*</m:t>
                        </m:r>
                      </m:sub>
                    </m:sSub>
                  </m:e>
                </m:d>
                <m:sSub>
                  <m:e>
                    <m:r>
                      <m:rPr>
                        <m:sty m:val="b"/>
                      </m:rPr>
                      <m:t>w</m:t>
                    </m:r>
                  </m:e>
                  <m:sub>
                    <m:r>
                      <m:t>a</m:t>
                    </m:r>
                  </m:sub>
                </m:sSub>
                <m:r>
                  <m:rPr>
                    <m:sty m:val="p"/>
                  </m:rPr>
                  <m:t>+</m:t>
                </m:r>
                <m:sSub>
                  <m:e>
                    <m:r>
                      <m:t>ω</m:t>
                    </m:r>
                  </m:e>
                  <m:sub>
                    <m:r>
                      <m:rPr>
                        <m:sty m:val="p"/>
                      </m:rPr>
                      <m:t>*</m:t>
                    </m:r>
                  </m:sub>
                </m:sSub>
                <m:sSub>
                  <m:e>
                    <m:r>
                      <m:rPr>
                        <m:sty m:val="b"/>
                      </m:rPr>
                      <m:t>w</m:t>
                    </m:r>
                  </m:e>
                  <m:sub>
                    <m:r>
                      <m:t>b</m:t>
                    </m:r>
                  </m:sub>
                </m:sSub>
                <m:r>
                  <m:rPr>
                    <m:sty m:val="p"/>
                  </m:rPr>
                  <m:t>.</m:t>
                </m:r>
              </m:e>
            </m:mr>
          </m:m>
        </m:oMath>
      </m:oMathPara>
    </w:p>
    <w:p>
      <w:bookmarkStart w:id="658" w:name="equation45"/>
      <w:pPr>
        <w:pStyle w:val="EquationCaption"/>
      </w:pPr>
      <w:r>
        <w:t xml:space="preserve">Equation 45. Assumed interpolation of normalised distributions at a common horizon.</w:t>
      </w:r>
      <w:bookmarkEnd w:id="658"/>
    </w:p>
    <w:p>
      <w:pPr>
        <w:pStyle w:val="BodyText"/>
      </w:pPr>
      <w:r>
        <w:t xml:space="preserve">The mixture preserves non-negativity, unit mass and unit normalised mean. Normalised call values mix linearly and remain between their ordered endpoints. This mathematical preservation does not turn the interpolated slice into an observed sixty-day distribution. Its events concern the assumed normalised variable.</w:t>
      </w:r>
    </w:p>
    <w:p>
      <w:pPr>
        <w:sectPr>
          <w:type w:val="nextPage"/>
          <w:pgSz w:w="11906" w:h="16838" w:orient="portrait"/>
          <w:pgMar w:top="1008" w:bottom="1008" w:left="1152" w:right="1152" w:header="432" w:footer="432" w:gutter="0"/>
          <w:pgNumType w:fmt="decimal"/>
        </w:sectPr>
        <w:spacing w:before="0" w:after="0" w:line="1" w:lineRule="exact"/>
      </w:pPr>
      <w:r>
        <w:rPr>
          <w:sz w:val="2"/>
        </w:rPr>
      </w:r>
    </w:p>
    <w:p>
      <w:pPr>
        <w:pStyle w:val="BodyText"/>
        <w:keepNext/>
        <w:spacing w:after="40"/>
        <w:jc w:val="center"/>
      </w:pPr>
      <w:r>
        <w:drawing>
          <wp:inline>
            <wp:extent cx="5334000" cy="2124159"/>
            <wp:effectExtent b="0" l="0" r="0" t="0"/>
            <wp:docPr descr="Assumed common-60-day densities and common-contract control" title="" id="158" name="Picture"/>
            <a:graphic>
              <a:graphicData uri="http://schemas.openxmlformats.org/drawingml/2006/picture">
                <pic:pic>
                  <pic:nvPicPr>
                    <pic:cNvPr descr="/workspace/scratch/62b9274b9d7e/spx-density-research/figures/figure_31_common_horizon_density.png" id="159" name="Picture"/>
                    <pic:cNvPicPr>
                      <a:picLocks noChangeArrowheads="1" noChangeAspect="1"/>
                    </pic:cNvPicPr>
                  </pic:nvPicPr>
                  <pic:blipFill>
                    <a:blip r:embed="rId157"/>
                    <a:stretch>
                      <a:fillRect/>
                    </a:stretch>
                  </pic:blipFill>
                  <pic:spPr bwMode="auto">
                    <a:xfrm>
                      <a:off x="0" y="0"/>
                      <a:ext cx="5334000" cy="2124159"/>
                    </a:xfrm>
                    <a:prstGeom prst="rect">
                      <a:avLst/>
                    </a:prstGeom>
                    <a:noFill/>
                    <a:ln w="9525">
                      <a:noFill/>
                      <a:headEnd/>
                      <a:tailEnd/>
                    </a:ln>
                  </pic:spPr>
                </pic:pic>
              </a:graphicData>
            </a:graphic>
          </wp:inline>
        </w:drawing>
      </w:r>
    </w:p>
    <w:p>
      <w:bookmarkStart w:id="659" w:name="figure31"/>
      <w:pPr>
        <w:pStyle w:val="FigureCaption"/>
      </w:pPr>
      <w:r>
        <w:t xml:space="preserve">Figure 31. Interpolated 60-day normalised density using all retained pairs, and the separately re-estimated common-contract control. The panel displays 0.7–1.3 for detail; the fitted support remains 0.3–2.2, and tail calculations use the complete support. The right panel changes both quote composition and inferred carry.</w:t>
      </w:r>
      <w:bookmarkEnd w:id="659"/>
    </w:p>
    <w:p>
      <w:pPr>
        <w:sectPr>
          <w:type w:val="nextPage"/>
          <w:pgSz w:w="16838" w:h="11906" w:orient="landscape"/>
          <w:pgMar w:top="1008" w:bottom="1008" w:left="1152" w:right="1152" w:header="432" w:footer="432" w:gutter="0"/>
          <w:pgNumType w:fmt="decimal"/>
        </w:sectPr>
        <w:spacing w:before="0" w:after="0" w:line="1" w:lineRule="exact"/>
      </w:pPr>
      <w:r>
        <w:rPr>
          <w:sz w:val="2"/>
        </w:rPr>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009"/>
        <w:gridCol w:w="2292"/>
        <w:gridCol w:w="2292"/>
        <w:gridCol w:w="2292"/>
        <w:gridCol w:w="2292"/>
        <w:gridCol w:w="2149"/>
      </w:tblGrid>
      <w:tr>
        <w:trPr>
          <w:tblHeader w:val="true"/>
          <w:cantSplit/>
          <w:tblHeader/>
        </w:trPr>
        <w:tc>
          <w:tcPr>
            <w:tcW w:type="dxa" w:w="3009"/>
            <w:vAlign w:val="center"/>
            <w:shd w:fill="E9EEF3"/>
          </w:tcPr>
          <w:p>
            <w:pPr>
              <w:pStyle w:val="Compact"/>
              <w:keepNext/>
              <w:keepLines/>
              <w:spacing w:after="40" w:before="40" w:line="252" w:lineRule="auto"/>
              <w:jc w:val="left"/>
            </w:pPr>
            <w:r>
              <w:rPr>
                <w:b/>
                <w:sz w:val="20"/>
              </w:rPr>
              <w:t xml:space="preserve">Snapshot</w:t>
            </w:r>
          </w:p>
        </w:tc>
        <w:tc>
          <w:tcPr>
            <w:tcW w:type="dxa" w:w="2292"/>
            <w:vAlign w:val="center"/>
            <w:shd w:fill="E9EEF3"/>
          </w:tcPr>
          <w:p>
            <w:pPr>
              <w:pStyle w:val="Compact"/>
              <w:keepNext/>
              <w:keepLines/>
              <w:spacing w:after="40" w:before="40" w:line="252" w:lineRule="auto"/>
              <w:jc w:val="left"/>
            </w:pPr>
            <w:r>
              <w:rPr>
                <w:b/>
                <w:sz w:val="20"/>
              </w:rPr>
              <w:t xml:space="preserve">Pairs used</w:t>
            </w:r>
          </w:p>
        </w:tc>
        <w:tc>
          <w:tcPr>
            <w:tcW w:type="dxa" w:w="2292"/>
            <w:vAlign w:val="center"/>
            <w:shd w:fill="E9EEF3"/>
          </w:tcPr>
          <w:p>
            <w:pPr>
              <w:pStyle w:val="Compact"/>
              <w:keepNext/>
              <w:keepLines/>
              <w:spacing w:after="40" w:before="40" w:line="252" w:lineRule="auto"/>
              <w:jc w:val="left"/>
            </w:pPr>
            <w:r>
              <w:rPr>
                <w:b/>
                <w:sz w:val="20"/>
              </w:rPr>
              <w:t xml:space="preserve">Below 0.8 (%)</w:t>
            </w:r>
          </w:p>
        </w:tc>
        <w:tc>
          <w:tcPr>
            <w:tcW w:type="dxa" w:w="2292"/>
            <w:vAlign w:val="center"/>
            <w:shd w:fill="E9EEF3"/>
          </w:tcPr>
          <w:p>
            <w:pPr>
              <w:pStyle w:val="Compact"/>
              <w:keepNext/>
              <w:keepLines/>
              <w:spacing w:after="40" w:before="40" w:line="252" w:lineRule="auto"/>
              <w:jc w:val="left"/>
            </w:pPr>
            <w:r>
              <w:rPr>
                <w:b/>
                <w:sz w:val="20"/>
              </w:rPr>
              <w:t xml:space="preserve">Above 1.2 (%)</w:t>
            </w:r>
          </w:p>
        </w:tc>
        <w:tc>
          <w:tcPr>
            <w:tcW w:type="dxa" w:w="2292"/>
            <w:vAlign w:val="center"/>
            <w:shd w:fill="E9EEF3"/>
          </w:tcPr>
          <w:p>
            <w:pPr>
              <w:pStyle w:val="Compact"/>
              <w:keepNext/>
              <w:keepLines/>
              <w:spacing w:after="40" w:before="40" w:line="252" w:lineRule="auto"/>
              <w:jc w:val="left"/>
            </w:pPr>
            <w:r>
              <w:rPr>
                <w:b/>
                <w:sz w:val="20"/>
              </w:rPr>
              <w:t xml:space="preserve">Above 1.8 (%)</w:t>
            </w:r>
          </w:p>
        </w:tc>
        <w:tc>
          <w:tcPr>
            <w:tcW w:type="dxa" w:w="2149"/>
            <w:vAlign w:val="center"/>
            <w:shd w:fill="E9EEF3"/>
          </w:tcPr>
          <w:p>
            <w:pPr>
              <w:pStyle w:val="Compact"/>
              <w:keepNext/>
              <w:keepLines/>
              <w:spacing w:after="40" w:before="40" w:line="252" w:lineRule="auto"/>
              <w:jc w:val="left"/>
            </w:pPr>
            <w:r>
              <w:rPr>
                <w:b/>
                <w:sz w:val="20"/>
              </w:rPr>
              <w:t xml:space="preserve">Normalised variance</w:t>
            </w:r>
          </w:p>
        </w:tc>
      </w:tr>
      <w:tr>
        <w:trPr>
          <w:cantSplit/>
        </w:trPr>
        <w:tc>
          <w:tcPr>
            <w:tcW w:type="dxa" w:w="3009"/>
            <w:vAlign w:val="center"/>
          </w:tcPr>
          <w:p>
            <w:pPr>
              <w:pStyle w:val="Compact"/>
              <w:keepNext/>
              <w:keepLines/>
              <w:spacing w:after="40" w:before="40" w:line="252" w:lineRule="auto"/>
              <w:jc w:val="right"/>
            </w:pPr>
            <w:r>
              <w:rPr>
                <w:b w:val="0"/>
                <w:sz w:val="20"/>
              </w:rPr>
              <w:t xml:space="preserve">31 Aug · 15:00 CT</w:t>
            </w:r>
          </w:p>
        </w:tc>
        <w:tc>
          <w:tcPr>
            <w:tcW w:type="dxa" w:w="2292"/>
            <w:vAlign w:val="center"/>
          </w:tcPr>
          <w:p>
            <w:pPr>
              <w:pStyle w:val="Compact"/>
              <w:keepNext/>
              <w:keepLines/>
              <w:spacing w:after="40" w:before="40" w:line="252" w:lineRule="auto"/>
              <w:jc w:val="left"/>
            </w:pPr>
            <w:r>
              <w:rPr>
                <w:b w:val="0"/>
                <w:sz w:val="20"/>
              </w:rPr>
              <w:t xml:space="preserve">All pairs</w:t>
            </w:r>
          </w:p>
        </w:tc>
        <w:tc>
          <w:tcPr>
            <w:tcW w:type="dxa" w:w="2292"/>
            <w:vAlign w:val="center"/>
          </w:tcPr>
          <w:p>
            <w:pPr>
              <w:pStyle w:val="Compact"/>
              <w:keepNext/>
              <w:keepLines/>
              <w:spacing w:after="40" w:before="40" w:line="252" w:lineRule="auto"/>
              <w:jc w:val="right"/>
            </w:pPr>
            <w:r>
              <w:rPr>
                <w:b w:val="0"/>
                <w:sz w:val="20"/>
              </w:rPr>
              <w:t xml:space="preserve">1.3072946</w:t>
            </w:r>
          </w:p>
        </w:tc>
        <w:tc>
          <w:tcPr>
            <w:tcW w:type="dxa" w:w="2292"/>
            <w:vAlign w:val="center"/>
          </w:tcPr>
          <w:p>
            <w:pPr>
              <w:pStyle w:val="Compact"/>
              <w:keepNext/>
              <w:keepLines/>
              <w:spacing w:after="40" w:before="40" w:line="252" w:lineRule="auto"/>
              <w:jc w:val="right"/>
            </w:pPr>
            <w:r>
              <w:rPr>
                <w:b w:val="0"/>
                <w:sz w:val="20"/>
              </w:rPr>
              <w:t xml:space="preserve">0.0288369</w:t>
            </w:r>
          </w:p>
        </w:tc>
        <w:tc>
          <w:tcPr>
            <w:tcW w:type="dxa" w:w="2292"/>
            <w:vAlign w:val="center"/>
          </w:tcPr>
          <w:p>
            <w:pPr>
              <w:pStyle w:val="Compact"/>
              <w:keepNext/>
              <w:keepLines/>
              <w:spacing w:after="40" w:before="40" w:line="252" w:lineRule="auto"/>
              <w:jc w:val="right"/>
            </w:pPr>
            <w:r>
              <w:rPr>
                <w:b w:val="0"/>
                <w:sz w:val="20"/>
              </w:rPr>
              <w:t xml:space="preserve">0.0000000</w:t>
            </w:r>
          </w:p>
        </w:tc>
        <w:tc>
          <w:tcPr>
            <w:tcW w:type="dxa" w:w="2149"/>
            <w:vAlign w:val="center"/>
          </w:tcPr>
          <w:p>
            <w:pPr>
              <w:pStyle w:val="Compact"/>
              <w:keepNext/>
              <w:keepLines/>
              <w:spacing w:after="40" w:before="40" w:line="252" w:lineRule="auto"/>
              <w:jc w:val="right"/>
            </w:pPr>
            <w:r>
              <w:rPr>
                <w:b w:val="0"/>
                <w:sz w:val="20"/>
              </w:rPr>
              <w:t xml:space="preserve">0.00391937</w:t>
            </w:r>
          </w:p>
        </w:tc>
      </w:tr>
      <w:tr>
        <w:trPr>
          <w:cantSplit/>
        </w:trPr>
        <w:tc>
          <w:tcPr>
            <w:tcW w:type="dxa" w:w="3009"/>
            <w:vAlign w:val="center"/>
          </w:tcPr>
          <w:p>
            <w:pPr>
              <w:pStyle w:val="Compact"/>
              <w:keepNext/>
              <w:keepLines/>
              <w:spacing w:after="40" w:before="40" w:line="252" w:lineRule="auto"/>
              <w:jc w:val="right"/>
            </w:pPr>
            <w:r>
              <w:rPr>
                <w:b w:val="0"/>
                <w:sz w:val="20"/>
              </w:rPr>
              <w:t xml:space="preserve">31 Aug · 15:00 CT</w:t>
            </w:r>
          </w:p>
        </w:tc>
        <w:tc>
          <w:tcPr>
            <w:tcW w:type="dxa" w:w="2292"/>
            <w:vAlign w:val="center"/>
          </w:tcPr>
          <w:p>
            <w:pPr>
              <w:pStyle w:val="Compact"/>
              <w:keepNext/>
              <w:keepLines/>
              <w:spacing w:after="40" w:before="40" w:line="252" w:lineRule="auto"/>
              <w:jc w:val="left"/>
            </w:pPr>
            <w:r>
              <w:rPr>
                <w:b w:val="0"/>
                <w:sz w:val="20"/>
              </w:rPr>
              <w:t xml:space="preserve">Common contracts</w:t>
            </w:r>
          </w:p>
        </w:tc>
        <w:tc>
          <w:tcPr>
            <w:tcW w:type="dxa" w:w="2292"/>
            <w:vAlign w:val="center"/>
          </w:tcPr>
          <w:p>
            <w:pPr>
              <w:pStyle w:val="Compact"/>
              <w:keepNext/>
              <w:keepLines/>
              <w:spacing w:after="40" w:before="40" w:line="252" w:lineRule="auto"/>
              <w:jc w:val="right"/>
            </w:pPr>
            <w:r>
              <w:rPr>
                <w:b w:val="0"/>
                <w:sz w:val="20"/>
              </w:rPr>
              <w:t xml:space="preserve">1.3088835</w:t>
            </w:r>
          </w:p>
        </w:tc>
        <w:tc>
          <w:tcPr>
            <w:tcW w:type="dxa" w:w="2292"/>
            <w:vAlign w:val="center"/>
          </w:tcPr>
          <w:p>
            <w:pPr>
              <w:pStyle w:val="Compact"/>
              <w:keepNext/>
              <w:keepLines/>
              <w:spacing w:after="40" w:before="40" w:line="252" w:lineRule="auto"/>
              <w:jc w:val="right"/>
            </w:pPr>
            <w:r>
              <w:rPr>
                <w:b w:val="0"/>
                <w:sz w:val="20"/>
              </w:rPr>
              <w:t xml:space="preserve">0.0288158</w:t>
            </w:r>
          </w:p>
        </w:tc>
        <w:tc>
          <w:tcPr>
            <w:tcW w:type="dxa" w:w="2292"/>
            <w:vAlign w:val="center"/>
          </w:tcPr>
          <w:p>
            <w:pPr>
              <w:pStyle w:val="Compact"/>
              <w:keepNext/>
              <w:keepLines/>
              <w:spacing w:after="40" w:before="40" w:line="252" w:lineRule="auto"/>
              <w:jc w:val="right"/>
            </w:pPr>
            <w:r>
              <w:rPr>
                <w:b w:val="0"/>
                <w:sz w:val="20"/>
              </w:rPr>
              <w:t xml:space="preserve">0.0000000</w:t>
            </w:r>
          </w:p>
        </w:tc>
        <w:tc>
          <w:tcPr>
            <w:tcW w:type="dxa" w:w="2149"/>
            <w:vAlign w:val="center"/>
          </w:tcPr>
          <w:p>
            <w:pPr>
              <w:pStyle w:val="Compact"/>
              <w:keepNext/>
              <w:keepLines/>
              <w:spacing w:after="40" w:before="40" w:line="252" w:lineRule="auto"/>
              <w:jc w:val="right"/>
            </w:pPr>
            <w:r>
              <w:rPr>
                <w:b w:val="0"/>
                <w:sz w:val="20"/>
              </w:rPr>
              <w:t xml:space="preserve">0.00394024</w:t>
            </w:r>
          </w:p>
        </w:tc>
      </w:tr>
      <w:tr>
        <w:trPr>
          <w:cantSplit/>
        </w:trPr>
        <w:tc>
          <w:tcPr>
            <w:tcW w:type="dxa" w:w="3009"/>
            <w:vAlign w:val="center"/>
          </w:tcPr>
          <w:p>
            <w:pPr>
              <w:pStyle w:val="Compact"/>
              <w:keepNext/>
              <w:keepLines/>
              <w:spacing w:after="40" w:before="40" w:line="252" w:lineRule="auto"/>
              <w:jc w:val="right"/>
            </w:pPr>
            <w:r>
              <w:rPr>
                <w:b w:val="0"/>
                <w:sz w:val="20"/>
              </w:rPr>
              <w:t xml:space="preserve">18 Sep · 15:00 CT</w:t>
            </w:r>
          </w:p>
        </w:tc>
        <w:tc>
          <w:tcPr>
            <w:tcW w:type="dxa" w:w="2292"/>
            <w:vAlign w:val="center"/>
          </w:tcPr>
          <w:p>
            <w:pPr>
              <w:pStyle w:val="Compact"/>
              <w:keepNext/>
              <w:keepLines/>
              <w:spacing w:after="40" w:before="40" w:line="252" w:lineRule="auto"/>
              <w:jc w:val="left"/>
            </w:pPr>
            <w:r>
              <w:rPr>
                <w:b w:val="0"/>
                <w:sz w:val="20"/>
              </w:rPr>
              <w:t xml:space="preserve">All pairs</w:t>
            </w:r>
          </w:p>
        </w:tc>
        <w:tc>
          <w:tcPr>
            <w:tcW w:type="dxa" w:w="2292"/>
            <w:vAlign w:val="center"/>
          </w:tcPr>
          <w:p>
            <w:pPr>
              <w:pStyle w:val="Compact"/>
              <w:keepNext/>
              <w:keepLines/>
              <w:spacing w:after="40" w:before="40" w:line="252" w:lineRule="auto"/>
              <w:jc w:val="right"/>
            </w:pPr>
            <w:r>
              <w:rPr>
                <w:b w:val="0"/>
                <w:sz w:val="20"/>
              </w:rPr>
              <w:t xml:space="preserve">1.3888690</w:t>
            </w:r>
          </w:p>
        </w:tc>
        <w:tc>
          <w:tcPr>
            <w:tcW w:type="dxa" w:w="2292"/>
            <w:vAlign w:val="center"/>
          </w:tcPr>
          <w:p>
            <w:pPr>
              <w:pStyle w:val="Compact"/>
              <w:keepNext/>
              <w:keepLines/>
              <w:spacing w:after="40" w:before="40" w:line="252" w:lineRule="auto"/>
              <w:jc w:val="right"/>
            </w:pPr>
            <w:r>
              <w:rPr>
                <w:b w:val="0"/>
                <w:sz w:val="20"/>
              </w:rPr>
              <w:t xml:space="preserve">0.0239813</w:t>
            </w:r>
          </w:p>
        </w:tc>
        <w:tc>
          <w:tcPr>
            <w:tcW w:type="dxa" w:w="2292"/>
            <w:vAlign w:val="center"/>
          </w:tcPr>
          <w:p>
            <w:pPr>
              <w:pStyle w:val="Compact"/>
              <w:keepNext/>
              <w:keepLines/>
              <w:spacing w:after="40" w:before="40" w:line="252" w:lineRule="auto"/>
              <w:jc w:val="right"/>
            </w:pPr>
            <w:r>
              <w:rPr>
                <w:b w:val="0"/>
                <w:sz w:val="20"/>
              </w:rPr>
              <w:t xml:space="preserve">0.0002990</w:t>
            </w:r>
          </w:p>
        </w:tc>
        <w:tc>
          <w:tcPr>
            <w:tcW w:type="dxa" w:w="2149"/>
            <w:vAlign w:val="center"/>
          </w:tcPr>
          <w:p>
            <w:pPr>
              <w:pStyle w:val="Compact"/>
              <w:keepNext/>
              <w:keepLines/>
              <w:spacing w:after="40" w:before="40" w:line="252" w:lineRule="auto"/>
              <w:jc w:val="right"/>
            </w:pPr>
            <w:r>
              <w:rPr>
                <w:b w:val="0"/>
                <w:sz w:val="20"/>
              </w:rPr>
              <w:t xml:space="preserve">0.00408341</w:t>
            </w:r>
          </w:p>
        </w:tc>
      </w:tr>
      <w:tr>
        <w:trPr>
          <w:cantSplit/>
        </w:trPr>
        <w:tc>
          <w:tcPr>
            <w:tcW w:type="dxa" w:w="3009"/>
            <w:vAlign w:val="center"/>
          </w:tcPr>
          <w:p>
            <w:pPr>
              <w:pStyle w:val="Compact"/>
              <w:keepNext/>
              <w:keepLines/>
              <w:spacing w:after="40" w:before="40" w:line="252" w:lineRule="auto"/>
              <w:jc w:val="right"/>
            </w:pPr>
            <w:r>
              <w:rPr>
                <w:b w:val="0"/>
                <w:sz w:val="20"/>
              </w:rPr>
              <w:t xml:space="preserve">18 Sep · 15:00 CT</w:t>
            </w:r>
          </w:p>
        </w:tc>
        <w:tc>
          <w:tcPr>
            <w:tcW w:type="dxa" w:w="2292"/>
            <w:vAlign w:val="center"/>
          </w:tcPr>
          <w:p>
            <w:pPr>
              <w:pStyle w:val="Compact"/>
              <w:keepNext/>
              <w:keepLines/>
              <w:spacing w:after="40" w:before="40" w:line="252" w:lineRule="auto"/>
              <w:jc w:val="left"/>
            </w:pPr>
            <w:r>
              <w:rPr>
                <w:b w:val="0"/>
                <w:sz w:val="20"/>
              </w:rPr>
              <w:t xml:space="preserve">Common contracts</w:t>
            </w:r>
          </w:p>
        </w:tc>
        <w:tc>
          <w:tcPr>
            <w:tcW w:type="dxa" w:w="2292"/>
            <w:vAlign w:val="center"/>
          </w:tcPr>
          <w:p>
            <w:pPr>
              <w:pStyle w:val="Compact"/>
              <w:keepNext/>
              <w:keepLines/>
              <w:spacing w:after="40" w:before="40" w:line="252" w:lineRule="auto"/>
              <w:jc w:val="right"/>
            </w:pPr>
            <w:r>
              <w:rPr>
                <w:b w:val="0"/>
                <w:sz w:val="20"/>
              </w:rPr>
              <w:t xml:space="preserve">1.4007878</w:t>
            </w:r>
          </w:p>
        </w:tc>
        <w:tc>
          <w:tcPr>
            <w:tcW w:type="dxa" w:w="2292"/>
            <w:vAlign w:val="center"/>
          </w:tcPr>
          <w:p>
            <w:pPr>
              <w:pStyle w:val="Compact"/>
              <w:keepNext/>
              <w:keepLines/>
              <w:spacing w:after="40" w:before="40" w:line="252" w:lineRule="auto"/>
              <w:jc w:val="right"/>
            </w:pPr>
            <w:r>
              <w:rPr>
                <w:b w:val="0"/>
                <w:sz w:val="20"/>
              </w:rPr>
              <w:t xml:space="preserve">0.0591652</w:t>
            </w:r>
          </w:p>
        </w:tc>
        <w:tc>
          <w:tcPr>
            <w:tcW w:type="dxa" w:w="2292"/>
            <w:vAlign w:val="center"/>
          </w:tcPr>
          <w:p>
            <w:pPr>
              <w:pStyle w:val="Compact"/>
              <w:keepNext/>
              <w:keepLines/>
              <w:spacing w:after="40" w:before="40" w:line="252" w:lineRule="auto"/>
              <w:jc w:val="right"/>
            </w:pPr>
            <w:r>
              <w:rPr>
                <w:b w:val="0"/>
                <w:sz w:val="20"/>
              </w:rPr>
              <w:t xml:space="preserve">0.0001475</w:t>
            </w:r>
          </w:p>
        </w:tc>
        <w:tc>
          <w:tcPr>
            <w:tcW w:type="dxa" w:w="2149"/>
            <w:vAlign w:val="center"/>
          </w:tcPr>
          <w:p>
            <w:pPr>
              <w:pStyle w:val="Compact"/>
              <w:keepNext/>
              <w:keepLines/>
              <w:spacing w:after="40" w:before="40" w:line="252" w:lineRule="auto"/>
              <w:jc w:val="right"/>
            </w:pPr>
            <w:r>
              <w:rPr>
                <w:b w:val="0"/>
                <w:sz w:val="20"/>
              </w:rPr>
              <w:t xml:space="preserve">0.00406689</w:t>
            </w:r>
          </w:p>
        </w:tc>
      </w:tr>
      <w:tr>
        <w:trPr>
          <w:cantSplit/>
        </w:trPr>
        <w:tc>
          <w:tcPr>
            <w:tcW w:type="dxa" w:w="3009"/>
            <w:vAlign w:val="center"/>
          </w:tcPr>
          <w:p>
            <w:pPr>
              <w:pStyle w:val="Compact"/>
              <w:keepNext/>
              <w:keepLines/>
              <w:spacing w:after="40" w:before="40" w:line="252" w:lineRule="auto"/>
              <w:jc w:val="right"/>
            </w:pPr>
            <w:r>
              <w:rPr>
                <w:b w:val="0"/>
                <w:sz w:val="20"/>
              </w:rPr>
              <w:t xml:space="preserve">18 Sep · 15:15 CT</w:t>
            </w:r>
          </w:p>
        </w:tc>
        <w:tc>
          <w:tcPr>
            <w:tcW w:type="dxa" w:w="2292"/>
            <w:vAlign w:val="center"/>
          </w:tcPr>
          <w:p>
            <w:pPr>
              <w:pStyle w:val="Compact"/>
              <w:keepNext/>
              <w:keepLines/>
              <w:spacing w:after="40" w:before="40" w:line="252" w:lineRule="auto"/>
              <w:jc w:val="left"/>
            </w:pPr>
            <w:r>
              <w:rPr>
                <w:b w:val="0"/>
                <w:sz w:val="20"/>
              </w:rPr>
              <w:t xml:space="preserve">All pairs</w:t>
            </w:r>
          </w:p>
        </w:tc>
        <w:tc>
          <w:tcPr>
            <w:tcW w:type="dxa" w:w="2292"/>
            <w:vAlign w:val="center"/>
          </w:tcPr>
          <w:p>
            <w:pPr>
              <w:pStyle w:val="Compact"/>
              <w:keepNext/>
              <w:keepLines/>
              <w:spacing w:after="40" w:before="40" w:line="252" w:lineRule="auto"/>
              <w:jc w:val="right"/>
            </w:pPr>
            <w:r>
              <w:rPr>
                <w:b w:val="0"/>
                <w:sz w:val="20"/>
              </w:rPr>
              <w:t xml:space="preserve">1.3771398</w:t>
            </w:r>
          </w:p>
        </w:tc>
        <w:tc>
          <w:tcPr>
            <w:tcW w:type="dxa" w:w="2292"/>
            <w:vAlign w:val="center"/>
          </w:tcPr>
          <w:p>
            <w:pPr>
              <w:pStyle w:val="Compact"/>
              <w:keepNext/>
              <w:keepLines/>
              <w:spacing w:after="40" w:before="40" w:line="252" w:lineRule="auto"/>
              <w:jc w:val="right"/>
            </w:pPr>
            <w:r>
              <w:rPr>
                <w:b w:val="0"/>
                <w:sz w:val="20"/>
              </w:rPr>
              <w:t xml:space="preserve">0.0724494</w:t>
            </w:r>
          </w:p>
        </w:tc>
        <w:tc>
          <w:tcPr>
            <w:tcW w:type="dxa" w:w="2292"/>
            <w:vAlign w:val="center"/>
          </w:tcPr>
          <w:p>
            <w:pPr>
              <w:pStyle w:val="Compact"/>
              <w:keepNext/>
              <w:keepLines/>
              <w:spacing w:after="40" w:before="40" w:line="252" w:lineRule="auto"/>
              <w:jc w:val="right"/>
            </w:pPr>
            <w:r>
              <w:rPr>
                <w:b w:val="0"/>
                <w:sz w:val="20"/>
              </w:rPr>
              <w:t xml:space="preserve">0.0000000</w:t>
            </w:r>
          </w:p>
        </w:tc>
        <w:tc>
          <w:tcPr>
            <w:tcW w:type="dxa" w:w="2149"/>
            <w:vAlign w:val="center"/>
          </w:tcPr>
          <w:p>
            <w:pPr>
              <w:pStyle w:val="Compact"/>
              <w:keepNext/>
              <w:keepLines/>
              <w:spacing w:after="40" w:before="40" w:line="252" w:lineRule="auto"/>
              <w:jc w:val="right"/>
            </w:pPr>
            <w:r>
              <w:rPr>
                <w:b w:val="0"/>
                <w:sz w:val="20"/>
              </w:rPr>
              <w:t xml:space="preserve">0.00403270</w:t>
            </w:r>
          </w:p>
        </w:tc>
      </w:tr>
      <w:tr>
        <w:trPr>
          <w:cantSplit/>
        </w:trPr>
        <w:tc>
          <w:tcPr>
            <w:tcW w:type="dxa" w:w="3009"/>
            <w:vAlign w:val="center"/>
          </w:tcPr>
          <w:p>
            <w:pPr>
              <w:pStyle w:val="Compact"/>
              <w:keepNext/>
              <w:keepLines/>
              <w:spacing w:after="40" w:before="40" w:line="252" w:lineRule="auto"/>
              <w:jc w:val="right"/>
            </w:pPr>
            <w:r>
              <w:rPr>
                <w:b w:val="0"/>
                <w:sz w:val="20"/>
              </w:rPr>
              <w:t xml:space="preserve">18 Sep · 15:15 CT</w:t>
            </w:r>
          </w:p>
        </w:tc>
        <w:tc>
          <w:tcPr>
            <w:tcW w:type="dxa" w:w="2292"/>
            <w:vAlign w:val="center"/>
          </w:tcPr>
          <w:p>
            <w:pPr>
              <w:pStyle w:val="Compact"/>
              <w:keepNext/>
              <w:keepLines/>
              <w:spacing w:after="40" w:before="40" w:line="252" w:lineRule="auto"/>
              <w:jc w:val="left"/>
            </w:pPr>
            <w:r>
              <w:rPr>
                <w:b w:val="0"/>
                <w:sz w:val="20"/>
              </w:rPr>
              <w:t xml:space="preserve">Common contracts</w:t>
            </w:r>
          </w:p>
        </w:tc>
        <w:tc>
          <w:tcPr>
            <w:tcW w:type="dxa" w:w="2292"/>
            <w:vAlign w:val="center"/>
          </w:tcPr>
          <w:p>
            <w:pPr>
              <w:pStyle w:val="Compact"/>
              <w:keepNext/>
              <w:keepLines/>
              <w:spacing w:after="40" w:before="40" w:line="252" w:lineRule="auto"/>
              <w:jc w:val="right"/>
            </w:pPr>
            <w:r>
              <w:rPr>
                <w:b w:val="0"/>
                <w:sz w:val="20"/>
              </w:rPr>
              <w:t xml:space="preserve">1.3742812</w:t>
            </w:r>
          </w:p>
        </w:tc>
        <w:tc>
          <w:tcPr>
            <w:tcW w:type="dxa" w:w="2292"/>
            <w:vAlign w:val="center"/>
          </w:tcPr>
          <w:p>
            <w:pPr>
              <w:pStyle w:val="Compact"/>
              <w:keepNext/>
              <w:keepLines/>
              <w:spacing w:after="40" w:before="40" w:line="252" w:lineRule="auto"/>
              <w:jc w:val="right"/>
            </w:pPr>
            <w:r>
              <w:rPr>
                <w:b w:val="0"/>
                <w:sz w:val="20"/>
              </w:rPr>
              <w:t xml:space="preserve">0.0617352</w:t>
            </w:r>
          </w:p>
        </w:tc>
        <w:tc>
          <w:tcPr>
            <w:tcW w:type="dxa" w:w="2292"/>
            <w:vAlign w:val="center"/>
          </w:tcPr>
          <w:p>
            <w:pPr>
              <w:pStyle w:val="Compact"/>
              <w:keepNext/>
              <w:keepLines/>
              <w:spacing w:after="40" w:before="40" w:line="252" w:lineRule="auto"/>
              <w:jc w:val="right"/>
            </w:pPr>
            <w:r>
              <w:rPr>
                <w:b w:val="0"/>
                <w:sz w:val="20"/>
              </w:rPr>
              <w:t xml:space="preserve">0.0000464</w:t>
            </w:r>
          </w:p>
        </w:tc>
        <w:tc>
          <w:tcPr>
            <w:tcW w:type="dxa" w:w="2149"/>
            <w:vAlign w:val="center"/>
          </w:tcPr>
          <w:p>
            <w:pPr>
              <w:pStyle w:val="Compact"/>
              <w:keepNext/>
              <w:keepLines/>
              <w:spacing w:after="40" w:before="40" w:line="252" w:lineRule="auto"/>
              <w:jc w:val="right"/>
            </w:pPr>
            <w:r>
              <w:rPr>
                <w:b w:val="0"/>
                <w:sz w:val="20"/>
              </w:rPr>
              <w:t xml:space="preserve">0.00403093</w:t>
            </w:r>
          </w:p>
        </w:tc>
      </w:tr>
    </w:tbl>
    <w:p>
      <w:bookmarkStart w:id="660" w:name="table35"/>
      <w:pPr>
        <w:pStyle w:val="TableCaption"/>
      </w:pPr>
      <w:r>
        <w:t xml:space="preserve">Table 35. Conditional 60-day point summaries from the stated interpolation. Tail columns are percentages of the interpolated normalised distribution, not observed physical probabilities. Values rounded to zero are not proofs of a zero-probability event.</w:t>
      </w:r>
      <w:bookmarkEnd w:id="660"/>
    </w:p>
    <w:p>
      <w:pPr>
        <w:sectPr>
          <w:type w:val="nextPage"/>
          <w:pgSz w:w="16838" w:h="11906" w:orient="landscape"/>
          <w:pgMar w:top="1008" w:bottom="1008" w:left="1152" w:right="1152" w:header="432" w:footer="432" w:gutter="0"/>
          <w:pgNumType w:fmt="decimal"/>
        </w:sectPr>
        <w:spacing w:before="0" w:after="0" w:line="1" w:lineRule="exact"/>
      </w:pPr>
      <w:r>
        <w:rPr>
          <w:sz w:val="2"/>
        </w:rPr>
      </w:r>
    </w:p>
    <w:p>
      <w:pPr>
        <w:pStyle w:val="BodyText"/>
      </w:pPr>
      <w:r>
        <w:t xml:space="preserve">Equation (46) provides a descriptive distance between two histograms on the same normalised bins. Integrating each constant bin-height difference gives the sum of absolute mass differences. Neither fitted density is treated as truth.</w:t>
      </w:r>
    </w:p>
    <w:p>
      <w:pPr>
        <w:pStyle w:val="BodyText"/>
        <w:keepNext/>
        <w:spacing w:before="120" w:after="40"/>
        <w:jc w:val="center"/>
      </w:pPr>
      <m:oMathPara>
        <m:oMathParaPr>
          <m:jc m:val="center"/>
        </m:oMathParaPr>
        <m:oMath>
          <m:m>
            <m:mPr>
              <m:baseJc m:val="center"/>
              <m:plcHide m:val="on"/>
              <m:mcs>
                <m:mc>
                  <m:mcPr>
                    <m:mcJc m:val="center"/>
                    <m:count m:val="1"/>
                  </m:mcPr>
                </m:mc>
              </m:mcs>
            </m:mPr>
            <m:mr>
              <m:e>
                <m:sSub>
                  <m:e>
                    <m:r>
                      <m:t>d</m:t>
                    </m:r>
                  </m:e>
                  <m:sub>
                    <m:r>
                      <m:t>1</m:t>
                    </m:r>
                  </m:sub>
                </m:sSub>
                <m:d>
                  <m:dPr>
                    <m:begChr m:val="("/>
                    <m:endChr m:val=")"/>
                    <m:sepChr m:val=""/>
                    <m:grow/>
                  </m:dPr>
                  <m:e>
                    <m:sSup>
                      <m:e>
                        <m:acc>
                          <m:accPr>
                            <m:chr m:val="̂"/>
                          </m:accPr>
                          <m:e>
                            <m:r>
                              <m:t>g</m:t>
                            </m:r>
                          </m:e>
                        </m:acc>
                      </m:e>
                      <m:sup>
                        <m:d>
                          <m:dPr>
                            <m:begChr m:val="("/>
                            <m:endChr m:val=")"/>
                            <m:sepChr m:val=""/>
                            <m:grow/>
                          </m:dPr>
                          <m:e>
                            <m:r>
                              <m:t>a</m:t>
                            </m:r>
                          </m:e>
                        </m:d>
                      </m:sup>
                    </m:sSup>
                    <m:r>
                      <m:rPr>
                        <m:sty m:val="p"/>
                      </m:rPr>
                      <m:t>,</m:t>
                    </m:r>
                    <m:sSup>
                      <m:e>
                        <m:acc>
                          <m:accPr>
                            <m:chr m:val="̂"/>
                          </m:accPr>
                          <m:e>
                            <m:r>
                              <m:t>g</m:t>
                            </m:r>
                          </m:e>
                        </m:acc>
                      </m:e>
                      <m:sup>
                        <m:d>
                          <m:dPr>
                            <m:begChr m:val="("/>
                            <m:endChr m:val=")"/>
                            <m:sepChr m:val=""/>
                            <m:grow/>
                          </m:dPr>
                          <m:e>
                            <m:r>
                              <m:t>b</m:t>
                            </m:r>
                          </m:e>
                        </m:d>
                      </m:sup>
                    </m:sSup>
                  </m:e>
                </m:d>
                <m:r>
                  <m:rPr>
                    <m:sty m:val="p"/>
                  </m:rPr>
                  <m:t>=</m:t>
                </m:r>
                <m:nary>
                  <m:naryPr>
                    <m:chr m:val="∫"/>
                    <m:limLoc m:val="subSup"/>
                    <m:subHide m:val="off"/>
                    <m:supHide m:val="off"/>
                  </m:naryPr>
                  <m:sub>
                    <m:r>
                      <m:t>0.3</m:t>
                    </m:r>
                  </m:sub>
                  <m:sup>
                    <m:r>
                      <m:t>2.2</m:t>
                    </m:r>
                  </m:sup>
                  <m:e>
                    <m:d>
                      <m:dPr>
                        <m:begChr m:val="|"/>
                        <m:endChr m:val="|"/>
                        <m:sepChr m:val=""/>
                        <m:grow/>
                      </m:dPr>
                      <m:e>
                        <m:sSup>
                          <m:e>
                            <m:acc>
                              <m:accPr>
                                <m:chr m:val="̂"/>
                              </m:accPr>
                              <m:e>
                                <m:r>
                                  <m:t>g</m:t>
                                </m:r>
                              </m:e>
                            </m:acc>
                          </m:e>
                          <m:sup>
                            <m:d>
                              <m:dPr>
                                <m:begChr m:val="("/>
                                <m:endChr m:val=")"/>
                                <m:sepChr m:val=""/>
                                <m:grow/>
                              </m:dPr>
                              <m:e>
                                <m:r>
                                  <m:t>a</m:t>
                                </m:r>
                              </m:e>
                            </m:d>
                          </m:sup>
                        </m:sSup>
                        <m:d>
                          <m:dPr>
                            <m:begChr m:val="("/>
                            <m:endChr m:val=")"/>
                            <m:sepChr m:val=""/>
                            <m:grow/>
                          </m:dPr>
                          <m:e>
                            <m:r>
                              <m:t>x</m:t>
                            </m:r>
                          </m:e>
                        </m:d>
                        <m:r>
                          <m:rPr>
                            <m:sty m:val="p"/>
                          </m:rPr>
                          <m:t>−</m:t>
                        </m:r>
                        <m:sSup>
                          <m:e>
                            <m:acc>
                              <m:accPr>
                                <m:chr m:val="̂"/>
                              </m:accPr>
                              <m:e>
                                <m:r>
                                  <m:t>g</m:t>
                                </m:r>
                              </m:e>
                            </m:acc>
                          </m:e>
                          <m:sup>
                            <m:d>
                              <m:dPr>
                                <m:begChr m:val="("/>
                                <m:endChr m:val=")"/>
                                <m:sepChr m:val=""/>
                                <m:grow/>
                              </m:dPr>
                              <m:e>
                                <m:r>
                                  <m:t>b</m:t>
                                </m:r>
                              </m:e>
                            </m:d>
                          </m:sup>
                        </m:sSup>
                        <m:d>
                          <m:dPr>
                            <m:begChr m:val="("/>
                            <m:endChr m:val=")"/>
                            <m:sepChr m:val=""/>
                            <m:grow/>
                          </m:dPr>
                          <m:e>
                            <m:r>
                              <m:t>x</m:t>
                            </m:r>
                          </m:e>
                        </m:d>
                      </m:e>
                    </m:d>
                  </m:e>
                </m:nary>
                <m:r>
                  <m:t> </m:t>
                </m:r>
                <m:r>
                  <m:t>d</m:t>
                </m:r>
                <m:r>
                  <m:t>x</m:t>
                </m:r>
              </m:e>
            </m:mr>
            <m:mr>
              <m:e>
                <m:r>
                  <m:rPr>
                    <m:sty m:val="p"/>
                  </m:rPr>
                  <m:t>=</m:t>
                </m:r>
                <m:nary>
                  <m:naryPr>
                    <m:chr m:val="∑"/>
                    <m:limLoc m:val="undOvr"/>
                    <m:subHide m:val="off"/>
                    <m:supHide m:val="off"/>
                  </m:naryPr>
                  <m:sub>
                    <m:r>
                      <m:t>j</m:t>
                    </m:r>
                    <m:r>
                      <m:rPr>
                        <m:sty m:val="p"/>
                      </m:rPr>
                      <m:t>=</m:t>
                    </m:r>
                    <m:r>
                      <m:t>1</m:t>
                    </m:r>
                  </m:sub>
                  <m:sup>
                    <m:r>
                      <m:t>J</m:t>
                    </m:r>
                  </m:sup>
                  <m:e>
                    <m:d>
                      <m:dPr>
                        <m:begChr m:val="|"/>
                        <m:endChr m:val="|"/>
                        <m:sepChr m:val=""/>
                        <m:grow/>
                      </m:dPr>
                      <m:e>
                        <m:sSubSup>
                          <m:e>
                            <m:r>
                              <m:t>w</m:t>
                            </m:r>
                          </m:e>
                          <m:sub>
                            <m:r>
                              <m:t>j</m:t>
                            </m:r>
                          </m:sub>
                          <m:sup>
                            <m:d>
                              <m:dPr>
                                <m:begChr m:val="("/>
                                <m:endChr m:val=")"/>
                                <m:sepChr m:val=""/>
                                <m:grow/>
                              </m:dPr>
                              <m:e>
                                <m:r>
                                  <m:t>a</m:t>
                                </m:r>
                              </m:e>
                            </m:d>
                          </m:sup>
                        </m:sSubSup>
                        <m:r>
                          <m:rPr>
                            <m:sty m:val="p"/>
                          </m:rPr>
                          <m:t>−</m:t>
                        </m:r>
                        <m:sSubSup>
                          <m:e>
                            <m:r>
                              <m:t>w</m:t>
                            </m:r>
                          </m:e>
                          <m:sub>
                            <m:r>
                              <m:t>j</m:t>
                            </m:r>
                          </m:sub>
                          <m:sup>
                            <m:d>
                              <m:dPr>
                                <m:begChr m:val="("/>
                                <m:endChr m:val=")"/>
                                <m:sepChr m:val=""/>
                                <m:grow/>
                              </m:dPr>
                              <m:e>
                                <m:r>
                                  <m:t>b</m:t>
                                </m:r>
                              </m:e>
                            </m:d>
                          </m:sup>
                        </m:sSubSup>
                      </m:e>
                    </m:d>
                  </m:e>
                </m:nary>
                <m:r>
                  <m:rPr>
                    <m:sty m:val="p"/>
                  </m:rPr>
                  <m:t>.</m:t>
                </m:r>
              </m:e>
            </m:mr>
          </m:m>
        </m:oMath>
      </m:oMathPara>
    </w:p>
    <w:p>
      <w:bookmarkStart w:id="661" w:name="equation46"/>
      <w:pPr>
        <w:pStyle w:val="EquationCaption"/>
      </w:pPr>
      <w:r>
        <w:t xml:space="preserve">Equation 46. Absolute distance between two fitted normalised densities.</w:t>
      </w:r>
      <w:bookmarkEnd w:id="661"/>
    </w:p>
    <w:p>
      <w:pPr>
        <w:pStyle w:val="BodyText"/>
      </w:pPr>
      <w:r>
        <w:t xml:space="preserve">The common-sixty-day August-to-September distance is 0.048225 using all pairs and 0.051226 for the common-contract control. Between the two September snapshots it is 0.018170 and 0.017322, respectively. These are distances between conditional fitted distributions, not recovery errors or measures of statistical significance.</w:t>
      </w:r>
    </w:p>
    <w:p>
      <w:pPr>
        <w:sectPr>
          <w:type w:val="nextPage"/>
          <w:pgSz w:w="11906" w:h="16838" w:orient="portrait"/>
          <w:pgMar w:top="1008" w:bottom="1008" w:left="1152" w:right="1152" w:header="432" w:footer="432" w:gutter="0"/>
          <w:pgNumType w:fmt="decimal"/>
        </w:sectPr>
        <w:spacing w:before="0" w:after="0" w:line="1" w:lineRule="exact"/>
      </w:pPr>
      <w:r>
        <w:rPr>
          <w:sz w:val="2"/>
        </w:rPr>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152"/>
        <w:gridCol w:w="3152"/>
        <w:gridCol w:w="2866"/>
        <w:gridCol w:w="2579"/>
        <w:gridCol w:w="2579"/>
      </w:tblGrid>
      <w:tr>
        <w:trPr>
          <w:tblHeader w:val="true"/>
          <w:cantSplit/>
          <w:tblHeader/>
        </w:trPr>
        <w:tc>
          <w:tcPr>
            <w:tcW w:type="dxa" w:w="3152"/>
            <w:vAlign w:val="center"/>
            <w:shd w:fill="E9EEF3"/>
          </w:tcPr>
          <w:p>
            <w:pPr>
              <w:pStyle w:val="Compact"/>
              <w:keepNext/>
              <w:keepLines/>
              <w:spacing w:after="40" w:before="40" w:line="252" w:lineRule="auto"/>
              <w:jc w:val="left"/>
            </w:pPr>
            <w:r>
              <w:rPr>
                <w:b/>
                <w:sz w:val="20"/>
              </w:rPr>
              <w:t xml:space="preserve">Snapshot</w:t>
            </w:r>
          </w:p>
        </w:tc>
        <w:tc>
          <w:tcPr>
            <w:tcW w:type="dxa" w:w="3152"/>
            <w:vAlign w:val="center"/>
            <w:shd w:fill="E9EEF3"/>
          </w:tcPr>
          <w:p>
            <w:pPr>
              <w:pStyle w:val="Compact"/>
              <w:keepNext/>
              <w:keepLines/>
              <w:spacing w:after="40" w:before="40" w:line="252" w:lineRule="auto"/>
              <w:jc w:val="left"/>
            </w:pPr>
            <w:r>
              <w:rPr>
                <w:b/>
                <w:sz w:val="20"/>
              </w:rPr>
              <w:t xml:space="preserve">60-day event</w:t>
            </w:r>
          </w:p>
        </w:tc>
        <w:tc>
          <w:tcPr>
            <w:tcW w:type="dxa" w:w="2866"/>
            <w:vAlign w:val="center"/>
            <w:shd w:fill="E9EEF3"/>
          </w:tcPr>
          <w:p>
            <w:pPr>
              <w:pStyle w:val="Compact"/>
              <w:keepNext/>
              <w:keepLines/>
              <w:spacing w:after="40" w:before="40" w:line="252" w:lineRule="auto"/>
              <w:jc w:val="left"/>
            </w:pPr>
            <w:r>
              <w:rPr>
                <w:b/>
                <w:sz w:val="20"/>
              </w:rPr>
              <w:t xml:space="preserve">Chosen estimate (%)</w:t>
            </w:r>
          </w:p>
        </w:tc>
        <w:tc>
          <w:tcPr>
            <w:tcW w:type="dxa" w:w="2579"/>
            <w:vAlign w:val="center"/>
            <w:shd w:fill="E9EEF3"/>
          </w:tcPr>
          <w:p>
            <w:pPr>
              <w:pStyle w:val="Compact"/>
              <w:keepNext/>
              <w:keepLines/>
              <w:spacing w:after="40" w:before="40" w:line="252" w:lineRule="auto"/>
              <w:jc w:val="left"/>
            </w:pPr>
            <w:r>
              <w:rPr>
                <w:b/>
                <w:sz w:val="20"/>
              </w:rPr>
              <w:t xml:space="preserve">Feasible lower (%)</w:t>
            </w:r>
          </w:p>
        </w:tc>
        <w:tc>
          <w:tcPr>
            <w:tcW w:type="dxa" w:w="2579"/>
            <w:vAlign w:val="center"/>
            <w:shd w:fill="E9EEF3"/>
          </w:tcPr>
          <w:p>
            <w:pPr>
              <w:pStyle w:val="Compact"/>
              <w:keepNext/>
              <w:keepLines/>
              <w:spacing w:after="40" w:before="40" w:line="252" w:lineRule="auto"/>
              <w:jc w:val="left"/>
            </w:pPr>
            <w:r>
              <w:rPr>
                <w:b/>
                <w:sz w:val="20"/>
              </w:rPr>
              <w:t xml:space="preserve">Feasible upper (%)</w:t>
            </w:r>
          </w:p>
        </w:tc>
      </w:tr>
      <w:tr>
        <w:trPr>
          <w:cantSplit/>
        </w:trPr>
        <w:tc>
          <w:tcPr>
            <w:tcW w:type="dxa" w:w="3152"/>
            <w:vAlign w:val="center"/>
          </w:tcPr>
          <w:p>
            <w:pPr>
              <w:pStyle w:val="Compact"/>
              <w:keepNext/>
              <w:keepLines/>
              <w:spacing w:after="40" w:before="40" w:line="252" w:lineRule="auto"/>
              <w:jc w:val="right"/>
            </w:pPr>
            <w:r>
              <w:rPr>
                <w:b w:val="0"/>
                <w:sz w:val="20"/>
              </w:rPr>
              <w:t xml:space="preserve">31 Aug · 15:00 CT</w:t>
            </w:r>
          </w:p>
        </w:tc>
        <w:tc>
          <w:tcPr>
            <w:tcW w:type="dxa" w:w="3152"/>
            <w:vAlign w:val="center"/>
          </w:tcPr>
          <w:p>
            <w:pPr>
              <w:pStyle w:val="Compact"/>
              <w:keepNext/>
              <w:keepLines/>
              <w:spacing w:after="40" w:before="40" w:line="252" w:lineRule="auto"/>
              <w:jc w:val="left"/>
            </w:pPr>
            <w:r>
              <w:rPr>
                <w:b w:val="0"/>
                <w:sz w:val="20"/>
              </w:rPr>
              <w:t xml:space="preserve">Below 0.8 × forward</w:t>
            </w:r>
          </w:p>
        </w:tc>
        <w:tc>
          <w:tcPr>
            <w:tcW w:type="dxa" w:w="2866"/>
            <w:vAlign w:val="center"/>
          </w:tcPr>
          <w:p>
            <w:pPr>
              <w:pStyle w:val="Compact"/>
              <w:keepNext/>
              <w:keepLines/>
              <w:spacing w:after="40" w:before="40" w:line="252" w:lineRule="auto"/>
              <w:jc w:val="right"/>
            </w:pPr>
            <w:r>
              <w:rPr>
                <w:b w:val="0"/>
                <w:sz w:val="20"/>
              </w:rPr>
              <w:t xml:space="preserve">1.3072946</w:t>
            </w:r>
          </w:p>
        </w:tc>
        <w:tc>
          <w:tcPr>
            <w:tcW w:type="dxa" w:w="2579"/>
            <w:vAlign w:val="center"/>
          </w:tcPr>
          <w:p>
            <w:pPr>
              <w:pStyle w:val="Compact"/>
              <w:keepNext/>
              <w:keepLines/>
              <w:spacing w:after="40" w:before="40" w:line="252" w:lineRule="auto"/>
              <w:jc w:val="right"/>
            </w:pPr>
            <w:r>
              <w:rPr>
                <w:b w:val="0"/>
                <w:sz w:val="20"/>
              </w:rPr>
              <w:t xml:space="preserve">0.9821901</w:t>
            </w:r>
          </w:p>
        </w:tc>
        <w:tc>
          <w:tcPr>
            <w:tcW w:type="dxa" w:w="2579"/>
            <w:vAlign w:val="center"/>
          </w:tcPr>
          <w:p>
            <w:pPr>
              <w:pStyle w:val="Compact"/>
              <w:keepNext/>
              <w:keepLines/>
              <w:spacing w:after="40" w:before="40" w:line="252" w:lineRule="auto"/>
              <w:jc w:val="right"/>
            </w:pPr>
            <w:r>
              <w:rPr>
                <w:b w:val="0"/>
                <w:sz w:val="20"/>
              </w:rPr>
              <w:t xml:space="preserve">1.7321271</w:t>
            </w:r>
          </w:p>
        </w:tc>
      </w:tr>
      <w:tr>
        <w:trPr>
          <w:cantSplit/>
        </w:trPr>
        <w:tc>
          <w:tcPr>
            <w:tcW w:type="dxa" w:w="3152"/>
            <w:vAlign w:val="center"/>
          </w:tcPr>
          <w:p>
            <w:pPr>
              <w:pStyle w:val="Compact"/>
              <w:keepNext/>
              <w:keepLines/>
              <w:spacing w:after="40" w:before="40" w:line="252" w:lineRule="auto"/>
              <w:jc w:val="right"/>
            </w:pPr>
            <w:r>
              <w:rPr>
                <w:b w:val="0"/>
                <w:sz w:val="20"/>
              </w:rPr>
              <w:t xml:space="preserve">31 Aug · 15:00 CT</w:t>
            </w:r>
          </w:p>
        </w:tc>
        <w:tc>
          <w:tcPr>
            <w:tcW w:type="dxa" w:w="3152"/>
            <w:vAlign w:val="center"/>
          </w:tcPr>
          <w:p>
            <w:pPr>
              <w:pStyle w:val="Compact"/>
              <w:keepNext/>
              <w:keepLines/>
              <w:spacing w:after="40" w:before="40" w:line="252" w:lineRule="auto"/>
              <w:jc w:val="left"/>
            </w:pPr>
            <w:r>
              <w:rPr>
                <w:b w:val="0"/>
                <w:sz w:val="20"/>
              </w:rPr>
              <w:t xml:space="preserve">Above 1.2 × forward</w:t>
            </w:r>
          </w:p>
        </w:tc>
        <w:tc>
          <w:tcPr>
            <w:tcW w:type="dxa" w:w="2866"/>
            <w:vAlign w:val="center"/>
          </w:tcPr>
          <w:p>
            <w:pPr>
              <w:pStyle w:val="Compact"/>
              <w:keepNext/>
              <w:keepLines/>
              <w:spacing w:after="40" w:before="40" w:line="252" w:lineRule="auto"/>
              <w:jc w:val="right"/>
            </w:pPr>
            <w:r>
              <w:rPr>
                <w:b w:val="0"/>
                <w:sz w:val="20"/>
              </w:rPr>
              <w:t xml:space="preserve">0.0288369</w:t>
            </w:r>
          </w:p>
        </w:tc>
        <w:tc>
          <w:tcPr>
            <w:tcW w:type="dxa" w:w="2579"/>
            <w:vAlign w:val="center"/>
          </w:tcPr>
          <w:p>
            <w:pPr>
              <w:pStyle w:val="Compact"/>
              <w:keepNext/>
              <w:keepLines/>
              <w:spacing w:after="40" w:before="40" w:line="252" w:lineRule="auto"/>
              <w:jc w:val="right"/>
            </w:pPr>
            <w:r>
              <w:rPr>
                <w:b w:val="0"/>
                <w:sz w:val="20"/>
              </w:rPr>
              <w:t xml:space="preserve">0.0000000</w:t>
            </w:r>
          </w:p>
        </w:tc>
        <w:tc>
          <w:tcPr>
            <w:tcW w:type="dxa" w:w="2579"/>
            <w:vAlign w:val="center"/>
          </w:tcPr>
          <w:p>
            <w:pPr>
              <w:pStyle w:val="Compact"/>
              <w:keepNext/>
              <w:keepLines/>
              <w:spacing w:after="40" w:before="40" w:line="252" w:lineRule="auto"/>
              <w:jc w:val="right"/>
            </w:pPr>
            <w:r>
              <w:rPr>
                <w:b w:val="0"/>
                <w:sz w:val="20"/>
              </w:rPr>
              <w:t xml:space="preserve">0.2002381</w:t>
            </w:r>
          </w:p>
        </w:tc>
      </w:tr>
      <w:tr>
        <w:trPr>
          <w:cantSplit/>
        </w:trPr>
        <w:tc>
          <w:tcPr>
            <w:tcW w:type="dxa" w:w="3152"/>
            <w:vAlign w:val="center"/>
          </w:tcPr>
          <w:p>
            <w:pPr>
              <w:pStyle w:val="Compact"/>
              <w:keepNext/>
              <w:keepLines/>
              <w:spacing w:after="40" w:before="40" w:line="252" w:lineRule="auto"/>
              <w:jc w:val="right"/>
            </w:pPr>
            <w:r>
              <w:rPr>
                <w:b w:val="0"/>
                <w:sz w:val="20"/>
              </w:rPr>
              <w:t xml:space="preserve">31 Aug · 15:00 CT</w:t>
            </w:r>
          </w:p>
        </w:tc>
        <w:tc>
          <w:tcPr>
            <w:tcW w:type="dxa" w:w="3152"/>
            <w:vAlign w:val="center"/>
          </w:tcPr>
          <w:p>
            <w:pPr>
              <w:pStyle w:val="Compact"/>
              <w:keepNext/>
              <w:keepLines/>
              <w:spacing w:after="40" w:before="40" w:line="252" w:lineRule="auto"/>
              <w:jc w:val="left"/>
            </w:pPr>
            <w:r>
              <w:rPr>
                <w:b w:val="0"/>
                <w:sz w:val="20"/>
              </w:rPr>
              <w:t xml:space="preserve">Above 1.8 × forward</w:t>
            </w:r>
          </w:p>
        </w:tc>
        <w:tc>
          <w:tcPr>
            <w:tcW w:type="dxa" w:w="2866"/>
            <w:vAlign w:val="center"/>
          </w:tcPr>
          <w:p>
            <w:pPr>
              <w:pStyle w:val="Compact"/>
              <w:keepNext/>
              <w:keepLines/>
              <w:spacing w:after="40" w:before="40" w:line="252" w:lineRule="auto"/>
              <w:jc w:val="right"/>
            </w:pPr>
            <w:r>
              <w:rPr>
                <w:b w:val="0"/>
                <w:sz w:val="20"/>
              </w:rPr>
              <w:t xml:space="preserve">0.0000000</w:t>
            </w:r>
          </w:p>
        </w:tc>
        <w:tc>
          <w:tcPr>
            <w:tcW w:type="dxa" w:w="2579"/>
            <w:vAlign w:val="center"/>
          </w:tcPr>
          <w:p>
            <w:pPr>
              <w:pStyle w:val="Compact"/>
              <w:keepNext/>
              <w:keepLines/>
              <w:spacing w:after="40" w:before="40" w:line="252" w:lineRule="auto"/>
              <w:jc w:val="right"/>
            </w:pPr>
            <w:r>
              <w:rPr>
                <w:b w:val="0"/>
                <w:sz w:val="20"/>
              </w:rPr>
              <w:t xml:space="preserve">0.0000000</w:t>
            </w:r>
          </w:p>
        </w:tc>
        <w:tc>
          <w:tcPr>
            <w:tcW w:type="dxa" w:w="2579"/>
            <w:vAlign w:val="center"/>
          </w:tcPr>
          <w:p>
            <w:pPr>
              <w:pStyle w:val="Compact"/>
              <w:keepNext/>
              <w:keepLines/>
              <w:spacing w:after="40" w:before="40" w:line="252" w:lineRule="auto"/>
              <w:jc w:val="right"/>
            </w:pPr>
            <w:r>
              <w:rPr>
                <w:b w:val="0"/>
                <w:sz w:val="20"/>
              </w:rPr>
              <w:t xml:space="preserve">0.0185933</w:t>
            </w:r>
          </w:p>
        </w:tc>
      </w:tr>
      <w:tr>
        <w:trPr>
          <w:cantSplit/>
        </w:trPr>
        <w:tc>
          <w:tcPr>
            <w:tcW w:type="dxa" w:w="3152"/>
            <w:vAlign w:val="center"/>
          </w:tcPr>
          <w:p>
            <w:pPr>
              <w:pStyle w:val="Compact"/>
              <w:keepNext/>
              <w:keepLines/>
              <w:spacing w:after="40" w:before="40" w:line="252" w:lineRule="auto"/>
              <w:jc w:val="right"/>
            </w:pPr>
            <w:r>
              <w:rPr>
                <w:b w:val="0"/>
                <w:sz w:val="20"/>
              </w:rPr>
              <w:t xml:space="preserve">18 Sep · 15:00 CT</w:t>
            </w:r>
          </w:p>
        </w:tc>
        <w:tc>
          <w:tcPr>
            <w:tcW w:type="dxa" w:w="3152"/>
            <w:vAlign w:val="center"/>
          </w:tcPr>
          <w:p>
            <w:pPr>
              <w:pStyle w:val="Compact"/>
              <w:keepNext/>
              <w:keepLines/>
              <w:spacing w:after="40" w:before="40" w:line="252" w:lineRule="auto"/>
              <w:jc w:val="left"/>
            </w:pPr>
            <w:r>
              <w:rPr>
                <w:b w:val="0"/>
                <w:sz w:val="20"/>
              </w:rPr>
              <w:t xml:space="preserve">Below 0.8 × forward</w:t>
            </w:r>
          </w:p>
        </w:tc>
        <w:tc>
          <w:tcPr>
            <w:tcW w:type="dxa" w:w="2866"/>
            <w:vAlign w:val="center"/>
          </w:tcPr>
          <w:p>
            <w:pPr>
              <w:pStyle w:val="Compact"/>
              <w:keepNext/>
              <w:keepLines/>
              <w:spacing w:after="40" w:before="40" w:line="252" w:lineRule="auto"/>
              <w:jc w:val="right"/>
            </w:pPr>
            <w:r>
              <w:rPr>
                <w:b w:val="0"/>
                <w:sz w:val="20"/>
              </w:rPr>
              <w:t xml:space="preserve">1.3888690</w:t>
            </w:r>
          </w:p>
        </w:tc>
        <w:tc>
          <w:tcPr>
            <w:tcW w:type="dxa" w:w="2579"/>
            <w:vAlign w:val="center"/>
          </w:tcPr>
          <w:p>
            <w:pPr>
              <w:pStyle w:val="Compact"/>
              <w:keepNext/>
              <w:keepLines/>
              <w:spacing w:after="40" w:before="40" w:line="252" w:lineRule="auto"/>
              <w:jc w:val="right"/>
            </w:pPr>
            <w:r>
              <w:rPr>
                <w:b w:val="0"/>
                <w:sz w:val="20"/>
              </w:rPr>
              <w:t xml:space="preserve">1.1862115</w:t>
            </w:r>
          </w:p>
        </w:tc>
        <w:tc>
          <w:tcPr>
            <w:tcW w:type="dxa" w:w="2579"/>
            <w:vAlign w:val="center"/>
          </w:tcPr>
          <w:p>
            <w:pPr>
              <w:pStyle w:val="Compact"/>
              <w:keepNext/>
              <w:keepLines/>
              <w:spacing w:after="40" w:before="40" w:line="252" w:lineRule="auto"/>
              <w:jc w:val="right"/>
            </w:pPr>
            <w:r>
              <w:rPr>
                <w:b w:val="0"/>
                <w:sz w:val="20"/>
              </w:rPr>
              <w:t xml:space="preserve">1.6390830</w:t>
            </w:r>
          </w:p>
        </w:tc>
      </w:tr>
      <w:tr>
        <w:trPr>
          <w:cantSplit/>
        </w:trPr>
        <w:tc>
          <w:tcPr>
            <w:tcW w:type="dxa" w:w="3152"/>
            <w:vAlign w:val="center"/>
          </w:tcPr>
          <w:p>
            <w:pPr>
              <w:pStyle w:val="Compact"/>
              <w:keepNext/>
              <w:keepLines/>
              <w:spacing w:after="40" w:before="40" w:line="252" w:lineRule="auto"/>
              <w:jc w:val="right"/>
            </w:pPr>
            <w:r>
              <w:rPr>
                <w:b w:val="0"/>
                <w:sz w:val="20"/>
              </w:rPr>
              <w:t xml:space="preserve">18 Sep · 15:00 CT</w:t>
            </w:r>
          </w:p>
        </w:tc>
        <w:tc>
          <w:tcPr>
            <w:tcW w:type="dxa" w:w="3152"/>
            <w:vAlign w:val="center"/>
          </w:tcPr>
          <w:p>
            <w:pPr>
              <w:pStyle w:val="Compact"/>
              <w:keepNext/>
              <w:keepLines/>
              <w:spacing w:after="40" w:before="40" w:line="252" w:lineRule="auto"/>
              <w:jc w:val="left"/>
            </w:pPr>
            <w:r>
              <w:rPr>
                <w:b w:val="0"/>
                <w:sz w:val="20"/>
              </w:rPr>
              <w:t xml:space="preserve">Above 1.2 × forward</w:t>
            </w:r>
          </w:p>
        </w:tc>
        <w:tc>
          <w:tcPr>
            <w:tcW w:type="dxa" w:w="2866"/>
            <w:vAlign w:val="center"/>
          </w:tcPr>
          <w:p>
            <w:pPr>
              <w:pStyle w:val="Compact"/>
              <w:keepNext/>
              <w:keepLines/>
              <w:spacing w:after="40" w:before="40" w:line="252" w:lineRule="auto"/>
              <w:jc w:val="right"/>
            </w:pPr>
            <w:r>
              <w:rPr>
                <w:b w:val="0"/>
                <w:sz w:val="20"/>
              </w:rPr>
              <w:t xml:space="preserve">0.0239813</w:t>
            </w:r>
          </w:p>
        </w:tc>
        <w:tc>
          <w:tcPr>
            <w:tcW w:type="dxa" w:w="2579"/>
            <w:vAlign w:val="center"/>
          </w:tcPr>
          <w:p>
            <w:pPr>
              <w:pStyle w:val="Compact"/>
              <w:keepNext/>
              <w:keepLines/>
              <w:spacing w:after="40" w:before="40" w:line="252" w:lineRule="auto"/>
              <w:jc w:val="right"/>
            </w:pPr>
            <w:r>
              <w:rPr>
                <w:b w:val="0"/>
                <w:sz w:val="20"/>
              </w:rPr>
              <w:t xml:space="preserve">0.0000000</w:t>
            </w:r>
          </w:p>
        </w:tc>
        <w:tc>
          <w:tcPr>
            <w:tcW w:type="dxa" w:w="2579"/>
            <w:vAlign w:val="center"/>
          </w:tcPr>
          <w:p>
            <w:pPr>
              <w:pStyle w:val="Compact"/>
              <w:keepNext/>
              <w:keepLines/>
              <w:spacing w:after="40" w:before="40" w:line="252" w:lineRule="auto"/>
              <w:jc w:val="right"/>
            </w:pPr>
            <w:r>
              <w:rPr>
                <w:b w:val="0"/>
                <w:sz w:val="20"/>
              </w:rPr>
              <w:t xml:space="preserve">0.2005809</w:t>
            </w:r>
          </w:p>
        </w:tc>
      </w:tr>
      <w:tr>
        <w:trPr>
          <w:cantSplit/>
        </w:trPr>
        <w:tc>
          <w:tcPr>
            <w:tcW w:type="dxa" w:w="3152"/>
            <w:vAlign w:val="center"/>
          </w:tcPr>
          <w:p>
            <w:pPr>
              <w:pStyle w:val="Compact"/>
              <w:keepNext/>
              <w:keepLines/>
              <w:spacing w:after="40" w:before="40" w:line="252" w:lineRule="auto"/>
              <w:jc w:val="right"/>
            </w:pPr>
            <w:r>
              <w:rPr>
                <w:b w:val="0"/>
                <w:sz w:val="20"/>
              </w:rPr>
              <w:t xml:space="preserve">18 Sep · 15:00 CT</w:t>
            </w:r>
          </w:p>
        </w:tc>
        <w:tc>
          <w:tcPr>
            <w:tcW w:type="dxa" w:w="3152"/>
            <w:vAlign w:val="center"/>
          </w:tcPr>
          <w:p>
            <w:pPr>
              <w:pStyle w:val="Compact"/>
              <w:keepNext/>
              <w:keepLines/>
              <w:spacing w:after="40" w:before="40" w:line="252" w:lineRule="auto"/>
              <w:jc w:val="left"/>
            </w:pPr>
            <w:r>
              <w:rPr>
                <w:b w:val="0"/>
                <w:sz w:val="20"/>
              </w:rPr>
              <w:t xml:space="preserve">Above 1.8 × forward</w:t>
            </w:r>
          </w:p>
        </w:tc>
        <w:tc>
          <w:tcPr>
            <w:tcW w:type="dxa" w:w="2866"/>
            <w:vAlign w:val="center"/>
          </w:tcPr>
          <w:p>
            <w:pPr>
              <w:pStyle w:val="Compact"/>
              <w:keepNext/>
              <w:keepLines/>
              <w:spacing w:after="40" w:before="40" w:line="252" w:lineRule="auto"/>
              <w:jc w:val="right"/>
            </w:pPr>
            <w:r>
              <w:rPr>
                <w:b w:val="0"/>
                <w:sz w:val="20"/>
              </w:rPr>
              <w:t xml:space="preserve">0.0002990</w:t>
            </w:r>
          </w:p>
        </w:tc>
        <w:tc>
          <w:tcPr>
            <w:tcW w:type="dxa" w:w="2579"/>
            <w:vAlign w:val="center"/>
          </w:tcPr>
          <w:p>
            <w:pPr>
              <w:pStyle w:val="Compact"/>
              <w:keepNext/>
              <w:keepLines/>
              <w:spacing w:after="40" w:before="40" w:line="252" w:lineRule="auto"/>
              <w:jc w:val="right"/>
            </w:pPr>
            <w:r>
              <w:rPr>
                <w:b w:val="0"/>
                <w:sz w:val="20"/>
              </w:rPr>
              <w:t xml:space="preserve">0.0000000</w:t>
            </w:r>
          </w:p>
        </w:tc>
        <w:tc>
          <w:tcPr>
            <w:tcW w:type="dxa" w:w="2579"/>
            <w:vAlign w:val="center"/>
          </w:tcPr>
          <w:p>
            <w:pPr>
              <w:pStyle w:val="Compact"/>
              <w:keepNext/>
              <w:keepLines/>
              <w:spacing w:after="40" w:before="40" w:line="252" w:lineRule="auto"/>
              <w:jc w:val="right"/>
            </w:pPr>
            <w:r>
              <w:rPr>
                <w:b w:val="0"/>
                <w:sz w:val="20"/>
              </w:rPr>
              <w:t xml:space="preserve">0.0157987</w:t>
            </w:r>
          </w:p>
        </w:tc>
      </w:tr>
      <w:tr>
        <w:trPr>
          <w:cantSplit/>
        </w:trPr>
        <w:tc>
          <w:tcPr>
            <w:tcW w:type="dxa" w:w="3152"/>
            <w:vAlign w:val="center"/>
          </w:tcPr>
          <w:p>
            <w:pPr>
              <w:pStyle w:val="Compact"/>
              <w:keepNext/>
              <w:keepLines/>
              <w:spacing w:after="40" w:before="40" w:line="252" w:lineRule="auto"/>
              <w:jc w:val="right"/>
            </w:pPr>
            <w:r>
              <w:rPr>
                <w:b w:val="0"/>
                <w:sz w:val="20"/>
              </w:rPr>
              <w:t xml:space="preserve">18 Sep · 15:15 CT</w:t>
            </w:r>
          </w:p>
        </w:tc>
        <w:tc>
          <w:tcPr>
            <w:tcW w:type="dxa" w:w="3152"/>
            <w:vAlign w:val="center"/>
          </w:tcPr>
          <w:p>
            <w:pPr>
              <w:pStyle w:val="Compact"/>
              <w:keepNext/>
              <w:keepLines/>
              <w:spacing w:after="40" w:before="40" w:line="252" w:lineRule="auto"/>
              <w:jc w:val="left"/>
            </w:pPr>
            <w:r>
              <w:rPr>
                <w:b w:val="0"/>
                <w:sz w:val="20"/>
              </w:rPr>
              <w:t xml:space="preserve">Below 0.8 × forward</w:t>
            </w:r>
          </w:p>
        </w:tc>
        <w:tc>
          <w:tcPr>
            <w:tcW w:type="dxa" w:w="2866"/>
            <w:vAlign w:val="center"/>
          </w:tcPr>
          <w:p>
            <w:pPr>
              <w:pStyle w:val="Compact"/>
              <w:keepNext/>
              <w:keepLines/>
              <w:spacing w:after="40" w:before="40" w:line="252" w:lineRule="auto"/>
              <w:jc w:val="right"/>
            </w:pPr>
            <w:r>
              <w:rPr>
                <w:b w:val="0"/>
                <w:sz w:val="20"/>
              </w:rPr>
              <w:t xml:space="preserve">1.3771398</w:t>
            </w:r>
          </w:p>
        </w:tc>
        <w:tc>
          <w:tcPr>
            <w:tcW w:type="dxa" w:w="2579"/>
            <w:vAlign w:val="center"/>
          </w:tcPr>
          <w:p>
            <w:pPr>
              <w:pStyle w:val="Compact"/>
              <w:keepNext/>
              <w:keepLines/>
              <w:spacing w:after="40" w:before="40" w:line="252" w:lineRule="auto"/>
              <w:jc w:val="right"/>
            </w:pPr>
            <w:r>
              <w:rPr>
                <w:b w:val="0"/>
                <w:sz w:val="20"/>
              </w:rPr>
              <w:t xml:space="preserve">1.1515257</w:t>
            </w:r>
          </w:p>
        </w:tc>
        <w:tc>
          <w:tcPr>
            <w:tcW w:type="dxa" w:w="2579"/>
            <w:vAlign w:val="center"/>
          </w:tcPr>
          <w:p>
            <w:pPr>
              <w:pStyle w:val="Compact"/>
              <w:keepNext/>
              <w:keepLines/>
              <w:spacing w:after="40" w:before="40" w:line="252" w:lineRule="auto"/>
              <w:jc w:val="right"/>
            </w:pPr>
            <w:r>
              <w:rPr>
                <w:b w:val="0"/>
                <w:sz w:val="20"/>
              </w:rPr>
              <w:t xml:space="preserve">1.6626283</w:t>
            </w:r>
          </w:p>
        </w:tc>
      </w:tr>
      <w:tr>
        <w:trPr>
          <w:cantSplit/>
        </w:trPr>
        <w:tc>
          <w:tcPr>
            <w:tcW w:type="dxa" w:w="3152"/>
            <w:vAlign w:val="center"/>
          </w:tcPr>
          <w:p>
            <w:pPr>
              <w:pStyle w:val="Compact"/>
              <w:keepNext/>
              <w:keepLines/>
              <w:spacing w:after="40" w:before="40" w:line="252" w:lineRule="auto"/>
              <w:jc w:val="right"/>
            </w:pPr>
            <w:r>
              <w:rPr>
                <w:b w:val="0"/>
                <w:sz w:val="20"/>
              </w:rPr>
              <w:t xml:space="preserve">18 Sep · 15:15 CT</w:t>
            </w:r>
          </w:p>
        </w:tc>
        <w:tc>
          <w:tcPr>
            <w:tcW w:type="dxa" w:w="3152"/>
            <w:vAlign w:val="center"/>
          </w:tcPr>
          <w:p>
            <w:pPr>
              <w:pStyle w:val="Compact"/>
              <w:keepNext/>
              <w:keepLines/>
              <w:spacing w:after="40" w:before="40" w:line="252" w:lineRule="auto"/>
              <w:jc w:val="left"/>
            </w:pPr>
            <w:r>
              <w:rPr>
                <w:b w:val="0"/>
                <w:sz w:val="20"/>
              </w:rPr>
              <w:t xml:space="preserve">Above 1.2 × forward</w:t>
            </w:r>
          </w:p>
        </w:tc>
        <w:tc>
          <w:tcPr>
            <w:tcW w:type="dxa" w:w="2866"/>
            <w:vAlign w:val="center"/>
          </w:tcPr>
          <w:p>
            <w:pPr>
              <w:pStyle w:val="Compact"/>
              <w:keepNext/>
              <w:keepLines/>
              <w:spacing w:after="40" w:before="40" w:line="252" w:lineRule="auto"/>
              <w:jc w:val="right"/>
            </w:pPr>
            <w:r>
              <w:rPr>
                <w:b w:val="0"/>
                <w:sz w:val="20"/>
              </w:rPr>
              <w:t xml:space="preserve">0.0724494</w:t>
            </w:r>
          </w:p>
        </w:tc>
        <w:tc>
          <w:tcPr>
            <w:tcW w:type="dxa" w:w="2579"/>
            <w:vAlign w:val="center"/>
          </w:tcPr>
          <w:p>
            <w:pPr>
              <w:pStyle w:val="Compact"/>
              <w:keepNext/>
              <w:keepLines/>
              <w:spacing w:after="40" w:before="40" w:line="252" w:lineRule="auto"/>
              <w:jc w:val="right"/>
            </w:pPr>
            <w:r>
              <w:rPr>
                <w:b w:val="0"/>
                <w:sz w:val="20"/>
              </w:rPr>
              <w:t xml:space="preserve">0.0000000</w:t>
            </w:r>
          </w:p>
        </w:tc>
        <w:tc>
          <w:tcPr>
            <w:tcW w:type="dxa" w:w="2579"/>
            <w:vAlign w:val="center"/>
          </w:tcPr>
          <w:p>
            <w:pPr>
              <w:pStyle w:val="Compact"/>
              <w:keepNext/>
              <w:keepLines/>
              <w:spacing w:after="40" w:before="40" w:line="252" w:lineRule="auto"/>
              <w:jc w:val="right"/>
            </w:pPr>
            <w:r>
              <w:rPr>
                <w:b w:val="0"/>
                <w:sz w:val="20"/>
              </w:rPr>
              <w:t xml:space="preserve">0.2129429</w:t>
            </w:r>
          </w:p>
        </w:tc>
      </w:tr>
      <w:tr>
        <w:trPr>
          <w:cantSplit/>
        </w:trPr>
        <w:tc>
          <w:tcPr>
            <w:tcW w:type="dxa" w:w="3152"/>
            <w:vAlign w:val="center"/>
          </w:tcPr>
          <w:p>
            <w:pPr>
              <w:pStyle w:val="Compact"/>
              <w:keepNext/>
              <w:keepLines/>
              <w:spacing w:after="40" w:before="40" w:line="252" w:lineRule="auto"/>
              <w:jc w:val="right"/>
            </w:pPr>
            <w:r>
              <w:rPr>
                <w:b w:val="0"/>
                <w:sz w:val="20"/>
              </w:rPr>
              <w:t xml:space="preserve">18 Sep · 15:15 CT</w:t>
            </w:r>
          </w:p>
        </w:tc>
        <w:tc>
          <w:tcPr>
            <w:tcW w:type="dxa" w:w="3152"/>
            <w:vAlign w:val="center"/>
          </w:tcPr>
          <w:p>
            <w:pPr>
              <w:pStyle w:val="Compact"/>
              <w:keepNext/>
              <w:keepLines/>
              <w:spacing w:after="40" w:before="40" w:line="252" w:lineRule="auto"/>
              <w:jc w:val="left"/>
            </w:pPr>
            <w:r>
              <w:rPr>
                <w:b w:val="0"/>
                <w:sz w:val="20"/>
              </w:rPr>
              <w:t xml:space="preserve">Above 1.8 × forward</w:t>
            </w:r>
          </w:p>
        </w:tc>
        <w:tc>
          <w:tcPr>
            <w:tcW w:type="dxa" w:w="2866"/>
            <w:vAlign w:val="center"/>
          </w:tcPr>
          <w:p>
            <w:pPr>
              <w:pStyle w:val="Compact"/>
              <w:keepNext/>
              <w:keepLines/>
              <w:spacing w:after="40" w:before="40" w:line="252" w:lineRule="auto"/>
              <w:jc w:val="right"/>
            </w:pPr>
            <w:r>
              <w:rPr>
                <w:b w:val="0"/>
                <w:sz w:val="20"/>
              </w:rPr>
              <w:t xml:space="preserve">0.0000000</w:t>
            </w:r>
          </w:p>
        </w:tc>
        <w:tc>
          <w:tcPr>
            <w:tcW w:type="dxa" w:w="2579"/>
            <w:vAlign w:val="center"/>
          </w:tcPr>
          <w:p>
            <w:pPr>
              <w:pStyle w:val="Compact"/>
              <w:keepNext/>
              <w:keepLines/>
              <w:spacing w:after="40" w:before="40" w:line="252" w:lineRule="auto"/>
              <w:jc w:val="right"/>
            </w:pPr>
            <w:r>
              <w:rPr>
                <w:b w:val="0"/>
                <w:sz w:val="20"/>
              </w:rPr>
              <w:t xml:space="preserve">0.0000000</w:t>
            </w:r>
          </w:p>
        </w:tc>
        <w:tc>
          <w:tcPr>
            <w:tcW w:type="dxa" w:w="2579"/>
            <w:vAlign w:val="center"/>
          </w:tcPr>
          <w:p>
            <w:pPr>
              <w:pStyle w:val="Compact"/>
              <w:keepNext/>
              <w:keepLines/>
              <w:spacing w:after="40" w:before="40" w:line="252" w:lineRule="auto"/>
              <w:jc w:val="right"/>
            </w:pPr>
            <w:r>
              <w:rPr>
                <w:b w:val="0"/>
                <w:sz w:val="20"/>
              </w:rPr>
              <w:t xml:space="preserve">0.0192084</w:t>
            </w:r>
          </w:p>
        </w:tc>
      </w:tr>
    </w:tbl>
    <w:p>
      <w:bookmarkStart w:id="662" w:name="table36"/>
      <w:pPr>
        <w:pStyle w:val="TableCaption"/>
      </w:pPr>
      <w:r>
        <w:t xml:space="preserve">Table 36. Conditional feasible ranges from Equation (44) for the interpolated 60-day distribution. Bounds are computed from the all-pair fits’ fixed carry; they do not apply to the common-contract refits. The corresponding extrema for every actual expiry, LP residuals and extremising masses are retained in the result files.</w:t>
      </w:r>
      <w:bookmarkEnd w:id="662"/>
    </w:p>
    <w:p>
      <w:pPr>
        <w:sectPr>
          <w:type w:val="nextPage"/>
          <w:pgSz w:w="16838" w:h="11906" w:orient="landscape"/>
          <w:pgMar w:top="1008" w:bottom="1008" w:left="1152" w:right="1152" w:header="432" w:footer="432" w:gutter="0"/>
          <w:pgNumType w:fmt="decimal"/>
        </w:sectPr>
        <w:spacing w:before="0" w:after="0" w:line="1" w:lineRule="exact"/>
      </w:pPr>
      <w:r>
        <w:rPr>
          <w:sz w:val="2"/>
        </w:rPr>
      </w:r>
    </w:p>
    <w:p>
      <w:pPr>
        <w:pStyle w:val="BodyText"/>
        <w:keepNext/>
        <w:spacing w:after="40"/>
        <w:jc w:val="center"/>
      </w:pPr>
      <w:r>
        <w:drawing>
          <wp:inline>
            <wp:extent cx="5334000" cy="1911349"/>
            <wp:effectExtent b="0" l="0" r="0" t="0"/>
            <wp:docPr descr="Chosen tail estimates and conditional feasible probability ranges" title="" id="161" name="Picture"/>
            <a:graphic>
              <a:graphicData uri="http://schemas.openxmlformats.org/drawingml/2006/picture">
                <pic:pic>
                  <pic:nvPicPr>
                    <pic:cNvPr descr="/workspace/scratch/62b9274b9d7e/spx-density-research/figures/figure_32_conditional_tail_ranges.png" id="162" name="Picture"/>
                    <pic:cNvPicPr>
                      <a:picLocks noChangeArrowheads="1" noChangeAspect="1"/>
                    </pic:cNvPicPr>
                  </pic:nvPicPr>
                  <pic:blipFill>
                    <a:blip r:embed="rId160"/>
                    <a:stretch>
                      <a:fillRect/>
                    </a:stretch>
                  </pic:blipFill>
                  <pic:spPr bwMode="auto">
                    <a:xfrm>
                      <a:off x="0" y="0"/>
                      <a:ext cx="5334000" cy="1911349"/>
                    </a:xfrm>
                    <a:prstGeom prst="rect">
                      <a:avLst/>
                    </a:prstGeom>
                    <a:noFill/>
                    <a:ln w="9525">
                      <a:noFill/>
                      <a:headEnd/>
                      <a:tailEnd/>
                    </a:ln>
                  </pic:spPr>
                </pic:pic>
              </a:graphicData>
            </a:graphic>
          </wp:inline>
        </w:drawing>
      </w:r>
    </w:p>
    <w:p>
      <w:bookmarkStart w:id="663" w:name="figure32"/>
      <w:pPr>
        <w:pStyle w:val="FigureCaption"/>
      </w:pPr>
      <w:r>
        <w:t xml:space="preserve">Figure 32. Dots are the minimum-curvature point estimates; horizontal bars are the conditional feasible probability ranges. Panels use different horizontal scales and percentages throughout. The bars are not statistical error bars. In particular, a nearly zero selected upper-tail probability can coexist with a materially positive feasible upper bound.</w:t>
      </w:r>
      <w:bookmarkEnd w:id="663"/>
    </w:p>
    <w:p>
      <w:pPr>
        <w:sectPr>
          <w:type w:val="nextPage"/>
          <w:pgSz w:w="16838" w:h="11906" w:orient="landscape"/>
          <w:pgMar w:top="1008" w:bottom="1008" w:left="1152" w:right="1152" w:header="432" w:footer="432" w:gutter="0"/>
          <w:pgNumType w:fmt="decimal"/>
        </w:sectPr>
        <w:spacing w:before="0" w:after="0" w:line="1" w:lineRule="exact"/>
      </w:pPr>
      <w:r>
        <w:rPr>
          <w:sz w:val="2"/>
        </w:rPr>
      </w:r>
    </w:p>
    <w:p>
      <w:pPr>
        <w:pStyle w:val="BodyText"/>
      </w:pPr>
      <w:r>
        <w:t xml:space="preserve">The selected probability below 0.8 is 1.3073% in August and 1.3889% in standard September. Their conditional feasible ranges, approximately 0.9822–1.7321% and 1.1862–1.6391%, overlap. The standard September probability above 1.8 is approximately 0.0002990%, yet its feasible upper bound is approximately 0.0157987%. A near-zero selected value therefore does not establish a near-zero compatible event range.</w:t>
      </w:r>
    </w:p>
    <w:p>
      <w:pPr>
        <w:pStyle w:val="BodyText"/>
      </w:pPr>
      <w:r>
        <w:t xml:space="preserve">The intervals do not support a statistically established date change or a particular market-event explanation. They expose the dependence of individual tail estimates on the selected solution within the stated family.</w:t>
      </w:r>
    </w:p>
    <w:p>
      <w:pPr>
        <w:pStyle w:val="BodyText"/>
      </w:pPr>
      <w:r>
        <w:t xml:space="preserve">The dated explorer retains shared scales, exact histogram slices and the separately labelled sixty-day mixture. Playback steps through the three observations rather than manufacturing observations between the two dates. The all-pair risk ranges are hidden when the common-contract control is selected because its quote family and carry differ.</w:t>
      </w:r>
    </w:p>
    <w:p>
      <w:pPr>
        <w:sectPr>
          <w:type w:val="nextPage"/>
          <w:pgSz w:w="11906" w:h="16838" w:orient="portrait"/>
          <w:pgMar w:top="1008" w:bottom="1008" w:left="1152" w:right="1152" w:header="432" w:footer="432" w:gutter="0"/>
          <w:pgNumType w:fmt="decimal"/>
        </w:sectPr>
        <w:spacing w:before="0" w:after="0" w:line="1" w:lineRule="exact"/>
      </w:pPr>
      <w:r>
        <w:rPr>
          <w:sz w:val="2"/>
        </w:rPr>
      </w:r>
    </w:p>
    <w:p>
      <w:pPr>
        <w:pStyle w:val="BodyText"/>
        <w:keepNext/>
        <w:spacing w:after="40"/>
        <w:jc w:val="center"/>
      </w:pPr>
      <w:r>
        <w:drawing>
          <wp:inline>
            <wp:extent cx="5334000" cy="1815041"/>
            <wp:effectExtent b="0" l="0" r="0" t="0"/>
            <wp:docPr descr="Dated density surfaces on shared scales; offline date-aware companion" title="" id="164" name="Picture"/>
            <a:graphic>
              <a:graphicData uri="http://schemas.openxmlformats.org/drawingml/2006/picture">
                <pic:pic>
                  <pic:nvPicPr>
                    <pic:cNvPr descr="/workspace/scratch/62b9274b9d7e/spx-density-research/figures/figure_33_dated_density_surfaces.png" id="165" name="Picture"/>
                    <pic:cNvPicPr>
                      <a:picLocks noChangeArrowheads="1" noChangeAspect="1"/>
                    </pic:cNvPicPr>
                  </pic:nvPicPr>
                  <pic:blipFill>
                    <a:blip r:embed="rId163"/>
                    <a:stretch>
                      <a:fillRect/>
                    </a:stretch>
                  </pic:blipFill>
                  <pic:spPr bwMode="auto">
                    <a:xfrm>
                      <a:off x="0" y="0"/>
                      <a:ext cx="5334000" cy="1815041"/>
                    </a:xfrm>
                    <a:prstGeom prst="rect">
                      <a:avLst/>
                    </a:prstGeom>
                    <a:noFill/>
                    <a:ln w="9525">
                      <a:noFill/>
                      <a:headEnd/>
                      <a:tailEnd/>
                    </a:ln>
                  </pic:spPr>
                </pic:pic>
              </a:graphicData>
            </a:graphic>
          </wp:inline>
        </w:drawing>
      </w:r>
    </w:p>
    <w:p>
      <w:bookmarkStart w:id="664" w:name="figure33"/>
      <w:pPr>
        <w:pStyle w:val="FigureCaption"/>
      </w:pPr>
      <w:r>
        <w:t xml:space="preserve">Figure 33. The three fitted surfaces on common normalised-level, elapsed-day and density scales. Only three expiry densities are fitted in each snapshot. Surface joins between bin centres and maturity rows aid viewing; they are not extra observations. The companion adds rotation, zoom, hover, observed-snapshot playback, exact histogram slices and the separately labelled 60-day mixture.</w:t>
      </w:r>
      <w:bookmarkEnd w:id="664"/>
    </w:p>
    <w:p>
      <w:pPr>
        <w:sectPr>
          <w:type w:val="nextPage"/>
          <w:pgSz w:w="16838" w:h="11906" w:orient="landscape"/>
          <w:pgMar w:top="1008" w:bottom="1008" w:left="1152" w:right="1152" w:header="432" w:footer="432" w:gutter="0"/>
          <w:pgNumType w:fmt="decimal"/>
        </w:sectPr>
        <w:spacing w:before="0" w:after="0" w:line="1" w:lineRule="exact"/>
      </w:pPr>
      <w:r>
        <w:rPr>
          <w:sz w:val="2"/>
        </w:rPr>
      </w:r>
    </w:p>
    <w:bookmarkEnd w:id="166"/>
    <w:bookmarkEnd w:id="167"/>
    <w:bookmarkStart w:id="179" w:name="X103bdf11d360f980d198027fd009307c2639c35"/>
    <w:p>
      <w:bookmarkStart w:id="665" w:name="h43"/>
      <w:pPr>
        <w:pStyle w:val="Heading1"/>
        <w:numPr>
          <w:ilvl w:val="0"/>
          <w:numId w:val="70"/>
        </w:numPr>
      </w:pPr>
      <w:bookmarkEnd w:id="665"/>
      <w:r>
        <w:t>Development challenges and lessons learned</w:t>
      </w:r>
    </w:p>
    <w:bookmarkStart w:id="168" w:name="purpose-of-the-development-record"/>
    <w:p>
      <w:bookmarkStart w:id="666" w:name="h44"/>
      <w:pPr>
        <w:pStyle w:val="Heading2"/>
        <w:numPr>
          <w:ilvl w:val="1"/>
          <w:numId w:val="70"/>
        </w:numPr>
      </w:pPr>
      <w:bookmarkEnd w:id="666"/>
      <w:r>
        <w:t>Purpose of the development record</w:t>
      </w:r>
    </w:p>
    <w:p>
      <w:pPr>
        <w:pStyle w:val="FirstParagraph"/>
      </w:pPr>
      <w:r>
        <w:t xml:space="preserve">The development process forms part of the evidence for the final method. This chapter records observed setbacks, approaches tested, outcomes and remaining limitations across all ten notebooks. Deliberately invalid fixtures and designed stress tests are distinguished from unexpected implementation failures. The full, continuously maintained record remains in</w:t>
      </w:r>
      <w:r>
        <w:t xml:space="preserve"> </w:t>
      </w:r>
      <w:r>
        <w:rPr>
          <w:rStyle w:val="VerbatimChar"/>
        </w:rPr>
        <w:t xml:space="preserve">research/development_reflection.md</w:t>
      </w:r>
      <w:r>
        <w:t xml:space="preserve">; the following account consolidates its substantive lessons into the research argument.</w:t>
      </w:r>
    </w:p>
    <w:bookmarkEnd w:id="168"/>
    <w:bookmarkStart w:id="169" w:name="X0c3f58c45ba12f6b108a9ab11555df9dd5692ca"/>
    <w:p>
      <w:bookmarkStart w:id="667" w:name="h45"/>
      <w:pPr>
        <w:pStyle w:val="Heading2"/>
        <w:numPr>
          <w:ilvl w:val="1"/>
          <w:numId w:val="70"/>
        </w:numPr>
      </w:pPr>
      <w:bookmarkEnd w:id="667"/>
      <w:r>
        <w:t>Notebook 1: a smaller numerical step was not always better</w:t>
      </w:r>
    </w:p>
    <w:p>
      <w:pPr>
        <w:pStyle w:val="FirstParagraph"/>
      </w:pPr>
      <w:r>
        <w:t xml:space="preserve">The first setback was tiny negative curvature in the far left tail of the clean benchmark. Nearly linear call values made second differences vulnerable to cancellation. The response was to inspect the location and size of the problem, restrict the lower evaluation boundary and check retained mass, mean, convergence and repricing. Negative values were not clipped away. Driscoll and Braun’s account of truncation and roundoff [7] explained why refinement alone could not guarantee improvement.</w:t>
      </w:r>
    </w:p>
    <w:p>
      <w:pPr>
        <w:pStyle w:val="BodyText"/>
      </w:pPr>
      <w:r>
        <w:t xml:space="preserve">The intentional noise experiment then produced much larger negative estimates. Its lesson differed from the cancellation case: raw differentiation amplified inconsistencies already present in the perturbed quotes. This motivated the constrained estimator. In presentation, the explanation of Figure 4 was moved below its own figure and caption, keeping the interpretation adjacent to the evidence; that placement is preserved in this paper and in the notebook.</w:t>
      </w:r>
    </w:p>
    <w:bookmarkEnd w:id="169"/>
    <w:bookmarkStart w:id="170" w:name="X4cc29273104cf85f6e10d9a0ff50533bf6e6926"/>
    <w:p>
      <w:bookmarkStart w:id="668" w:name="h46"/>
      <w:pPr>
        <w:pStyle w:val="Heading2"/>
        <w:numPr>
          <w:ilvl w:val="1"/>
          <w:numId w:val="70"/>
        </w:numPr>
      </w:pPr>
      <w:bookmarkEnd w:id="668"/>
      <w:r>
        <w:t>Notebook 2: retrieving prices did not establish usable observations</w:t>
      </w:r>
    </w:p>
    <w:p>
      <w:pPr>
        <w:pStyle w:val="FirstParagraph"/>
      </w:pPr>
      <w:r>
        <w:t xml:space="preserve">The candidate download looked substantial but lacked a verified complete observation instant and meaningful size interpretation. Treating an underlying last trade as an option quote timestamp would have supplied an unsupported shortcut. Instead, the raw payload and row-level exclusions were retained, provider documentation was reviewed and calibration remained blocked for that candidate. Later retrieval of the same array with a fuller timestamp did not itself settle the timestamp’s meaning.</w:t>
      </w:r>
    </w:p>
    <w:p>
      <w:pPr>
        <w:pStyle w:val="BodyText"/>
      </w:pPr>
      <w:r>
        <w:t xml:space="preserve">The useful outcome was a source audit rather than a forced empirical fit. Quote counts, roots and provisional spread screens could still be studied without overstating what they established. This separated access, metadata interpretation, contract matching and numerical suitability. A solver cannot recover information that was never established in its inputs.</w:t>
      </w:r>
    </w:p>
    <w:bookmarkEnd w:id="170"/>
    <w:bookmarkStart w:id="171" w:name="X9d1a996e92bb5a2b460e8aeb6fb323d698236b8"/>
    <w:p>
      <w:bookmarkStart w:id="669" w:name="h47"/>
      <w:pPr>
        <w:pStyle w:val="Heading2"/>
        <w:numPr>
          <w:ilvl w:val="1"/>
          <w:numId w:val="70"/>
        </w:numPr>
      </w:pPr>
      <w:bookmarkEnd w:id="669"/>
      <w:r>
        <w:t>Notebook 3: smoothing required an interpretable constrained object</w:t>
      </w:r>
    </w:p>
    <w:p>
      <w:pPr>
        <w:pStyle w:val="FirstParagraph"/>
      </w:pPr>
      <w:r>
        <w:t xml:space="preserve">Clipping negative derivatives would have hidden the problem while changing mass and moments. The replacement represented probabilities directly and priced them by exact uniform-bin integration. This gave an inspectable connection between the unknowns, probability constraints and price shape. Independent integration and small known-histogram checks verified the payoff map.</w:t>
      </w:r>
    </w:p>
    <w:p>
      <w:pPr>
        <w:pStyle w:val="BodyText"/>
      </w:pPr>
      <w:r>
        <w:t xml:space="preserve">Smoothing introduced another choice rather than eliminating modelling judgement. A visually attractive density could be obtained at different penalties with different price and density errors. The lesson was to report imposed properties separately from measured accuracy, and to keep the known analytical density out of the fitting objective.</w:t>
      </w:r>
    </w:p>
    <w:bookmarkEnd w:id="171"/>
    <w:bookmarkStart w:id="172" w:name="Xb3cc10d213c1398e1ef6ad424d61c546c6173bc"/>
    <w:p>
      <w:bookmarkStart w:id="670" w:name="h48"/>
      <w:pPr>
        <w:pStyle w:val="Heading2"/>
        <w:numPr>
          <w:ilvl w:val="1"/>
          <w:numId w:val="70"/>
        </w:numPr>
      </w:pPr>
      <w:bookmarkEnd w:id="670"/>
      <w:r>
        <w:t>Notebooks 4–5: good slices did not guarantee a consistent surface</w:t>
      </w:r>
    </w:p>
    <w:p>
      <w:pPr>
        <w:pStyle w:val="FirstParagraph"/>
      </w:pPr>
      <w:r>
        <w:t xml:space="preserve">Independent maturities passed their own checks but violated normalised call ordering, predominantly beyond shared quote coverage. Joining the slices in a 3D display made the family visible but did not enforce a valid relationship between them. The remedy was a joint programme, supported by an independent fit using the same solver so that solver changes were not confused with the effect of the new restrictions.</w:t>
      </w:r>
    </w:p>
    <w:p>
      <w:pPr>
        <w:pStyle w:val="BodyText"/>
      </w:pPr>
      <w:r>
        <w:t xml:space="preserve">The first joint construction still missed violations between bin boundaries. The key improvement was to use the exact quadratic form of the within-bin gap: inspect endpoints and eligible interior stationary points, then add violating locations and resolve. A constructed counterexample showed that this was a necessary check, not merely a denser plotting grid. Five rounds resolved the baseline gap to the target tolerance.</w:t>
      </w:r>
    </w:p>
    <w:p>
      <w:pPr>
        <w:pStyle w:val="BodyText"/>
      </w:pPr>
      <w:r>
        <w:t xml:space="preserve">The remaining tail bump was retained after the calendar checks passed. It taught a separate lesson: internal consistency constrains the admissible family, but does not establish that the selected member matches the true distribution. The subsequent work therefore examined support, resolution and risk integrals directly.</w:t>
      </w:r>
    </w:p>
    <w:bookmarkEnd w:id="172"/>
    <w:bookmarkStart w:id="173" w:name="Xedd2676e96d5119b373dba311dbb2249418fe93"/>
    <w:p>
      <w:bookmarkStart w:id="671" w:name="h49"/>
      <w:pPr>
        <w:pStyle w:val="Heading2"/>
        <w:numPr>
          <w:ilvl w:val="1"/>
          <w:numId w:val="70"/>
        </w:numPr>
      </w:pPr>
      <w:bookmarkEnd w:id="671"/>
      <w:r>
        <w:t>Notebook 6: fair sensitivity comparisons and a solver limitation</w:t>
      </w:r>
    </w:p>
    <w:p>
      <w:pPr>
        <w:pStyle w:val="FirstParagraph"/>
      </w:pPr>
      <w:r>
        <w:t xml:space="preserve">Changing the number of bins initially appeared to be a simple resolution experiment. However, the existing penalty changed strength with spacing. Deriving a grid-scaled roughness criterion and converting its coefficient made the comparisons interpretable. Nested support choices also preserved the baseline spacing, reducing avoidable confounding between support and resolution.</w:t>
      </w:r>
    </w:p>
    <w:p>
      <w:pPr>
        <w:pStyle w:val="BodyText"/>
      </w:pPr>
      <w:r>
        <w:t xml:space="preserve">The two-component benchmark then exposed a numerical limitation that the simpler example had not. Raising OSQP’s iteration allowance from 100,000 to 300,000 was insufficient. Objective scaling and explicit-residual attempts with that backend also failed the strict acceptance requirements. The eventual implementation used an equivalent residual formulation with Clarabel, verified against the earlier formulation on a smaller controlled case. This preserved the mathematical objective and tolerances while changing its numerical treatment.</w:t>
      </w:r>
    </w:p>
    <w:p>
      <w:pPr>
        <w:pStyle w:val="BodyText"/>
      </w:pPr>
      <w:r>
        <w:t xml:space="preserve">Finally, every accepted fit could pass probability and calendar checks while giving biased far-tail estimates. The response was to include omitted benchmark mass, fixed-threshold event errors and variance rather than relying on central plots. The lesson was to distinguish numerical completion, structural validity and recovery accuracy throughout the reporting.</w:t>
      </w:r>
    </w:p>
    <w:bookmarkEnd w:id="173"/>
    <w:bookmarkStart w:id="174" w:name="X7f65a5adda076ecf4931fae00be9a56c8b95eab"/>
    <w:p>
      <w:bookmarkStart w:id="672" w:name="h50"/>
      <w:pPr>
        <w:pStyle w:val="Heading2"/>
        <w:numPr>
          <w:ilvl w:val="1"/>
          <w:numId w:val="70"/>
        </w:numPr>
      </w:pPr>
      <w:bookmarkEnd w:id="672"/>
      <w:r>
        <w:t>Notebook 7: repeated studies required more than additional runs</w:t>
      </w:r>
    </w:p>
    <w:p>
      <w:pPr>
        <w:pStyle w:val="FirstParagraph"/>
      </w:pPr>
      <w:r>
        <w:t xml:space="preserve">A coverage comparison could have mixed the effect of quote count with the effect of missing wings. The Sparse 41 and Central 41 patterns controlled that issue by using equal counts with different spans. Shared random draws paired comparable cases, while clean-input controls exposed errors present without noise.</w:t>
      </w:r>
    </w:p>
    <w:p>
      <w:pPr>
        <w:pStyle w:val="BodyText"/>
      </w:pPr>
      <w:r>
        <w:t xml:space="preserve">Extending strikes made some clean calls so small that a fixed additive perturbation could create negative supplied prices. The price-dependent bounded amplitude in Equation (26) resolved that positivity problem without asserting full arbitrage consistency. The change and its variance were documented rather than describing the new amplitude as a standard deviation or a fitted market-noise model.</w:t>
      </w:r>
    </w:p>
    <w:p>
      <w:pPr>
        <w:pStyle w:val="BodyText"/>
      </w:pPr>
      <w:r>
        <w:t xml:space="preserve">Scaling to 808 joint fits also required saved random states, complete case accounting and precise uncertainty language. Individual estimate variability, MCSE of an average and paired contrast precision were reported separately, following Morris and colleagues [16]. Completed cases could be reused only when their input and code fingerprints matched.</w:t>
      </w:r>
    </w:p>
    <w:p>
      <w:pPr>
        <w:pStyle w:val="BodyText"/>
      </w:pPr>
      <w:r>
        <w:t xml:space="preserve">Numerical completion did not guarantee complete figure files. An export problem detected during artifact checks led to writing temporary PNG and SVG files, validating them and only then replacing their destinations. The lesson was that reproducibility includes the displayed evidence, not merely the numerical arrays.</w:t>
      </w:r>
    </w:p>
    <w:bookmarkEnd w:id="174"/>
    <w:bookmarkStart w:id="175" w:name="X5d3b0c870a2691256bae4706659ebabe0dda155"/>
    <w:p>
      <w:bookmarkStart w:id="673" w:name="h51"/>
      <w:pPr>
        <w:pStyle w:val="Heading2"/>
        <w:numPr>
          <w:ilvl w:val="1"/>
          <w:numId w:val="70"/>
        </w:numPr>
      </w:pPr>
      <w:bookmarkEnd w:id="673"/>
      <w:r>
        <w:t>Notebook 8: the selection target and the evaluation target diverged</w:t>
      </w:r>
    </w:p>
    <w:p>
      <w:pPr>
        <w:pStyle w:val="FirstParagraph"/>
      </w:pPr>
      <w:r>
        <w:t xml:space="preserve">The selected penalty improved some interior price predictions while worsening density recovery or extrapolation. Instead of changing the benchmark or selecting a more favourable evaluation region, the primary results were retained and a clearly labelled post-hoc inside/outside diagnostic located the discrepancy. Cawley and Talbot’s distinction between selection and evaluation [17] provided the relevant framework.</w:t>
      </w:r>
    </w:p>
    <w:p>
      <w:pPr>
        <w:pStyle w:val="BodyText"/>
      </w:pPr>
      <w:r>
        <w:t xml:space="preserve">Unequal fold sizes required pooling individual residuals rather than averaging fold means. The forward stress created a further interpretive risk: using each perturbed forward to redefine the event would move the threshold while claiming to measure sensitivity of the same probability. Re-expressing saved physical fits against the unchanged reference forward prevented that error. Separate uniform-distribution and integration checks verified the conversion.</w:t>
      </w:r>
    </w:p>
    <w:p>
      <w:pPr>
        <w:pStyle w:val="BodyText"/>
      </w:pPr>
      <w:r>
        <w:t xml:space="preserve">The large positive-forward price errors were then investigated through the convex-payoff lower bound. This identified incompatible inputs without labelling them as solver failure. Repeated selection also expanded the audit requirements: each nonzero stress retained the exact selected parent fit, coefficient and input fingerprints.</w:t>
      </w:r>
    </w:p>
    <w:bookmarkEnd w:id="175"/>
    <w:bookmarkStart w:id="176" w:name="X29f50bb012933ce7d3bfaf00202ee2e40a455a4"/>
    <w:p>
      <w:bookmarkStart w:id="674" w:name="h52"/>
      <w:pPr>
        <w:pStyle w:val="Heading2"/>
        <w:numPr>
          <w:ilvl w:val="1"/>
          <w:numId w:val="70"/>
        </w:numPr>
      </w:pPr>
      <w:bookmarkEnd w:id="674"/>
      <w:r>
        <w:t>Notebook 9: empirical access, inferred inputs and misleading visual agreement</w:t>
      </w:r>
    </w:p>
    <w:p>
      <w:pPr>
        <w:pStyle w:val="FirstParagraph"/>
      </w:pPr>
      <w:r>
        <w:t xml:space="preserve">Unavailable sample access and unsuitable timestamp metadata were genuine setbacks. The response was to complete and test the input process on a labelled fixture, then assess the subsequently supplied market files on their own documented terms. The eventual exchange-BBO profile did not silently relax or relabel the earlier external-curve and actual-size profile.</w:t>
      </w:r>
    </w:p>
    <w:p>
      <w:pPr>
        <w:pStyle w:val="BodyText"/>
      </w:pPr>
      <w:r>
        <w:t xml:space="preserve">The supplied files contained two price families. Identifying the exchange market fields avoided fitting indicative marks as though they were observed bids and asks; recognising that the files represented two dates avoided treating three snapshots as three independent days. Indicative size entries were not converted into market depth.</w:t>
      </w:r>
    </w:p>
    <w:p>
      <w:pPr>
        <w:pStyle w:val="BodyText"/>
      </w:pPr>
      <w:r>
        <w:t xml:space="preserve">Missing discount inputs were handled through an explicit quote-implied carry proxy, with feasible projections and rate-equivalent interpretation. This introduced a route for held-out information to affect predictions. Re-estimating both discount and forward inside each training fold addressed that dependency. The proxy remains an assumption-dependent estimate, not a substitute for independent rate evidence.</w:t>
      </w:r>
    </w:p>
    <w:p>
      <w:pPr>
        <w:pStyle w:val="BodyText"/>
      </w:pPr>
      <w:r>
        <w:t xml:space="preserve">The weakest smoothing candidate won, and the subsequent lower grid improved the call score but left substantial put-spread misses. The primary result and post-hoc status were retained. Residual plots were also checked to ensure that a large discrepancy did not sit outside a favourable plotting range. A small fixture miss and the larger empirical misses both illustrated the same distinction between parity compatibility and the chosen density’s price reproduction.</w:t>
      </w:r>
    </w:p>
    <w:p>
      <w:pPr>
        <w:pStyle w:val="BodyText"/>
      </w:pPr>
      <w:r>
        <w:t xml:space="preserve">An intentionally invalid one-row fixture exposed an error in empty timestamp summaries. The adapter was changed to preserve the explicit rejection reason and unavailable extrema instead of crashing before reporting them. This corrected failure reporting without changing valid market results. The lesson was to verify rejected cases and presentation paths as well as successful calibrations.</w:t>
      </w:r>
    </w:p>
    <w:bookmarkEnd w:id="176"/>
    <w:bookmarkStart w:id="177" w:name="X5d10def37b4a8ff8487f257afea200a17893913"/>
    <w:p>
      <w:bookmarkStart w:id="675" w:name="h53"/>
      <w:pPr>
        <w:pStyle w:val="Heading2"/>
        <w:numPr>
          <w:ilvl w:val="1"/>
          <w:numId w:val="70"/>
        </w:numPr>
      </w:pPr>
      <w:bookmarkEnd w:id="675"/>
      <w:r>
        <w:t>Notebook 10: feasibility, finite precision and unresolved evidence</w:t>
      </w:r>
    </w:p>
    <w:p>
      <w:pPr>
        <w:pStyle w:val="FirstParagraph"/>
      </w:pPr>
      <w:r>
        <w:t xml:space="preserve">Improving the midpoint objective had not answered whether a density could satisfy both original spreads. The response separated an LP compatibility diagnostic from a hard-bound minimum-curvature estimator. The late snapshot’s 120-bin failure could have been mistaken for incompatible market quotes; the feasible 240-bin representation demonstrated the importance of qualifying the result by its basis and fixed carry.</w:t>
      </w:r>
    </w:p>
    <w:p>
      <w:pPr>
        <w:pStyle w:val="BodyText"/>
      </w:pPr>
      <w:r>
        <w:t xml:space="preserve">Equivalent mathematics behaved differently numerically. Physical-price rows and several objective scalings failed to reach strict status. Forward-scaled quote rows resolved the primary cases, while a further row multiplier resolved a control that had returned Solved but failed its physical-price postcheck. All unsuccessful attempts and original acceptance tolerances were retained.</w:t>
      </w:r>
    </w:p>
    <w:p>
      <w:pPr>
        <w:pStyle w:val="BodyText"/>
      </w:pPr>
      <w:r>
        <w:t xml:space="preserve">One late holdout fold remains unresolved. Its LP is feasible, but the QP attempts do not meet the complete numerical rule. The reported validation coverage is therefore two of three folds. Preserving that distinction avoids both declaring an infeasible market and reporting a complete validation result that was never obtained.</w:t>
      </w:r>
    </w:p>
    <w:p>
      <w:pPr>
        <w:pStyle w:val="BodyText"/>
      </w:pPr>
      <w:r>
        <w:t xml:space="preserve">Zero in-sample spread misses also did not identify the tails. Event-probability LPs quantified the remaining range within the declared family. Dated comparison introduced a further issue because fixed expiries move closer with time. The separately labelled sixty-day mixture and common-contract control made those assumptions visible, while avoiding a causal story unsupported by two dates.</w:t>
      </w:r>
    </w:p>
    <w:p>
      <w:pPr>
        <w:pStyle w:val="BodyText"/>
      </w:pPr>
      <w:r>
        <w:t xml:space="preserve">The date-aware explorer required the same discipline. Shared scales support comparison; exact histogram slices expose the fitted representation; all-pair ranges disappear for common-contract refits because they no longer apply. The interactive view thus carries the scope of the calculation rather than presenting every displayed curve as equally observed.</w:t>
      </w:r>
    </w:p>
    <w:p>
      <w:pPr>
        <w:pStyle w:val="BodyText"/>
      </w:pPr>
      <w:r>
        <w:t xml:space="preserve">A verification run initially inspected results while the batch was still being written and consequently saw an incomplete snapshot set and no final hash record. Waiting for completion resolved that reporting issue without changing the numerical routines. Subsequent checks covered the full batch and the browser behaviour, including offline operation and narrow-screen layouts. This reinforced the need to distinguish incomplete output from a failed scientific calculation.</w:t>
      </w:r>
    </w:p>
    <w:bookmarkEnd w:id="177"/>
    <w:bookmarkStart w:id="178" w:name="Xf1700eaf0e7de3fc09b88316bfd5ad6c908be5f"/>
    <w:p>
      <w:bookmarkStart w:id="676" w:name="h54"/>
      <w:pPr>
        <w:pStyle w:val="Heading2"/>
        <w:numPr>
          <w:ilvl w:val="1"/>
          <w:numId w:val="70"/>
        </w:numPr>
      </w:pPr>
      <w:bookmarkEnd w:id="676"/>
      <w:r>
        <w:t>Final assembly: retaining the evidence in a readable paper</w:t>
      </w:r>
    </w:p>
    <w:p>
      <w:pPr>
        <w:pStyle w:val="FirstParagraph"/>
      </w:pPr>
      <w:r>
        <w:t xml:space="preserve">The final assembly uses the author’s engineering reports as references for typography, front matter, numbered sections, captions and author-led scholarly discussion. The research sequence follows the SPX investigation itself. Historical stage reports are integrated into one argument, with a dedicated conclusion and explicit distinction between preparation fixtures, empirical observations and subsequent diagnostics.</w:t>
      </w:r>
    </w:p>
    <w:p>
      <w:pPr>
        <w:pStyle w:val="BodyText"/>
      </w:pPr>
      <w:r>
        <w:t xml:space="preserve">All forty-six equations, thirty-three figures and thirty-six research tables retain their established numbers. The symbols include units, and the front-matter lists provide page references to the finished layout. The long mathematical expressions are arranged across lines without changing their meaning. Wide scientific assets use landscape pages where necessary to preserve legibility. The original notebooks and interactive companions remain alongside the assembled document, so the paper’s synthesis can be checked against the detailed record.</w:t>
      </w:r>
    </w:p>
    <w:p>
      <w:pPr>
        <w:pStyle w:val="BodyText"/>
      </w:pPr>
      <w:r>
        <w:t xml:space="preserve">The first document conversion introduced duplicate image captions and empty portrait sections between adjacent landscape assets. These were removed by controlling caption generation and section boundaries. More significantly, visual inspection found that the PDF exporter mishandled empty cells in aligned native equations and omitted some lines. Single-column equation arrays preserved the complete expressions while keeping editable Word mathematics. The corrected equations were rendered and inspected again. This setback demonstrated why successful file creation and text extraction cannot replace visual verification of mathematical content.</w:t>
      </w:r>
    </w:p>
    <w:bookmarkEnd w:id="178"/>
    <w:bookmarkEnd w:id="179"/>
    <w:bookmarkStart w:id="183" w:name="discussion-and-limitations"/>
    <w:p>
      <w:bookmarkStart w:id="677" w:name="h55"/>
      <w:pPr>
        <w:pStyle w:val="Heading1"/>
        <w:numPr>
          <w:ilvl w:val="0"/>
          <w:numId w:val="70"/>
        </w:numPr>
      </w:pPr>
      <w:bookmarkEnd w:id="677"/>
      <w:r>
        <w:t>Discussion and limitations</w:t>
      </w:r>
    </w:p>
    <w:bookmarkStart w:id="180" w:name="what-the-evidence-establishes"/>
    <w:p>
      <w:bookmarkStart w:id="678" w:name="h56"/>
      <w:pPr>
        <w:pStyle w:val="Heading2"/>
        <w:numPr>
          <w:ilvl w:val="1"/>
          <w:numId w:val="70"/>
        </w:numPr>
      </w:pPr>
      <w:bookmarkEnd w:id="678"/>
      <w:r>
        <w:t>What the evidence establishes</w:t>
      </w:r>
    </w:p>
    <w:p>
      <w:pPr>
        <w:pStyle w:val="FirstParagraph"/>
      </w:pPr>
      <w:r>
        <w:t xml:space="preserve">The experiments show that a useful recovery workflow requires several distinct checks. Exact payoff integration and constrained masses address structural validity. Joint fitting and analytical interval minima address the implemented calendar restrictions. Independent residual checks address the finite-precision solution. Quote audits and original-spread tests address input interpretation and observed-price compatibility. Recovery errors, sensitivity studies and feasible event ranges address what remains uncertain about the distribution.</w:t>
      </w:r>
    </w:p>
    <w:p>
      <w:pPr>
        <w:pStyle w:val="BodyText"/>
      </w:pPr>
      <w:r>
        <w:t xml:space="preserve">The synthetic results make these distinctions measurable. Clean finite differences converge, while perturbations destabilise them. Joint restrictions remove calendar violations with little change in price accuracy, but do not remove the tail mismatch. Changing resolution or coverage can materially change density error while barely changing price RMSE. Selecting smoothing by interior call prediction can improve that objective while worsening a separate density target. These findings follow from the reported experiments, rather than being general claims that one estimator always dominates another.</w:t>
      </w:r>
    </w:p>
    <w:p>
      <w:pPr>
        <w:pStyle w:val="BodyText"/>
      </w:pPr>
      <w:r>
        <w:t xml:space="preserve">The empirical extension shows that hard original call/put restrictions are attainable for the three primary snapshots within the stated 240-bin family. It also shows why this success should not be overstated: the compatibility is in sample and imposed by construction, some held-out prices miss their spreads, and one validation fold remains unresolved. The reported event ranges reveal meaningful flexibility even after all primary quoted intervals are satisfied.</w:t>
      </w:r>
    </w:p>
    <w:bookmarkEnd w:id="180"/>
    <w:bookmarkStart w:id="181" w:name="Xb371e9c3014ab8bcbff9656008fb3f11aa749a6"/>
    <w:p>
      <w:bookmarkStart w:id="679" w:name="h57"/>
      <w:pPr>
        <w:pStyle w:val="Heading2"/>
        <w:numPr>
          <w:ilvl w:val="1"/>
          <w:numId w:val="70"/>
        </w:numPr>
      </w:pPr>
      <w:bookmarkEnd w:id="679"/>
      <w:r>
        <w:t>Limits of identification and probability interpretation</w:t>
      </w:r>
    </w:p>
    <w:p>
      <w:pPr>
        <w:pStyle w:val="FirstParagraph"/>
      </w:pPr>
      <w:r>
        <w:t xml:space="preserve">As Bahra emphasises [1], option-implied probabilities are risk-neutral. This paper does not estimate the change of measure required to interpret them as real-world forecasts. Market risk preferences, funding assumptions and dividend treatment are not independently identified by the density fit.</w:t>
      </w:r>
    </w:p>
    <w:p>
      <w:pPr>
        <w:pStyle w:val="BodyText"/>
      </w:pPr>
      <w:r>
        <w:t xml:space="preserve">The histogram has finite support and a chosen resolution. Curvature selects one member of its feasible family but supplies no claim that the selected shape is the true terminal density. As Malz’s discussion motivates [14], upper-tail integrals include extrapolated regions even when the threshold itself lies inside observed strike coverage. Conditional LP ranges improve transparency, but retain the same support, basis and point carry; they do not measure every source of uncertainty.</w:t>
      </w:r>
    </w:p>
    <w:p>
      <w:pPr>
        <w:pStyle w:val="BodyText"/>
      </w:pPr>
      <w:r>
        <w:t xml:space="preserve">Synthetic truth is available only for the chosen benchmark families. The noise mechanism is deliberately simple, independent and bounded in the repeated studies. Its price-dependent amplitude is not a market microstructure calibration. Consequently, favourable recovery under those experiments is evidence within their design, not proof of general empirical reliability.</w:t>
      </w:r>
    </w:p>
    <w:bookmarkEnd w:id="181"/>
    <w:bookmarkStart w:id="182" w:name="X7e579a6f45fa06630d731621d476cd11faf54ad"/>
    <w:p>
      <w:bookmarkStart w:id="680" w:name="h58"/>
      <w:pPr>
        <w:pStyle w:val="Heading2"/>
        <w:numPr>
          <w:ilvl w:val="1"/>
          <w:numId w:val="70"/>
        </w:numPr>
      </w:pPr>
      <w:bookmarkEnd w:id="680"/>
      <w:r>
        <w:t>Limits of empirical and numerical validation</w:t>
      </w:r>
    </w:p>
    <w:p>
      <w:pPr>
        <w:pStyle w:val="FirstParagraph"/>
      </w:pPr>
      <w:r>
        <w:t xml:space="preserve">Two dates and three snapshots do not support a long historical conclusion, an event attribution or a tested forecasting strategy. The common sixty-day density is an assumed mixture of normalised maturity distributions. The common-contract control changes the inferred carry as well as sample composition. Neither comparison isolates a single causal effect.</w:t>
      </w:r>
    </w:p>
    <w:p>
      <w:pPr>
        <w:pStyle w:val="BodyText"/>
      </w:pPr>
      <w:r>
        <w:t xml:space="preserve">The observed prices are documented exchange BBOs with an activity screen; actual depth and consolidated NBBO are not established. Quote-implied discounts and forwards are conditional point inputs. The selected finite grid and row-scaling retry rule followed inspected pilots, and the lower smoothing diagnostic followed the primary fit. These design decisions are disclosed so they cannot be mistaken for blind validation.</w:t>
      </w:r>
    </w:p>
    <w:p>
      <w:pPr>
        <w:pStyle w:val="BodyText"/>
      </w:pPr>
      <w:r>
        <w:t xml:space="preserve">Strict numerical criteria strengthen the evidence but remain tolerance-based. Tiny signed masses and calendar residuals are retained. Feasibility LPs and QPs have different independent price-residual thresholds. The unresolved late fold demonstrates that LP compatibility and successful optimisation of the selected curvature criterion are separate outcomes. The accompanying case records make those differences reviewable.</w:t>
      </w:r>
    </w:p>
    <w:bookmarkEnd w:id="182"/>
    <w:bookmarkEnd w:id="183"/>
    <w:bookmarkStart w:id="186" w:name="conclusions-and-future-work"/>
    <w:p>
      <w:bookmarkStart w:id="681" w:name="h59"/>
      <w:pPr>
        <w:pStyle w:val="Heading1"/>
        <w:numPr>
          <w:ilvl w:val="0"/>
          <w:numId w:val="70"/>
        </w:numPr>
      </w:pPr>
      <w:bookmarkEnd w:id="681"/>
      <w:r>
        <w:t>Conclusions and future work</w:t>
      </w:r>
    </w:p>
    <w:bookmarkStart w:id="184" w:name="conclusion"/>
    <w:p>
      <w:bookmarkStart w:id="682" w:name="h60"/>
      <w:pPr>
        <w:pStyle w:val="Heading2"/>
        <w:numPr>
          <w:ilvl w:val="1"/>
          <w:numId w:val="70"/>
        </w:numPr>
      </w:pPr>
      <w:bookmarkEnd w:id="682"/>
      <w:r>
        <w:t>Conclusion</w:t>
      </w:r>
    </w:p>
    <w:p>
      <w:pPr>
        <w:pStyle w:val="FirstParagraph"/>
      </w:pPr>
      <w:r>
        <w:t xml:space="preserve">This project achieved its aim of developing and evaluating a reproducible route from European option prices to constrained risk-neutral terminal densities. The work progressed from a known analytical benchmark to a joint multi-maturity estimator, repeated recovery studies and an empirical SPXW application. The final method uses exact histogram payoff integration, explicit probability constraints and analytical checks of calendar gaps between the constraint locations.</w:t>
      </w:r>
    </w:p>
    <w:p>
      <w:pPr>
        <w:pStyle w:val="BodyText"/>
      </w:pPr>
      <w:r>
        <w:t xml:space="preserve">The central research question can be answered conditionally. A numerically consistent density can be trusted to satisfy the restrictions that have been imposed and independently checked, within their stated tolerances. That evidence does not by itself establish accurate density recovery, identify extrapolated tails or justify a real-world probability forecast. The synthetic experiments demonstrate this directly: similar price errors can accompany different density errors, and valid calendar ordering can coexist with biased tail probabilities.</w:t>
      </w:r>
    </w:p>
    <w:p>
      <w:pPr>
        <w:pStyle w:val="BodyText"/>
      </w:pPr>
      <w:r>
        <w:t xml:space="preserve">The empirical analysis resolved the original-spread problem for the three primary snapshots: all 5,518 retained option intervals were satisfied at the declared counting tolerance using the common 240-bin representation. It preserved the failed 120-bin late control, the incomplete late validation fold and the limitations of inferred carry. The feasible event ranges then showed why a single smooth density should not be presented as the only answer supported by the observed prices. In particular, a nearly zero selected upper-tail probability can coexist with a materially positive feasible upper bound.</w:t>
      </w:r>
    </w:p>
    <w:p>
      <w:pPr>
        <w:pStyle w:val="BodyText"/>
      </w:pPr>
      <w:r>
        <w:t xml:space="preserve">The strongest outcome is therefore a method with an explicit account of what its evidence supports. It distinguishes valid inputs, a valid probability representation, numerical acceptance, price reproduction and distributional identification. The development record contributes to that outcome: setbacks led to interval-level checking, comparable smoothing across grids, training-only input inference, original-spread constraints and more qualified tail reporting. Unresolved issues remain visible rather than being removed from the final account.</w:t>
      </w:r>
    </w:p>
    <w:bookmarkEnd w:id="184"/>
    <w:bookmarkStart w:id="185" w:name="priorities-for-further-work"/>
    <w:p>
      <w:bookmarkStart w:id="683" w:name="h61"/>
      <w:pPr>
        <w:pStyle w:val="Heading2"/>
        <w:numPr>
          <w:ilvl w:val="1"/>
          <w:numId w:val="70"/>
        </w:numPr>
      </w:pPr>
      <w:bookmarkEnd w:id="683"/>
      <w:r>
        <w:t>Priorities for further work</w:t>
      </w:r>
    </w:p>
    <w:p>
      <w:pPr>
        <w:pStyle w:val="FirstParagraph"/>
      </w:pPr>
      <w:r>
        <w:t xml:space="preserve">The first priority is to resolve the failed late holdout fold using an independently verified numerical formulation or solver, retaining the same quotes and acceptance criteria. The comparison should establish whether a satisfactory optimum can be obtained without confusing numerical status with feasibility.</w:t>
      </w:r>
    </w:p>
    <w:p>
      <w:pPr>
        <w:pStyle w:val="BodyText"/>
      </w:pPr>
      <w:r>
        <w:t xml:space="preserve">The second priority is broader empirical evidence. A predeclared sequence of dated observations, documented snapshot conventions and an independently observed discount/dividend input set would permit a stronger assessment of temporal stability. Selection and design choices should be fixed before an untouched evaluation period is examined, following the separation principle discussed by Cawley and Talbot [17].</w:t>
      </w:r>
    </w:p>
    <w:p>
      <w:pPr>
        <w:pStyle w:val="BodyText"/>
      </w:pPr>
      <w:r>
        <w:t xml:space="preserve">The third priority is to broaden the uncertainty analysis. Carry, support and resolution should be varied alongside quote information, and event ranges compared across those declared families. Alternative density bases and tail treatments could determine which findings depend on the histogram representation. Such extensions should retain the distinction between conditional feasible ranges and statistical confidence intervals.</w:t>
      </w:r>
    </w:p>
    <w:p>
      <w:pPr>
        <w:pStyle w:val="BodyText"/>
      </w:pPr>
      <w:r>
        <w:t xml:space="preserve">Finally, the common-horizon analysis could be extended through an explicitly estimated maturity model, checked against its economic restrictions and evaluated where observations permit. Until then, the interpolated sixty-day slice remains a useful, clearly labelled comparison convention. These extensions would build on the present work’s main lesson: an interpretable result requires a transparent connection between the observations, assumptions, numerical method and claim being made.</w:t>
      </w:r>
    </w:p>
    <w:bookmarkEnd w:id="185"/>
    <w:bookmarkEnd w:id="186"/>
    <w:bookmarkStart w:id="221" w:name="references"/>
    <w:p>
      <w:bookmarkStart w:id="684" w:name="h62"/>
      <w:pPr>
        <w:pStyle w:val="Heading1"/>
      </w:pPr>
      <w:r>
        <w:t xml:space="preserve">References</w:t>
      </w:r>
      <w:bookmarkEnd w:id="684"/>
    </w:p>
    <w:p>
      <w:pPr>
        <w:pStyle w:val="Reference"/>
      </w:pPr>
      <w:r>
        <w:t xml:space="preserve">[1] B. Bahra (1997),</w:t>
      </w:r>
      <w:r>
        <w:t xml:space="preserve"> </w:t>
      </w:r>
      <w:r>
        <w:t xml:space="preserve">“</w:t>
      </w:r>
      <w:r>
        <w:t xml:space="preserve">Implied risk-neutral probability density functions from option prices: theory and application,</w:t>
      </w:r>
      <w:r>
        <w:t xml:space="preserve">”</w:t>
      </w:r>
      <w:r>
        <w:t xml:space="preserve"> </w:t>
      </w:r>
      <w:r>
        <w:t xml:space="preserve">Bank of England, Working Paper No. 66. Sections 2.1–2.2 and Mathematical appendix; §§3.5–3.6 additionally consulted for the mixture benchmark for the mixture study.</w:t>
      </w:r>
      <w:r>
        <w:t xml:space="preserve"> </w:t>
      </w:r>
      <w:hyperlink r:id="rId187">
        <w:r>
          <w:rPr>
            <w:rStyle w:val="Hyperlink"/>
          </w:rPr>
          <w:t xml:space="preserve">Full paper</w:t>
        </w:r>
      </w:hyperlink>
      <w:r>
        <w:t xml:space="preserve">.</w:t>
      </w:r>
    </w:p>
    <w:p>
      <w:pPr>
        <w:pStyle w:val="Reference"/>
      </w:pPr>
      <w:r>
        <w:t xml:space="preserve">[2] Cboe,</w:t>
      </w:r>
      <w:r>
        <w:t xml:space="preserve"> </w:t>
      </w:r>
      <w:r>
        <w:t xml:space="preserve">“</w:t>
      </w:r>
      <w:r>
        <w:t xml:space="preserve">SPX delayed quotes.</w:t>
      </w:r>
      <w:r>
        <w:t xml:space="preserve">”</w:t>
      </w:r>
      <w:r>
        <w:t xml:space="preserve"> </w:t>
      </w:r>
      <w:r>
        <w:t xml:space="preserve">Retrieved 19 September 2026.</w:t>
      </w:r>
      <w:r>
        <w:t xml:space="preserve"> </w:t>
      </w:r>
      <w:hyperlink r:id="rId188">
        <w:r>
          <w:rPr>
            <w:rStyle w:val="Hyperlink"/>
          </w:rPr>
          <w:t xml:space="preserve">Source page</w:t>
        </w:r>
      </w:hyperlink>
      <w:r>
        <w:t xml:space="preserve">. Primary data source; not a research paper.</w:t>
      </w:r>
    </w:p>
    <w:p>
      <w:pPr>
        <w:pStyle w:val="Reference"/>
      </w:pPr>
      <w:r>
        <w:t xml:space="preserve">[3] Cboe DataShop,</w:t>
      </w:r>
      <w:r>
        <w:t xml:space="preserve"> </w:t>
      </w:r>
      <w:r>
        <w:t xml:space="preserve">“</w:t>
      </w:r>
      <w:r>
        <w:t xml:space="preserve">Option Quotes.</w:t>
      </w:r>
      <w:r>
        <w:t xml:space="preserve">”</w:t>
      </w:r>
      <w:r>
        <w:t xml:space="preserve"> </w:t>
      </w:r>
      <w:r>
        <w:t xml:space="preserve">Accessed 19 September 2026.</w:t>
      </w:r>
      <w:r>
        <w:t xml:space="preserve"> </w:t>
      </w:r>
      <w:hyperlink r:id="rId189">
        <w:r>
          <w:rPr>
            <w:rStyle w:val="Hyperlink"/>
          </w:rPr>
          <w:t xml:space="preserve">Product documentation</w:t>
        </w:r>
      </w:hyperlink>
      <w:r>
        <w:t xml:space="preserve">.</w:t>
      </w:r>
    </w:p>
    <w:p>
      <w:pPr>
        <w:pStyle w:val="Reference"/>
      </w:pPr>
      <w:r>
        <w:t xml:space="preserve">[4] Cboe DataShop,</w:t>
      </w:r>
      <w:r>
        <w:t xml:space="preserve"> </w:t>
      </w:r>
      <w:r>
        <w:t xml:space="preserve">“</w:t>
      </w:r>
      <w:r>
        <w:t xml:space="preserve">Option Quotes Specification,</w:t>
      </w:r>
      <w:r>
        <w:t xml:space="preserve">”</w:t>
      </w:r>
      <w:r>
        <w:t xml:space="preserve"> </w:t>
      </w:r>
      <w:r>
        <w:t xml:space="preserve">v1.1, pp. 1–2.</w:t>
      </w:r>
      <w:r>
        <w:t xml:space="preserve"> </w:t>
      </w:r>
      <w:hyperlink r:id="rId190">
        <w:r>
          <w:rPr>
            <w:rStyle w:val="Hyperlink"/>
          </w:rPr>
          <w:t xml:space="preserve">File specification</w:t>
        </w:r>
      </w:hyperlink>
      <w:r>
        <w:t xml:space="preserve">.</w:t>
      </w:r>
    </w:p>
    <w:p>
      <w:pPr>
        <w:pStyle w:val="Reference"/>
      </w:pPr>
      <w:r>
        <w:t xml:space="preserve">[5] Cboe,</w:t>
      </w:r>
      <w:r>
        <w:t xml:space="preserve"> </w:t>
      </w:r>
      <w:r>
        <w:t xml:space="preserve">“</w:t>
      </w:r>
      <w:r>
        <w:t xml:space="preserve">S&amp;P 500 Index Options Product Specifications.</w:t>
      </w:r>
      <w:r>
        <w:t xml:space="preserve">”</w:t>
      </w:r>
      <w:r>
        <w:t xml:space="preserve"> </w:t>
      </w:r>
      <w:r>
        <w:t xml:space="preserve">Accessed 19 September 2026 and rechecked 21 September 2026 for the empirical contracts.</w:t>
      </w:r>
      <w:r>
        <w:t xml:space="preserve"> </w:t>
      </w:r>
      <w:hyperlink r:id="rId191">
        <w:r>
          <w:rPr>
            <w:rStyle w:val="Hyperlink"/>
          </w:rPr>
          <w:t xml:space="preserve">Contract specifications</w:t>
        </w:r>
      </w:hyperlink>
      <w:r>
        <w:t xml:space="preserve">.</w:t>
      </w:r>
    </w:p>
    <w:p>
      <w:pPr>
        <w:pStyle w:val="Reference"/>
      </w:pPr>
      <w:r>
        <w:t xml:space="preserve">[6] D. T. Breeden and R. H. Litzenberger (1978),</w:t>
      </w:r>
      <w:r>
        <w:t xml:space="preserve"> </w:t>
      </w:r>
      <w:r>
        <w:t xml:space="preserve">“</w:t>
      </w:r>
      <w:r>
        <w:t xml:space="preserve">Prices of State-Contingent Claims Implicit in Option Prices,</w:t>
      </w:r>
      <w:r>
        <w:t xml:space="preserve">”</w:t>
      </w:r>
      <w:r>
        <w:t xml:space="preserve"> </w:t>
      </w:r>
      <w:r>
        <w:rPr>
          <w:iCs/>
          <w:i/>
        </w:rPr>
        <w:t xml:space="preserve">The Journal of Business</w:t>
      </w:r>
      <w:r>
        <w:t xml:space="preserve">, vol. 51, no. 4, pp. 621–651.</w:t>
      </w:r>
      <w:r>
        <w:t xml:space="preserve"> </w:t>
      </w:r>
      <w:hyperlink r:id="rId192">
        <w:r>
          <w:rPr>
            <w:rStyle w:val="Hyperlink"/>
          </w:rPr>
          <w:t xml:space="preserve">doi:10.1086/260618</w:t>
        </w:r>
      </w:hyperlink>
      <w:r>
        <w:t xml:space="preserve">. Original attribution; the derivation was consulted through Bahra [1] and Aït-Sahalia and Lo [10].</w:t>
      </w:r>
    </w:p>
    <w:p>
      <w:pPr>
        <w:pStyle w:val="Reference"/>
      </w:pPr>
      <w:r>
        <w:t xml:space="preserve">[7] T. A. Driscoll and R. J. Braun,</w:t>
      </w:r>
      <w:r>
        <w:t xml:space="preserve"> </w:t>
      </w:r>
      <w:r>
        <w:rPr>
          <w:iCs/>
          <w:i/>
        </w:rPr>
        <w:t xml:space="preserve">Fundamentals of Numerical Computation</w:t>
      </w:r>
      <w:r>
        <w:t xml:space="preserve">, author-maintained online textbook, §§5.4–5.5.</w:t>
      </w:r>
      <w:r>
        <w:t xml:space="preserve"> </w:t>
      </w:r>
      <w:hyperlink r:id="rId193">
        <w:r>
          <w:rPr>
            <w:rStyle w:val="Hyperlink"/>
          </w:rPr>
          <w:t xml:space="preserve">Finite differences, especially Equation (5.4.9)</w:t>
        </w:r>
      </w:hyperlink>
      <w:r>
        <w:t xml:space="preserve">;</w:t>
      </w:r>
      <w:r>
        <w:t xml:space="preserve"> </w:t>
      </w:r>
      <w:hyperlink r:id="rId194">
        <w:r>
          <w:rPr>
            <w:rStyle w:val="Hyperlink"/>
          </w:rPr>
          <w:t xml:space="preserve">Convergence and roundoff</w:t>
        </w:r>
      </w:hyperlink>
      <w:r>
        <w:t xml:space="preserve">. Accessed 19 September 2026.</w:t>
      </w:r>
    </w:p>
    <w:p>
      <w:pPr>
        <w:pStyle w:val="Reference"/>
      </w:pPr>
      <w:r>
        <w:t xml:space="preserve">[8] F. Black and M. Scholes (1973),</w:t>
      </w:r>
      <w:r>
        <w:t xml:space="preserve"> </w:t>
      </w:r>
      <w:r>
        <w:t xml:space="preserve">“</w:t>
      </w:r>
      <w:r>
        <w:t xml:space="preserve">The Pricing of Options and Corporate Liabilities,</w:t>
      </w:r>
      <w:r>
        <w:t xml:space="preserve">”</w:t>
      </w:r>
      <w:r>
        <w:t xml:space="preserve"> </w:t>
      </w:r>
      <w:r>
        <w:rPr>
          <w:iCs/>
          <w:i/>
        </w:rPr>
        <w:t xml:space="preserve">Journal of Political Economy</w:t>
      </w:r>
      <w:r>
        <w:t xml:space="preserve">, vol. 81, no. 3, pp. 637–654.</w:t>
      </w:r>
      <w:r>
        <w:t xml:space="preserve"> </w:t>
      </w:r>
      <w:hyperlink r:id="rId195">
        <w:r>
          <w:rPr>
            <w:rStyle w:val="Hyperlink"/>
          </w:rPr>
          <w:t xml:space="preserve">doi:10.1086/260062</w:t>
        </w:r>
      </w:hyperlink>
      <w:r>
        <w:t xml:space="preserve">. Publisher abstract and metadata consulted; the lognormal implementation is supported by [1] and [10].</w:t>
      </w:r>
    </w:p>
    <w:p>
      <w:pPr>
        <w:pStyle w:val="Reference"/>
      </w:pPr>
      <w:r>
        <w:t xml:space="preserve">[9] Y. Aït-Sahalia and J. Duarte (2003),</w:t>
      </w:r>
      <w:r>
        <w:t xml:space="preserve"> </w:t>
      </w:r>
      <w:r>
        <w:t xml:space="preserve">“</w:t>
      </w:r>
      <w:r>
        <w:t xml:space="preserve">Nonparametric option pricing under shape restrictions,</w:t>
      </w:r>
      <w:r>
        <w:t xml:space="preserve">”</w:t>
      </w:r>
      <w:r>
        <w:t xml:space="preserve"> </w:t>
      </w:r>
      <w:r>
        <w:rPr>
          <w:iCs/>
          <w:i/>
        </w:rPr>
        <w:t xml:space="preserve">Journal of Econometrics</w:t>
      </w:r>
      <w:r>
        <w:t xml:space="preserve">, vol. 116, nos. 1–2, pp. 9–47. Section 2.</w:t>
      </w:r>
      <w:r>
        <w:t xml:space="preserve"> </w:t>
      </w:r>
      <w:hyperlink r:id="rId196">
        <w:r>
          <w:rPr>
            <w:rStyle w:val="Hyperlink"/>
          </w:rPr>
          <w:t xml:space="preserve">doi:10.1016/S0304-4076(03)00102-7</w:t>
        </w:r>
      </w:hyperlink>
      <w:r>
        <w:t xml:space="preserve">;</w:t>
      </w:r>
      <w:r>
        <w:t xml:space="preserve"> </w:t>
      </w:r>
      <w:hyperlink r:id="rId197">
        <w:r>
          <w:rPr>
            <w:rStyle w:val="Hyperlink"/>
          </w:rPr>
          <w:t xml:space="preserve">author-hosted paper</w:t>
        </w:r>
      </w:hyperlink>
      <w:r>
        <w:t xml:space="preserve">.</w:t>
      </w:r>
    </w:p>
    <w:p>
      <w:pPr>
        <w:pStyle w:val="Reference"/>
      </w:pPr>
      <w:r>
        <w:t xml:space="preserve">[10] Y. Aït-Sahalia and A. W. Lo (1998),</w:t>
      </w:r>
      <w:r>
        <w:t xml:space="preserve"> </w:t>
      </w:r>
      <w:r>
        <w:t xml:space="preserve">“</w:t>
      </w:r>
      <w:r>
        <w:t xml:space="preserve">Nonparametric Estimation of State-Price Densities Implicit in Financial Asset Prices,</w:t>
      </w:r>
      <w:r>
        <w:t xml:space="preserve">”</w:t>
      </w:r>
      <w:r>
        <w:t xml:space="preserve"> </w:t>
      </w:r>
      <w:r>
        <w:rPr>
          <w:iCs/>
          <w:i/>
        </w:rPr>
        <w:t xml:space="preserve">The Journal of Finance</w:t>
      </w:r>
      <w:r>
        <w:t xml:space="preserve">, vol. 53, no. 2, pp. 499–547. Sections I and III.A, especially Equations (16)–(17).</w:t>
      </w:r>
      <w:r>
        <w:t xml:space="preserve"> </w:t>
      </w:r>
      <w:hyperlink r:id="rId198">
        <w:r>
          <w:rPr>
            <w:rStyle w:val="Hyperlink"/>
          </w:rPr>
          <w:t xml:space="preserve">Author-hosted paper</w:t>
        </w:r>
      </w:hyperlink>
      <w:r>
        <w:t xml:space="preserve">.</w:t>
      </w:r>
    </w:p>
    <w:p>
      <w:pPr>
        <w:pStyle w:val="Reference"/>
      </w:pPr>
      <w:r>
        <w:t xml:space="preserve">[11] S. Boyd and L. Vandenberghe (2004),</w:t>
      </w:r>
      <w:r>
        <w:t xml:space="preserve"> </w:t>
      </w:r>
      <w:r>
        <w:rPr>
          <w:iCs/>
          <w:i/>
        </w:rPr>
        <w:t xml:space="preserve">Convex Optimization</w:t>
      </w:r>
      <w:r>
        <w:t xml:space="preserve">. Cambridge University Press, §§4.4 and 6.3, especially pp. 152–153 and 305–308.</w:t>
      </w:r>
      <w:r>
        <w:t xml:space="preserve"> </w:t>
      </w:r>
      <w:hyperlink r:id="rId199">
        <w:r>
          <w:rPr>
            <w:rStyle w:val="Hyperlink"/>
          </w:rPr>
          <w:t xml:space="preserve">Author-hosted book</w:t>
        </w:r>
      </w:hyperlink>
      <w:r>
        <w:t xml:space="preserve">. The quadratic-programme formulation and smoothing-regularisation discussion were consulted directly.</w:t>
      </w:r>
    </w:p>
    <w:p>
      <w:pPr>
        <w:pStyle w:val="Reference"/>
      </w:pPr>
      <w:r>
        <w:t xml:space="preserve">[12] J. Gatheral and A. Jacquier,</w:t>
      </w:r>
      <w:r>
        <w:t xml:space="preserve"> </w:t>
      </w:r>
      <w:r>
        <w:t xml:space="preserve">“</w:t>
      </w:r>
      <w:r>
        <w:t xml:space="preserve">Arbitrage-free SVI volatility surfaces,</w:t>
      </w:r>
      <w:r>
        <w:t xml:space="preserve">”</w:t>
      </w:r>
      <w:r>
        <w:t xml:space="preserve"> </w:t>
      </w:r>
      <w:r>
        <w:rPr>
          <w:iCs/>
          <w:i/>
        </w:rPr>
        <w:t xml:space="preserve">Quantitative Finance</w:t>
      </w:r>
      <w:r>
        <w:t xml:space="preserve">, vol. 14, no. 1, pp. 59–71; first published online 2013.</w:t>
      </w:r>
      <w:r>
        <w:t xml:space="preserve"> </w:t>
      </w:r>
      <w:hyperlink r:id="rId200">
        <w:r>
          <w:rPr>
            <w:rStyle w:val="Hyperlink"/>
          </w:rPr>
          <w:t xml:space="preserve">doi:10.1080/14697688.2013.819986</w:t>
        </w:r>
      </w:hyperlink>
      <w:r>
        <w:t xml:space="preserve">. Journal metadata checked through Crossref. The consulted text is the</w:t>
      </w:r>
      <w:r>
        <w:t xml:space="preserve"> </w:t>
      </w:r>
      <w:hyperlink r:id="rId201">
        <w:r>
          <w:rPr>
            <w:rStyle w:val="Hyperlink"/>
          </w:rPr>
          <w:t xml:space="preserve">author preprint, arXiv:1204.0646v4</w:t>
        </w:r>
      </w:hyperlink>
      <w:r>
        <w:t xml:space="preserve">, §2, particularly §2.1 and Lemma 2.1. Accessed 20 September 2026. Their SVI estimator is not implemented here.</w:t>
      </w:r>
    </w:p>
    <w:p>
      <w:pPr>
        <w:pStyle w:val="Reference"/>
      </w:pPr>
      <w:r>
        <w:t xml:space="preserve">[13] B. Stellato, G. Banjac, P. Goulart, A. Bemporad and S. Boyd (2020),</w:t>
      </w:r>
      <w:r>
        <w:t xml:space="preserve"> </w:t>
      </w:r>
      <w:r>
        <w:t xml:space="preserve">“</w:t>
      </w:r>
      <w:r>
        <w:t xml:space="preserve">OSQP: An Operator Splitting Solver for Quadratic Programs,</w:t>
      </w:r>
      <w:r>
        <w:t xml:space="preserve">”</w:t>
      </w:r>
      <w:r>
        <w:t xml:space="preserve"> </w:t>
      </w:r>
      <w:r>
        <w:rPr>
          <w:iCs/>
          <w:i/>
        </w:rPr>
        <w:t xml:space="preserve">Mathematical Programming Computation</w:t>
      </w:r>
      <w:r>
        <w:t xml:space="preserve">, vol. 12, no. 4, pp. 637–672.</w:t>
      </w:r>
      <w:r>
        <w:t xml:space="preserve"> </w:t>
      </w:r>
      <w:hyperlink r:id="rId202">
        <w:r>
          <w:rPr>
            <w:rStyle w:val="Hyperlink"/>
          </w:rPr>
          <w:t xml:space="preserve">doi:10.1007/s12532-020-00179-2</w:t>
        </w:r>
      </w:hyperlink>
      <w:r>
        <w:t xml:space="preserve">. Metadata checked on the</w:t>
      </w:r>
      <w:r>
        <w:t xml:space="preserve"> </w:t>
      </w:r>
      <w:hyperlink r:id="rId203">
        <w:r>
          <w:rPr>
            <w:rStyle w:val="Hyperlink"/>
          </w:rPr>
          <w:t xml:space="preserve">author publication page</w:t>
        </w:r>
      </w:hyperlink>
      <w:r>
        <w:t xml:space="preserve">. Consulted</w:t>
      </w:r>
      <w:r>
        <w:t xml:space="preserve"> </w:t>
      </w:r>
      <w:hyperlink r:id="rId204">
        <w:r>
          <w:rPr>
            <w:rStyle w:val="Hyperlink"/>
          </w:rPr>
          <w:t xml:space="preserve">author preprint, arXiv:1711.08013v4</w:t>
        </w:r>
      </w:hyperlink>
      <w:r>
        <w:t xml:space="preserve">, §§1.1, 3.4 and 4, for the formulation, stopping criteria and optional polishing. Accessed 20 September 2026. The code uses OSQP 1.1.3; current interface details are documented separately below.</w:t>
      </w:r>
    </w:p>
    <w:p>
      <w:pPr>
        <w:pStyle w:val="Reference"/>
      </w:pPr>
      <w:r>
        <w:t xml:space="preserve">[14] A. M. Malz (2014),</w:t>
      </w:r>
      <w:r>
        <w:t xml:space="preserve"> </w:t>
      </w:r>
      <w:r>
        <w:t xml:space="preserve">“</w:t>
      </w:r>
      <w:r>
        <w:t xml:space="preserve">A Simple and Reliable Way to Compute Option-Based Risk-Neutral Distributions,</w:t>
      </w:r>
      <w:r>
        <w:t xml:space="preserve">”</w:t>
      </w:r>
      <w:r>
        <w:t xml:space="preserve"> </w:t>
      </w:r>
      <w:r>
        <w:t xml:space="preserve">Federal Reserve Bank of New York, Staff Report No. 677, June.</w:t>
      </w:r>
      <w:r>
        <w:t xml:space="preserve"> </w:t>
      </w:r>
      <w:hyperlink r:id="rId205">
        <w:r>
          <w:rPr>
            <w:rStyle w:val="Hyperlink"/>
          </w:rPr>
          <w:t xml:space="preserve">Publication page</w:t>
        </w:r>
      </w:hyperlink>
      <w:r>
        <w:t xml:space="preserve">;</w:t>
      </w:r>
      <w:r>
        <w:t xml:space="preserve"> </w:t>
      </w:r>
      <w:hyperlink r:id="rId206">
        <w:r>
          <w:rPr>
            <w:rStyle w:val="Hyperlink"/>
          </w:rPr>
          <w:t xml:space="preserve">full paper</w:t>
        </w:r>
      </w:hyperlink>
      <w:r>
        <w:t xml:space="preserve">. Sections 2.3 and 3.2 consulted directly on 20 September 2026 for extrapolation and threshold-based tail summaries. This is a central-bank research paper, not a peer-reviewed journal article. Its spline estimator is not implemented in this project.</w:t>
      </w:r>
    </w:p>
    <w:p>
      <w:pPr>
        <w:pStyle w:val="Reference"/>
      </w:pPr>
      <w:r>
        <w:t xml:space="preserve">[15] P. J. Goulart and Y. Chen (2024),</w:t>
      </w:r>
      <w:r>
        <w:t xml:space="preserve"> </w:t>
      </w:r>
      <w:r>
        <w:t xml:space="preserve">“</w:t>
      </w:r>
      <w:r>
        <w:t xml:space="preserve">Clarabel: An interior-point solver for conic programs with quadratic objectives,</w:t>
      </w:r>
      <w:r>
        <w:t xml:space="preserve">”</w:t>
      </w:r>
      <w:r>
        <w:t xml:space="preserve"> </w:t>
      </w:r>
      <w:r>
        <w:t xml:space="preserve">research preprint, arXiv:2405.12762v1, 21 May.</w:t>
      </w:r>
      <w:r>
        <w:t xml:space="preserve"> </w:t>
      </w:r>
      <w:hyperlink r:id="rId207">
        <w:r>
          <w:rPr>
            <w:rStyle w:val="Hyperlink"/>
          </w:rPr>
          <w:t xml:space="preserve">Paper record</w:t>
        </w:r>
      </w:hyperlink>
      <w:r>
        <w:t xml:space="preserve">;</w:t>
      </w:r>
      <w:r>
        <w:t xml:space="preserve"> </w:t>
      </w:r>
      <w:hyperlink r:id="rId208">
        <w:r>
          <w:rPr>
            <w:rStyle w:val="Hyperlink"/>
          </w:rPr>
          <w:t xml:space="preserve">full paper</w:t>
        </w:r>
      </w:hyperlink>
      <w:r>
        <w:t xml:space="preserve">. Sections 1 and 2.6 consulted directly on 20 September 2026 for the quadratic/conic formulation and stopping criteria. This is a research preprint; no journal-publication claim is made.</w:t>
      </w:r>
    </w:p>
    <w:p>
      <w:pPr>
        <w:pStyle w:val="Reference"/>
      </w:pPr>
      <w:r>
        <w:t xml:space="preserve">[16] T. P. Morris, I. R. White and M. J. Crowther (2019),</w:t>
      </w:r>
      <w:r>
        <w:t xml:space="preserve"> </w:t>
      </w:r>
      <w:r>
        <w:t xml:space="preserve">“</w:t>
      </w:r>
      <w:r>
        <w:t xml:space="preserve">Using simulation studies to evaluate statistical methods,</w:t>
      </w:r>
      <w:r>
        <w:t xml:space="preserve">”</w:t>
      </w:r>
      <w:r>
        <w:t xml:space="preserve"> </w:t>
      </w:r>
      <w:r>
        <w:rPr>
          <w:iCs/>
          <w:i/>
        </w:rPr>
        <w:t xml:space="preserve">Statistics in Medicine</w:t>
      </w:r>
      <w:r>
        <w:t xml:space="preserve">, vol. 38, no. 11, pp. 2074–2102.</w:t>
      </w:r>
      <w:r>
        <w:t xml:space="preserve"> </w:t>
      </w:r>
      <w:hyperlink r:id="rId209">
        <w:r>
          <w:rPr>
            <w:rStyle w:val="Hyperlink"/>
          </w:rPr>
          <w:t xml:space="preserve">doi:10.1002/sim.8086</w:t>
        </w:r>
      </w:hyperlink>
      <w:r>
        <w:t xml:space="preserve">;</w:t>
      </w:r>
      <w:r>
        <w:t xml:space="preserve"> </w:t>
      </w:r>
      <w:hyperlink r:id="rId210">
        <w:r>
          <w:rPr>
            <w:rStyle w:val="Hyperlink"/>
          </w:rPr>
          <w:t xml:space="preserve">open full journal article</w:t>
        </w:r>
      </w:hyperlink>
      <w:r>
        <w:t xml:space="preserve">. Sections 3, 4.1 and 5.1–5.4 consulted directly on 21 September 2026 for experiment design, reproducible random streams, missing simulation results and Monte Carlo standard errors. This source supports the simulation methodology; its biomedical application examples are not used as financial models.</w:t>
      </w:r>
    </w:p>
    <w:p>
      <w:pPr>
        <w:pStyle w:val="Reference"/>
      </w:pPr>
      <w:r>
        <w:t xml:space="preserve">[17] G. C. Cawley and N. L. C. Talbot (2010),</w:t>
      </w:r>
      <w:r>
        <w:t xml:space="preserve"> </w:t>
      </w:r>
      <w:r>
        <w:t xml:space="preserve">“</w:t>
      </w:r>
      <w:r>
        <w:t xml:space="preserve">On Over-fitting in Model Selection and Subsequent Selection Bias in Performance Evaluation,</w:t>
      </w:r>
      <w:r>
        <w:t xml:space="preserve">”</w:t>
      </w:r>
      <w:r>
        <w:t xml:space="preserve"> </w:t>
      </w:r>
      <w:r>
        <w:rPr>
          <w:iCs/>
          <w:i/>
        </w:rPr>
        <w:t xml:space="preserve">Journal of Machine Learning Research</w:t>
      </w:r>
      <w:r>
        <w:t xml:space="preserve">, vol. 11, pp. 2079–2107.</w:t>
      </w:r>
      <w:r>
        <w:t xml:space="preserve"> </w:t>
      </w:r>
      <w:hyperlink r:id="rId211">
        <w:r>
          <w:rPr>
            <w:rStyle w:val="Hyperlink"/>
          </w:rPr>
          <w:t xml:space="preserve">Journal publication page</w:t>
        </w:r>
      </w:hyperlink>
      <w:r>
        <w:t xml:space="preserve">;</w:t>
      </w:r>
      <w:r>
        <w:t xml:space="preserve"> </w:t>
      </w:r>
      <w:hyperlink r:id="rId212">
        <w:r>
          <w:rPr>
            <w:rStyle w:val="Hyperlink"/>
          </w:rPr>
          <w:t xml:space="preserve">open full article</w:t>
        </w:r>
      </w:hyperlink>
      <w:r>
        <w:t xml:space="preserve">. Sections 2.1 and 5.1 consulted directly on 21 September 2026. This peer-reviewed paper supports treating model selection as part of the procedure under evaluation; its kernel-classification estimators are not implemented here.</w:t>
      </w:r>
    </w:p>
    <w:p>
      <w:pPr>
        <w:pStyle w:val="Reference"/>
      </w:pPr>
      <w:r>
        <w:t xml:space="preserve">[18] Cboe DataShop,</w:t>
      </w:r>
      <w:r>
        <w:t xml:space="preserve"> </w:t>
      </w:r>
      <w:r>
        <w:t xml:space="preserve">“</w:t>
      </w:r>
      <w:r>
        <w:t xml:space="preserve">Option EOD Summary</w:t>
      </w:r>
      <w:r>
        <w:t xml:space="preserve">”</w:t>
      </w:r>
      <w:r>
        <w:t xml:space="preserve"> </w:t>
      </w:r>
      <w:r>
        <w:t xml:space="preserve">and</w:t>
      </w:r>
      <w:r>
        <w:t xml:space="preserve"> </w:t>
      </w:r>
      <w:r>
        <w:t xml:space="preserve">“</w:t>
      </w:r>
      <w:r>
        <w:t xml:space="preserve">Option EOD Summary Specification,</w:t>
      </w:r>
      <w:r>
        <w:t xml:space="preserve">”</w:t>
      </w:r>
      <w:r>
        <w:t xml:space="preserve"> </w:t>
      </w:r>
      <w:r>
        <w:t xml:space="preserve">v1.1, pp. 1–2.</w:t>
      </w:r>
      <w:r>
        <w:t xml:space="preserve"> </w:t>
      </w:r>
      <w:hyperlink r:id="rId213">
        <w:r>
          <w:rPr>
            <w:rStyle w:val="Hyperlink"/>
          </w:rPr>
          <w:t xml:space="preserve">Product page</w:t>
        </w:r>
      </w:hyperlink>
      <w:r>
        <w:t xml:space="preserve">;</w:t>
      </w:r>
      <w:r>
        <w:t xml:space="preserve"> </w:t>
      </w:r>
      <w:hyperlink r:id="rId214">
        <w:r>
          <w:rPr>
            <w:rStyle w:val="Hyperlink"/>
          </w:rPr>
          <w:t xml:space="preserve">file layout</w:t>
        </w:r>
      </w:hyperlink>
      <w:r>
        <w:t xml:space="preserve">. Accessed 21 September 2026. Primary operational documentation, including snapshot fields and the early-close exception. The advertised sample download returned HTTP 403; no sample contents were consulted.</w:t>
      </w:r>
    </w:p>
    <w:p>
      <w:pPr>
        <w:pStyle w:val="Reference"/>
      </w:pPr>
      <w:r>
        <w:t xml:space="preserve">[19] HistoricalData.net,</w:t>
      </w:r>
      <w:r>
        <w:t xml:space="preserve"> </w:t>
      </w:r>
      <w:r>
        <w:t xml:space="preserve">“</w:t>
      </w:r>
      <w:r>
        <w:t xml:space="preserve">Historical Options Data,</w:t>
      </w:r>
      <w:r>
        <w:t xml:space="preserve">”</w:t>
      </w:r>
      <w:r>
        <w:t xml:space="preserve"> </w:t>
      </w:r>
      <w:r>
        <w:t xml:space="preserve">provider’s dataset and field documentation.</w:t>
      </w:r>
      <w:r>
        <w:t xml:space="preserve"> </w:t>
      </w:r>
      <w:hyperlink r:id="rId215">
        <w:r>
          <w:rPr>
            <w:rStyle w:val="Hyperlink"/>
          </w:rPr>
          <w:t xml:space="preserve">Primary documentation</w:t>
        </w:r>
      </w:hyperlink>
      <w:r>
        <w:t xml:space="preserve">. Accessed 21 September 2026. Used only to assess the advertised 2022 sample’s unsynchronised quote convention and lack of quote timestamps for that period. The sample was not downloaded. This vendor page is not scholarly evidence for density estimation.</w:t>
      </w:r>
    </w:p>
    <w:p>
      <w:pPr>
        <w:pStyle w:val="Reference"/>
      </w:pPr>
      <w:r>
        <w:t xml:space="preserve">[20] Wharton Research Data Services,</w:t>
      </w:r>
      <w:r>
        <w:t xml:space="preserve"> </w:t>
      </w:r>
      <w:r>
        <w:t xml:space="preserve">“</w:t>
      </w:r>
      <w:r>
        <w:t xml:space="preserve">OptionMetrics,</w:t>
      </w:r>
      <w:r>
        <w:t xml:space="preserve">”</w:t>
      </w:r>
      <w:r>
        <w:t xml:space="preserve"> </w:t>
      </w:r>
      <w:r>
        <w:t xml:space="preserve">institutional data-vendor description.</w:t>
      </w:r>
      <w:r>
        <w:t xml:space="preserve"> </w:t>
      </w:r>
      <w:hyperlink r:id="rId216">
        <w:r>
          <w:rPr>
            <w:rStyle w:val="Hyperlink"/>
          </w:rPr>
          <w:t xml:space="preserve">WRDS product documentation</w:t>
        </w:r>
      </w:hyperlink>
      <w:r>
        <w:t xml:space="preserve">. Accessed 21 September 2026. Establishes a possible institutional data route and described coverage, not access rights, the schema of an unseen export or verified observations in this project.</w:t>
      </w:r>
    </w:p>
    <w:p>
      <w:pPr>
        <w:pStyle w:val="Reference"/>
      </w:pPr>
      <w:r>
        <w:t xml:space="preserve">[21] Cboe,</w:t>
      </w:r>
      <w:r>
        <w:t xml:space="preserve"> </w:t>
      </w:r>
      <w:r>
        <w:t xml:space="preserve">“</w:t>
      </w:r>
      <w:r>
        <w:t xml:space="preserve">Proprietary Index Marking Prices.</w:t>
      </w:r>
      <w:r>
        <w:t xml:space="preserve">”</w:t>
      </w:r>
      <w:r>
        <w:t xml:space="preserve"> </w:t>
      </w:r>
      <w:r>
        <w:t xml:space="preserve">Accessed 21 September 2026.</w:t>
      </w:r>
      <w:r>
        <w:t xml:space="preserve"> </w:t>
      </w:r>
      <w:hyperlink r:id="rId217">
        <w:r>
          <w:rPr>
            <w:rStyle w:val="Hyperlink"/>
          </w:rPr>
          <w:t xml:space="preserve">Primary documentation and downloads</w:t>
        </w:r>
      </w:hyperlink>
      <w:r>
        <w:t xml:space="preserve">. Operational evidence for the two price families and snapshot labels. Three supplied CSVs were independently matched to the advertised downloads; the archived verification records retain hashes and HTTP results. This provider page supplies no density-estimation theory.</w:t>
      </w:r>
    </w:p>
    <w:p>
      <w:pPr>
        <w:pStyle w:val="Reference"/>
      </w:pPr>
      <w:r>
        <w:t xml:space="preserve">[22] Cboe,</w:t>
      </w:r>
      <w:r>
        <w:t xml:space="preserve"> </w:t>
      </w:r>
      <w:r>
        <w:t xml:space="preserve">“</w:t>
      </w:r>
      <w:r>
        <w:t xml:space="preserve">Hours &amp; Holidays: U.S. Options,</w:t>
      </w:r>
      <w:r>
        <w:t xml:space="preserve">”</w:t>
      </w:r>
      <w:r>
        <w:t xml:space="preserve"> </w:t>
      </w:r>
      <w:r>
        <w:t xml:space="preserve">2026 schedule. Accessed 21 September 2026.</w:t>
      </w:r>
      <w:r>
        <w:t xml:space="preserve"> </w:t>
      </w:r>
      <w:hyperlink r:id="rId218">
        <w:r>
          <w:rPr>
            <w:rStyle w:val="Hyperlink"/>
          </w:rPr>
          <w:t xml:space="preserve">Exchange session schedule</w:t>
        </w:r>
      </w:hyperlink>
      <w:r>
        <w:t xml:space="preserve">. Read with the SPX/SPXW specifications [5] to check the three selected expiry dates. New York civil-time conversion uses the named timezone, including the November daylight-saving transition.</w:t>
      </w:r>
    </w:p>
    <w:p>
      <w:pPr>
        <w:pStyle w:val="Reference"/>
      </w:pPr>
      <w:r>
        <w:t xml:space="preserve">[23] S. N. Cohen, C. Reisinger and S. Wang (2020),</w:t>
      </w:r>
      <w:r>
        <w:t xml:space="preserve"> </w:t>
      </w:r>
      <w:r>
        <w:t xml:space="preserve">“</w:t>
      </w:r>
      <w:r>
        <w:t xml:space="preserve">Detecting and Repairing Arbitrage in Traded Option Prices,</w:t>
      </w:r>
      <w:r>
        <w:t xml:space="preserve">”</w:t>
      </w:r>
      <w:r>
        <w:t xml:space="preserve"> </w:t>
      </w:r>
      <w:r>
        <w:rPr>
          <w:iCs/>
          <w:i/>
        </w:rPr>
        <w:t xml:space="preserve">Applied Mathematical Finance</w:t>
      </w:r>
      <w:r>
        <w:t xml:space="preserve">, vol. 27, no. 5, pp. 345–373; first published online 8 February 2021.</w:t>
      </w:r>
      <w:r>
        <w:t xml:space="preserve"> </w:t>
      </w:r>
      <w:hyperlink r:id="rId219">
        <w:r>
          <w:rPr>
            <w:rStyle w:val="Hyperlink"/>
          </w:rPr>
          <w:t xml:space="preserve">doi:10.1080/1350486X.2020.1846573</w:t>
        </w:r>
      </w:hyperlink>
      <w:r>
        <w:t xml:space="preserve">. Journal metadata checked through Crossref; the consulted text is the</w:t>
      </w:r>
      <w:r>
        <w:t xml:space="preserve"> </w:t>
      </w:r>
      <w:hyperlink r:id="rId220">
        <w:r>
          <w:rPr>
            <w:rStyle w:val="Hyperlink"/>
          </w:rPr>
          <w:t xml:space="preserve">author preprint, arXiv:2008.09454v1</w:t>
        </w:r>
      </w:hyperlink>
      <w:r>
        <w:t xml:space="preserve">, §§2.1 and 3.2, accessed 21 September 2026. The publisher full-text page was unavailable. Their soft-bound price-repair LP is not the hard-bound finite-density estimator used here.</w:t>
      </w:r>
    </w:p>
    <w:bookmarkEnd w:id="221"/>
    <w:bookmarkStart w:id="225" w:name="Xe54a3a51a0bb7f059365722b232fdbc23f5be6d"/>
    <w:p>
      <w:bookmarkStart w:id="685" w:name="h63"/>
      <w:pPr>
        <w:pStyle w:val="Heading1"/>
      </w:pPr>
      <w:r>
        <w:t xml:space="preserve">Appendix A Reproducibility and interactive companions</w:t>
      </w:r>
      <w:bookmarkEnd w:id="685"/>
    </w:p>
    <w:bookmarkStart w:id="222" w:name="a.1-structure-of-the-project-package"/>
    <w:p>
      <w:bookmarkStart w:id="686" w:name="h64"/>
      <w:pPr>
        <w:pStyle w:val="Heading2"/>
      </w:pPr>
      <w:r>
        <w:t xml:space="preserve">A.1 Structure of the project package</w:t>
      </w:r>
      <w:bookmarkEnd w:id="686"/>
    </w:p>
    <w:p>
      <w:pPr>
        <w:pStyle w:val="FirstParagraph"/>
      </w:pPr>
      <w:r>
        <w:t xml:space="preserve">The cumulative project contains all ten executed analytical notebooks, the underlying Python modules, archived inputs, numerical case records, tests, figure exports, methodological notes and the maintained development reflection. The final paper sources and build script are in</w:t>
      </w:r>
      <w:r>
        <w:t xml:space="preserve"> </w:t>
      </w:r>
      <w:r>
        <w:rPr>
          <w:rStyle w:val="VerbatimChar"/>
        </w:rPr>
        <w:t xml:space="preserve">paper/</w:t>
      </w:r>
      <w:r>
        <w:t xml:space="preserve">. The saved results support inspection of the reported evidence without requiring every simulation to be rerun.</w:t>
      </w:r>
    </w:p>
    <w:p>
      <w:pPr>
        <w:pStyle w:val="BodyText"/>
      </w:pPr>
      <w:r>
        <w:t xml:space="preserve">The notebooks retain their original stage-specific context. Statements about what remained to be done at an earlier milestone describe that historical stage; the present paper supplies the completed synthesis. In particular, the original candidate quote audit is not reclassified as an accepted market calibration, and the preparation fixture is not relabelled as empirical data.</w:t>
      </w:r>
    </w:p>
    <w:p>
      <w:pPr>
        <w:pStyle w:val="BodyText"/>
      </w:pPr>
      <w:r>
        <w:t xml:space="preserve">Input, code and result fingerprints link completed cases to their declared protocols. Random generator states and nested-strike memberships allow synthetic observations to be reconstructed. Each empirical case retains the selected rows, training and held-out membership where applicable, inferred carry, masses, solver attempts and independent diagnostics. Failed and blocked cases are part of this record.</w:t>
      </w:r>
    </w:p>
    <w:bookmarkEnd w:id="222"/>
    <w:bookmarkStart w:id="223" w:name="a.2-interactive-figures"/>
    <w:p>
      <w:bookmarkStart w:id="687" w:name="h65"/>
      <w:pPr>
        <w:pStyle w:val="Heading2"/>
      </w:pPr>
      <w:r>
        <w:t xml:space="preserve">A.2 Interactive figures</w:t>
      </w:r>
      <w:bookmarkEnd w:id="687"/>
    </w:p>
    <w:p>
      <w:pPr>
        <w:pStyle w:val="FirstParagraph"/>
      </w:pPr>
      <w:r>
        <w:t xml:space="preserve">Four offline HTML companions are supplied in</w:t>
      </w:r>
      <w:r>
        <w:t xml:space="preserve"> </w:t>
      </w:r>
      <w:r>
        <w:rPr>
          <w:rStyle w:val="VerbatimChar"/>
        </w:rPr>
        <w:t xml:space="preserve">interactive/</w:t>
      </w:r>
      <w:r>
        <w:t xml:space="preserve">: the independent synthetic maturity surface, the independent-versus-joint comparison, the first empirical surface and the dated empirical comparison. They can be opened in a browser after extracting the project package and do not require a live data connection. Their exact filenames are listed in the project’s README.</w:t>
      </w:r>
    </w:p>
    <w:p>
      <w:pPr>
        <w:pStyle w:val="BodyText"/>
      </w:pPr>
      <w:r>
        <w:t xml:space="preserve">The companions provide rotation, zoom, hover and exact maturity slices. The dated version additionally steps through the three observed snapshots, offers the common-contract control and labels the assumed sixty-day mixture separately. Visual joins between maturity rows and bin centres assist viewing; they do not introduce additional fitted observations. Static Figures 10, 14, 28 and 33 remain the paper’s printable counterparts.</w:t>
      </w:r>
    </w:p>
    <w:bookmarkEnd w:id="223"/>
    <w:bookmarkStart w:id="224" w:name="a.3-reproduction-and-software-scope"/>
    <w:p>
      <w:bookmarkStart w:id="688" w:name="h66"/>
      <w:pPr>
        <w:pStyle w:val="Heading2"/>
      </w:pPr>
      <w:r>
        <w:t xml:space="preserve">A.3 Reproduction and software scope</w:t>
      </w:r>
      <w:bookmarkEnd w:id="688"/>
    </w:p>
    <w:p>
      <w:pPr>
        <w:pStyle w:val="FirstParagraph"/>
      </w:pPr>
      <w:r>
        <w:t xml:space="preserve">The project README specifies its environment and entry points. The milestone builders regenerate the related analyses, figures and executed notebooks from the saved inputs. The final stage uses</w:t>
      </w:r>
      <w:r>
        <w:t xml:space="preserve"> </w:t>
      </w:r>
      <w:r>
        <w:rPr>
          <w:rStyle w:val="VerbatimChar"/>
        </w:rPr>
        <w:t xml:space="preserve">build_milestone10_notebook.py</w:t>
      </w:r>
      <w:r>
        <w:t xml:space="preserve">; rebuilding the paper is a separate operation and does not rerun the numerical experiments. This separation preserves the published numerical evidence while allowing document layout to be reproduced.</w:t>
      </w:r>
    </w:p>
    <w:p>
      <w:pPr>
        <w:pStyle w:val="BodyText"/>
      </w:pPr>
      <w:r>
        <w:t xml:space="preserve">The recorded software includes OSQP 1.1.3, Clarabel 0.11.1, NumPy SeedSequence and PCG64, Python zoneinfo and the bundled Plotly.js 3.1.0. Software documentation supports the interfaces; the scholarly references support the mathematical relationships.</w:t>
      </w:r>
    </w:p>
    <w:bookmarkEnd w:id="224"/>
    <w:bookmarkEnd w:id="225"/>
    <w:bookmarkStart w:id="228" w:name="X6828ce4d151807ae5bda791242838e38b4c3a9f"/>
    <w:p>
      <w:bookmarkStart w:id="689" w:name="h67"/>
      <w:pPr>
        <w:pStyle w:val="Heading1"/>
      </w:pPr>
      <w:r>
        <w:t xml:space="preserve">Appendix B Attribution and reporting conventions</w:t>
      </w:r>
      <w:bookmarkEnd w:id="689"/>
    </w:p>
    <w:bookmarkStart w:id="226" w:name="Xc6171878005aaf4531b74e74f707a2cc6258669"/>
    <w:p>
      <w:bookmarkStart w:id="690" w:name="h68"/>
      <w:pPr>
        <w:pStyle w:val="Heading2"/>
      </w:pPr>
      <w:r>
        <w:t xml:space="preserve">B.1 Established relationships and project definitions</w:t>
      </w:r>
      <w:bookmarkEnd w:id="690"/>
    </w:p>
    <w:p>
      <w:pPr>
        <w:pStyle w:val="FirstParagraph"/>
      </w:pPr>
      <w:r>
        <w:t xml:space="preserve">The valuation and density-extraction foundations are attributed to Bahra [1], Breeden and Litzenberger [6], Black and Scholes [8], and Aït-Sahalia and Lo [10]. Shape restrictions follow the discussion by Aït-Sahalia and Duarte [9]. Numerical differentiation follows Driscoll and Braun [7]; the convex-programme and regularisation framework follows Boyd and Vandenberghe [11]. Calendar ordering is used under the assumptions discussed by Gatheral and Jacquier [12]. Solver methodology is supported by Stellato and colleagues [13] and Goulart and Chen [15]. Malz [14] supports the discussion of tail extrapolation, Morris and colleagues [16] the simulation summaries, and Cawley and Talbot [17] the separation of selection from evaluation.</w:t>
      </w:r>
    </w:p>
    <w:p>
      <w:pPr>
        <w:pStyle w:val="BodyText"/>
      </w:pPr>
      <w:r>
        <w:t xml:space="preserve">The bin representation, exact uniform-bin payoff coefficients, interval refinement, penalty conversions, experiment settings, empirical carry convention, finite-grid feasibility diagnostics, probability LPs and common-horizon mixture are explicitly project constructions or derivations. Cohen and colleagues [23] motivate attention to bid–ask compatibility, but their price-repair estimator is not implemented. Provider sources [2–5,18–22] support only the operational facts within their documented scope.</w:t>
      </w:r>
    </w:p>
    <w:p>
      <w:pPr>
        <w:pStyle w:val="BodyText"/>
      </w:pPr>
      <w:r>
        <w:t xml:space="preserve">The full relationship-to-source map is retained in</w:t>
      </w:r>
      <w:r>
        <w:t xml:space="preserve"> </w:t>
      </w:r>
      <w:r>
        <w:rPr>
          <w:rStyle w:val="VerbatimChar"/>
        </w:rPr>
        <w:t xml:space="preserve">research/references.md</w:t>
      </w:r>
      <w:r>
        <w:t xml:space="preserve">. Where an original publication was not consulted in full, the bibliography identifies the consulted account. Author-led paraphrases are used throughout; no invented quotation is attributed to an author.</w:t>
      </w:r>
    </w:p>
    <w:bookmarkEnd w:id="226"/>
    <w:bookmarkStart w:id="227" w:name="b.2-units-and-interpretation"/>
    <w:p>
      <w:bookmarkStart w:id="691" w:name="h69"/>
      <w:pPr>
        <w:pStyle w:val="Heading2"/>
      </w:pPr>
      <w:r>
        <w:t xml:space="preserve">B.2 Units and interpretation</w:t>
      </w:r>
      <w:bookmarkEnd w:id="691"/>
    </w:p>
    <w:p>
      <w:pPr>
        <w:pStyle w:val="FirstParagraph"/>
      </w:pPr>
      <w:r>
        <w:t xml:space="preserve">Option prices, strikes and physical forwards are in index points, not dollars per contract. Normalised density coordinates are dimensionless. A probability displayed as a percentage is one hundred times its unit-interval value; an error of one percentage point is an absolute probability difference of 0.01. Density height in physical coordinates is per index point, and its integral gives probability.</w:t>
      </w:r>
    </w:p>
    <w:p>
      <w:pPr>
        <w:pStyle w:val="BodyText"/>
      </w:pPr>
      <w:r>
        <w:t xml:space="preserve">RMSE against noisy fitting inputs, clean synthetic validation prices and empirical held-out midpoints describe different targets. Truth-based integrated density error is reserved for synthetic benchmarks. Distances between empirical fitted densities are descriptive comparisons. MCSE describes simulation-summary precision; sensitivity ranges and conditional feasible event ranges have their separately stated meanings. Values rounded to zero, especially far-tail probabilities, are not proofs of a zero-probability event.</w:t>
      </w:r>
    </w:p>
    <w:bookmarkEnd w:id="227"/>
    <w:bookmarkEnd w:id="228"/>
    <w:sectPr>
      <w:type w:val="nextPage"/>
      <w:pgSz w:w="11906" w:h="16838" w:orient="portrait"/>
      <w:pgMar w:top="1008" w:bottom="1008" w:left="1152" w:right="1152" w:header="432" w:footer="432" w:gutter="0"/>
      <w:pgNumType w:fmt="decima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20"/>
      </w:rPr>
      <w:fldChar w:fldCharType="begin"/>
    </w:r>
    <w:r>
      <w:rPr>
        <w:rFonts w:ascii="Arial" w:hAnsi="Arial"/>
        <w:sz w:val="20"/>
      </w:rPr>
      <w:instrText> PAGE </w:instrText>
    </w:r>
    <w:r>
      <w:rPr>
        <w:rFonts w:ascii="Arial" w:hAnsi="Arial"/>
        <w:sz w:val="20"/>
      </w:rPr>
      <w:fldChar w:fldCharType="separate"/>
    </w:r>
    <w:r>
      <w:rPr>
        <w:rFonts w:ascii="Arial" w:hAnsi="Arial"/>
        <w:sz w:val="20"/>
      </w:rPr>
      <w:t>1</w:t>
    </w:r>
    <w:r>
      <w:rPr>
        <w:rFonts w:ascii="Arial" w:hAnsi="Arial"/>
        <w:sz w:val="20"/>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20"/>
      </w:rPr>
      <w:fldChar w:fldCharType="begin"/>
    </w:r>
    <w:r>
      <w:rPr>
        <w:rFonts w:ascii="Arial" w:hAnsi="Arial"/>
        <w:sz w:val="20"/>
      </w:rPr>
      <w:instrText> PAGE </w:instrText>
    </w:r>
    <w:r>
      <w:rPr>
        <w:rFonts w:ascii="Arial" w:hAnsi="Arial"/>
        <w:sz w:val="20"/>
      </w:rPr>
      <w:fldChar w:fldCharType="separate"/>
    </w:r>
    <w:r>
      <w:rPr>
        <w:rFonts w:ascii="Arial" w:hAnsi="Arial"/>
        <w:sz w:val="20"/>
      </w:rPr>
      <w:t>1</w:t>
    </w:r>
    <w:r>
      <w:rPr>
        <w:rFonts w:ascii="Arial" w:hAnsi="Arial"/>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OPTION-IMPLIED DENSITIES  |  JOEL CERRAGA</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abstractNum w:abstractNumId="70">
    <w:multiLevelType w:val="multilevel"/>
    <w:lvl w:ilvl="0">
      <w:start w:val="1"/>
      <w:numFmt w:val="decimal"/>
      <w:lvlText w:val="%1"/>
      <w:suff w:val="space"/>
      <w:lvlJc w:val="left"/>
    </w:lvl>
    <w:lvl w:ilvl="1">
      <w:start w:val="1"/>
      <w:numFmt w:val="decimal"/>
      <w:lvlText w:val="%1.%2"/>
      <w:suff w:val="space"/>
      <w:lvlJc w:val="left"/>
    </w:lvl>
  </w:abstractNum>
  <w:num w:numId="70">
    <w:abstractNumId w:val="7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Font m:val="Cambria Math"/>
  </m:mathPr>
  <w:themeFontLang w:val="en-US"/>
  <w:decimalSymbol w:val="."/>
  <w:listSeparator w:val=","/>
  <w:updateFields w:val="fals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76" w:lineRule="auto" w:after="160"/>
    </w:pPr>
    <w:rPr>
      <w:rFonts w:ascii="Arial" w:hAnsi="Arial"/>
      <w:color w:val="000000"/>
      <w:sz w:val="24"/>
    </w:rPr>
  </w:style>
  <w:style w:styleId="BodyText" w:type="paragraph">
    <w:name w:val="Body Text"/>
    <w:basedOn w:val="Normal"/>
    <w:link w:val="BodyTextChar"/>
    <w:pPr>
      <w:spacing w:after="160" w:before="180" w:line="276" w:lineRule="auto"/>
      <w:ind w:firstLine="0"/>
    </w:pPr>
    <w:qFormat/>
    <w:rPr>
      <w:rFonts w:ascii="Arial" w:hAnsi="Arial"/>
      <w:color w:val="000000"/>
    </w:rPr>
  </w:style>
  <w:style w:customStyle="1" w:styleId="FirstParagraph" w:type="paragraph">
    <w:name w:val="First Paragraph"/>
    <w:basedOn w:val="BodyText"/>
    <w:next w:val="BodyText"/>
    <w:qFormat/>
    <w:pPr>
      <w:spacing w:line="276" w:lineRule="auto" w:after="160"/>
      <w:ind w:firstLine="0"/>
    </w:pPr>
    <w:rPr>
      <w:rFonts w:ascii="Arial" w:hAnsi="Arial"/>
      <w:color w:val="000000"/>
    </w:rPr>
  </w:style>
  <w:style w:customStyle="1" w:styleId="Compact" w:type="paragraph">
    <w:name w:val="Compact"/>
    <w:basedOn w:val="BodyText"/>
    <w:qFormat/>
    <w:pPr>
      <w:spacing w:after="36" w:before="36"/>
    </w:pPr>
    <w:rPr>
      <w:rFonts w:ascii="Arial" w:hAnsi="Arial"/>
      <w:color w:val="000000"/>
    </w:rPr>
  </w:style>
  <w:style w:styleId="Title" w:type="paragraph">
    <w:name w:val="Title"/>
    <w:basedOn w:val="Normal"/>
    <w:next w:val="BodyText"/>
    <w:qFormat/>
    <w:pPr>
      <w:keepNext/>
      <w:keepLines/>
      <w:spacing w:after="360" w:before="2000"/>
      <w:jc w:val="center"/>
    </w:pPr>
    <w:rPr>
      <w:rFonts w:asciiTheme="majorHAnsi" w:cstheme="majorBidi" w:eastAsiaTheme="majorEastAsia" w:hAnsiTheme="majorHAnsi" w:ascii="Arial" w:hAnsi="Arial"/>
      <w:b/>
      <w:bCs/>
      <w:color w:val="000000"/>
      <w:sz w:val="48"/>
      <w:szCs w:val="36"/>
    </w:rPr>
  </w:style>
  <w:style w:styleId="Subtitle" w:type="paragraph">
    <w:name w:val="Subtitle"/>
    <w:basedOn w:val="Title"/>
    <w:next w:val="BodyText"/>
    <w:qFormat/>
    <w:pPr>
      <w:keepNext/>
      <w:keepLines/>
      <w:spacing w:after="240" w:before="240"/>
      <w:jc w:val="center"/>
    </w:pPr>
    <w:rPr>
      <w:rFonts w:ascii="Arial" w:hAnsi="Arial"/>
      <w:color w:val="000000"/>
      <w:sz w:val="30"/>
      <w:szCs w:val="30"/>
    </w:rPr>
  </w:style>
  <w:style w:customStyle="1" w:styleId="Author" w:type="paragraph">
    <w:name w:val="Author"/>
    <w:basedOn w:val="Normal"/>
    <w:next w:val="BodyText"/>
    <w:qFormat/>
    <w:pPr>
      <w:keepNext/>
      <w:keepLines/>
      <w:jc w:val="center"/>
    </w:pPr>
    <w:rPr>
      <w:rFonts w:ascii="Arial" w:hAnsi="Arial"/>
      <w:color w:val="000000"/>
    </w:rPr>
  </w:style>
  <w:style w:styleId="Date" w:type="paragraph">
    <w:name w:val="Date"/>
    <w:basedOn w:val="Normal"/>
    <w:next w:val="BodyText"/>
    <w:qFormat/>
    <w:pPr>
      <w:keepNext/>
      <w:keepLines/>
      <w:jc w:val="center"/>
    </w:pPr>
    <w:rPr>
      <w:rFonts w:ascii="Arial" w:hAnsi="Arial"/>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Arial" w:hAnsi="Arial"/>
      <w:b/>
    </w:rPr>
  </w:style>
  <w:style w:customStyle="1" w:styleId="Abstract" w:type="paragraph">
    <w:name w:val="Abstract"/>
    <w:basedOn w:val="Normal"/>
    <w:next w:val="BodyText"/>
    <w:qFormat/>
    <w:pPr>
      <w:keepNext/>
      <w:keepLines/>
      <w:spacing w:after="300" w:before="100"/>
    </w:pPr>
    <w:rPr>
      <w:rFonts w:ascii="Arial" w:hAnsi="Arial"/>
      <w:color w:val="000000"/>
      <w:sz w:val="20"/>
      <w:szCs w:val="20"/>
    </w:rPr>
  </w:style>
  <w:style w:styleId="Bibliography" w:type="paragraph">
    <w:name w:val="Bibliography"/>
    <w:basedOn w:val="Normal"/>
    <w:next w:val="Bibliography"/>
    <w:qFormat/>
    <w:pPr/>
    <w:rPr>
      <w:rFonts w:ascii="Arial" w:hAnsi="Arial"/>
      <w:color w:val="000000"/>
    </w:rPr>
  </w:style>
  <w:style w:styleId="Heading1" w:type="paragraph">
    <w:name w:val="heading 1"/>
    <w:basedOn w:val="Normal"/>
    <w:next w:val="BodyText"/>
    <w:uiPriority w:val="9"/>
    <w:qFormat/>
    <w:pPr>
      <w:keepNext/>
      <w:keepLines/>
      <w:pageBreakBefore/>
      <w:spacing w:after="200" w:before="320"/>
      <w:outlineLvl w:val="0"/>
    </w:pPr>
    <w:rPr>
      <w:rFonts w:asciiTheme="majorHAnsi" w:cstheme="majorBidi" w:eastAsiaTheme="majorEastAsia" w:hAnsiTheme="majorHAnsi" w:ascii="Arial" w:hAnsi="Arial"/>
      <w:b/>
      <w:bCs/>
      <w:color w:val="000000"/>
      <w:sz w:val="32"/>
      <w:szCs w:val="32"/>
    </w:rPr>
  </w:style>
  <w:style w:styleId="Heading2" w:type="paragraph">
    <w:name w:val="heading 2"/>
    <w:basedOn w:val="Normal"/>
    <w:next w:val="BodyText"/>
    <w:uiPriority w:val="9"/>
    <w:unhideWhenUsed/>
    <w:qFormat/>
    <w:pPr>
      <w:keepNext/>
      <w:keepLines/>
      <w:spacing w:after="200" w:before="320"/>
      <w:outlineLvl w:val="1"/>
    </w:pPr>
    <w:rPr>
      <w:rFonts w:asciiTheme="majorHAnsi" w:cstheme="majorBidi" w:eastAsiaTheme="majorEastAsia" w:hAnsiTheme="majorHAnsi" w:ascii="Arial" w:hAnsi="Arial"/>
      <w:b/>
      <w:bCs/>
      <w:color w:val="000000"/>
      <w:sz w:val="26"/>
      <w:szCs w:val="28"/>
    </w:rPr>
  </w:style>
  <w:style w:styleId="Heading3" w:type="paragraph">
    <w:name w:val="heading 3"/>
    <w:basedOn w:val="Normal"/>
    <w:next w:val="BodyText"/>
    <w:uiPriority w:val="9"/>
    <w:unhideWhenUsed/>
    <w:qFormat/>
    <w:pPr>
      <w:keepNext/>
      <w:keepLines/>
      <w:spacing w:after="200" w:before="320"/>
      <w:outlineLvl w:val="2"/>
    </w:pPr>
    <w:rPr>
      <w:rFonts w:asciiTheme="majorHAnsi" w:cstheme="majorBidi" w:eastAsiaTheme="majorEastAsia" w:hAnsiTheme="majorHAnsi" w:ascii="Arial" w:hAnsi="Arial"/>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color w:val="000000"/>
    </w:rPr>
  </w:style>
  <w:style w:styleId="FootnoteText" w:type="paragraph">
    <w:name w:val="Footnote Text"/>
    <w:basedOn w:val="Normal"/>
    <w:next w:val="FootnoteText"/>
    <w:uiPriority w:val="9"/>
    <w:unhideWhenUsed/>
    <w:qFormat/>
    <w:rPr>
      <w:rFonts w:ascii="Arial" w:hAnsi="Arial"/>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b/>
      <w:color w:val="000000"/>
    </w:rPr>
  </w:style>
  <w:style w:customStyle="1" w:styleId="Definition" w:type="paragraph">
    <w:name w:val="Definition"/>
    <w:basedOn w:val="Normal"/>
    <w:rPr>
      <w:rFonts w:ascii="Arial" w:hAnsi="Arial"/>
      <w:color w:val="000000"/>
    </w:rPr>
  </w:style>
  <w:style w:styleId="Caption" w:type="paragraph">
    <w:name w:val="Caption"/>
    <w:basedOn w:val="Normal"/>
    <w:link w:val="BodyTextChar"/>
    <w:pPr>
      <w:spacing w:after="120" w:before="0"/>
    </w:pPr>
    <w:rPr>
      <w:rFonts w:ascii="Arial" w:hAnsi="Arial"/>
      <w:i/>
      <w:color w:val="000000"/>
    </w:rPr>
  </w:style>
  <w:style w:customStyle="1" w:styleId="TableCaption" w:type="paragraph">
    <w:name w:val="Table Caption"/>
    <w:basedOn w:val="Caption"/>
    <w:pPr>
      <w:keepNext/>
      <w:keepLines/>
      <w:spacing w:line="259" w:lineRule="auto" w:before="100" w:after="240"/>
    </w:pPr>
    <w:rPr>
      <w:rFonts w:ascii="Arial" w:hAnsi="Arial"/>
      <w:i/>
      <w:color w:val="000000"/>
      <w:sz w:val="20"/>
    </w:rPr>
  </w:style>
  <w:style w:customStyle="1" w:styleId="ImageCaption" w:type="paragraph">
    <w:name w:val="Image Caption"/>
    <w:basedOn w:val="Caption"/>
    <w:rPr>
      <w:rFonts w:ascii="Arial" w:hAnsi="Arial"/>
      <w:color w:val="000000"/>
    </w:rPr>
  </w:style>
  <w:style w:customStyle="1" w:styleId="Figure" w:type="paragraph">
    <w:name w:val="Figure"/>
    <w:basedOn w:val="Normal"/>
    <w:rPr>
      <w:rFonts w:ascii="Arial" w:hAnsi="Arial"/>
      <w:color w:val="000000"/>
    </w:rPr>
  </w:style>
  <w:style w:customStyle="1" w:styleId="CaptionedFigure" w:type="paragraph">
    <w:name w:val="Captioned Figure"/>
    <w:basedOn w:val="Figure"/>
    <w:pPr>
      <w:keepNext/>
    </w:pPr>
    <w:rPr>
      <w:rFonts w:ascii="Arial" w:hAnsi="Arial"/>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4E79"/>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b w:val="0"/>
      <w:bCs w:val="0"/>
      <w:color w:val="000000"/>
    </w:rPr>
  </w:style>
  <w:style w:type="paragraph" w:customStyle="1" w:styleId="SourceCode">
    <w:name w:val="Source Code"/>
    <w:basedOn w:val="Normal"/>
    <w:link w:val="VerbatimChar"/>
    <w:pPr>
      <w:wordWrap w:val="off"/>
    </w:pPr>
    <w:rPr>
      <w:rFonts w:ascii="Arial" w:hAnsi="Arial"/>
      <w:color w:val="00000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FrontHeading">
    <w:name w:val="Front Heading"/>
    <w:basedOn w:val="Normal"/>
    <w:pPr>
      <w:keepNext/>
      <w:pageBreakBefore/>
      <w:spacing w:before="320" w:after="200"/>
    </w:pPr>
    <w:rPr>
      <w:rFonts w:ascii="Arial" w:hAnsi="Arial"/>
      <w:b/>
      <w:color w:val="000000"/>
      <w:sz w:val="32"/>
    </w:rPr>
  </w:style>
  <w:style w:type="paragraph" w:customStyle="1" w:styleId="NavEntry">
    <w:name w:val="Nav Entry"/>
    <w:basedOn w:val="Normal"/>
    <w:pPr>
      <w:spacing w:after="100" w:line="252" w:lineRule="auto"/>
    </w:pPr>
    <w:rPr>
      <w:rFonts w:ascii="Arial" w:hAnsi="Arial"/>
      <w:color w:val="000000"/>
      <w:sz w:val="21"/>
    </w:rPr>
  </w:style>
  <w:style w:type="paragraph" w:customStyle="1" w:styleId="EquationCaption">
    <w:name w:val="Equation Caption"/>
    <w:basedOn w:val="Normal"/>
    <w:pPr>
      <w:keepLines/>
      <w:spacing w:line="259" w:lineRule="auto" w:before="100" w:after="240"/>
      <w:jc w:val="center"/>
    </w:pPr>
    <w:rPr>
      <w:rFonts w:ascii="Arial" w:hAnsi="Arial"/>
      <w:i/>
      <w:color w:val="000000"/>
      <w:sz w:val="20"/>
    </w:rPr>
  </w:style>
  <w:style w:type="paragraph" w:customStyle="1" w:styleId="FigureCaption">
    <w:name w:val="Figure Caption"/>
    <w:basedOn w:val="Normal"/>
    <w:pPr>
      <w:keepLines/>
      <w:spacing w:line="259" w:lineRule="auto" w:before="100" w:after="240"/>
    </w:pPr>
    <w:rPr>
      <w:rFonts w:ascii="Arial" w:hAnsi="Arial"/>
      <w:i/>
      <w:color w:val="000000"/>
      <w:sz w:val="20"/>
    </w:rPr>
  </w:style>
  <w:style w:type="paragraph" w:customStyle="1" w:styleId="Reference">
    <w:name w:val="Reference"/>
    <w:basedOn w:val="Normal"/>
    <w:pPr>
      <w:spacing w:line="264" w:lineRule="auto" w:after="200"/>
      <w:ind w:left="432" w:hanging="432"/>
    </w:pPr>
    <w:rPr>
      <w:rFonts w:ascii="Arial" w:hAnsi="Arial"/>
      <w:color w:val="000000"/>
      <w:sz w:val="21"/>
    </w:rPr>
  </w:style>
  <w:style w:type="paragraph" w:customStyle="1" w:styleId="CoverTitle">
    <w:name w:val="Cover Title"/>
    <w:basedOn w:val="Normal"/>
    <w:pPr>
      <w:keepNext/>
      <w:spacing w:after="360" w:before="2000"/>
      <w:jc w:val="center"/>
    </w:pPr>
    <w:rPr>
      <w:rFonts w:ascii="Arial" w:hAnsi="Arial"/>
      <w:b/>
      <w:color w:val="000000"/>
      <w:sz w:val="48"/>
    </w:rPr>
  </w:style>
  <w:style w:type="paragraph" w:customStyle="1" w:styleId="CoverSubtitle">
    <w:name w:val="Cover Subtitle"/>
    <w:basedOn w:val="Normal"/>
    <w:pPr>
      <w:keepNext/>
      <w:spacing w:after="1400"/>
      <w:jc w:val="center"/>
    </w:pPr>
    <w:rPr>
      <w:rFonts w:ascii="Arial" w:hAnsi="Arial"/>
      <w:color w:val="000000"/>
      <w:sz w:val="30"/>
    </w:rPr>
  </w:style>
  <w:style w:type="paragraph" w:customStyle="1" w:styleId="CoverDetail">
    <w:name w:val="Cover Detail"/>
    <w:basedOn w:val="Normal"/>
    <w:pPr>
      <w:keepNext/>
      <w:spacing w:after="360"/>
      <w:jc w:val="center"/>
    </w:pPr>
    <w:rPr>
      <w:rFonts w:ascii="Arial" w:hAnsi="Arial"/>
      <w:color w:val="000000"/>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3" Type="http://schemas.openxmlformats.org/officeDocument/2006/relationships/image" Target="media/rId33.png"/><Relationship Id="rId36" Type="http://schemas.openxmlformats.org/officeDocument/2006/relationships/image" Target="media/rId36.png"/><Relationship Id="rId40" Type="http://schemas.openxmlformats.org/officeDocument/2006/relationships/image" Target="media/rId40.png"/><Relationship Id="rId43" Type="http://schemas.openxmlformats.org/officeDocument/2006/relationships/image" Target="media/rId43.png"/><Relationship Id="rId48" Type="http://schemas.openxmlformats.org/officeDocument/2006/relationships/image" Target="media/rId48.png"/><Relationship Id="rId51" Type="http://schemas.openxmlformats.org/officeDocument/2006/relationships/image" Target="media/rId51.png"/><Relationship Id="rId57" Type="http://schemas.openxmlformats.org/officeDocument/2006/relationships/image" Target="media/rId57.png"/><Relationship Id="rId60" Type="http://schemas.openxmlformats.org/officeDocument/2006/relationships/image" Target="media/rId60.png"/><Relationship Id="rId63" Type="http://schemas.openxmlformats.org/officeDocument/2006/relationships/image" Target="media/rId63.png"/><Relationship Id="rId68" Type="http://schemas.openxmlformats.org/officeDocument/2006/relationships/image" Target="media/rId68.png"/><Relationship Id="rId71" Type="http://schemas.openxmlformats.org/officeDocument/2006/relationships/image" Target="media/rId71.png"/><Relationship Id="rId77" Type="http://schemas.openxmlformats.org/officeDocument/2006/relationships/image" Target="media/rId77.png"/><Relationship Id="rId80" Type="http://schemas.openxmlformats.org/officeDocument/2006/relationships/image" Target="media/rId80.png"/><Relationship Id="rId83" Type="http://schemas.openxmlformats.org/officeDocument/2006/relationships/image" Target="media/rId83.png"/><Relationship Id="rId89" Type="http://schemas.openxmlformats.org/officeDocument/2006/relationships/image" Target="media/rId89.png"/><Relationship Id="rId92" Type="http://schemas.openxmlformats.org/officeDocument/2006/relationships/image" Target="media/rId92.png"/><Relationship Id="rId95" Type="http://schemas.openxmlformats.org/officeDocument/2006/relationships/image" Target="media/rId95.png"/><Relationship Id="rId99" Type="http://schemas.openxmlformats.org/officeDocument/2006/relationships/image" Target="media/rId99.png"/><Relationship Id="rId103" Type="http://schemas.openxmlformats.org/officeDocument/2006/relationships/image" Target="media/rId103.png"/><Relationship Id="rId106" Type="http://schemas.openxmlformats.org/officeDocument/2006/relationships/image" Target="media/rId106.png"/><Relationship Id="rId111" Type="http://schemas.openxmlformats.org/officeDocument/2006/relationships/image" Target="media/rId111.png"/><Relationship Id="rId115" Type="http://schemas.openxmlformats.org/officeDocument/2006/relationships/image" Target="media/rId115.png"/><Relationship Id="rId119" Type="http://schemas.openxmlformats.org/officeDocument/2006/relationships/image" Target="media/rId119.png"/><Relationship Id="rId125" Type="http://schemas.openxmlformats.org/officeDocument/2006/relationships/image" Target="media/rId125.png"/><Relationship Id="rId129" Type="http://schemas.openxmlformats.org/officeDocument/2006/relationships/image" Target="media/rId129.png"/><Relationship Id="rId135" Type="http://schemas.openxmlformats.org/officeDocument/2006/relationships/image" Target="media/rId135.png"/><Relationship Id="rId138" Type="http://schemas.openxmlformats.org/officeDocument/2006/relationships/image" Target="media/rId138.png"/><Relationship Id="rId141" Type="http://schemas.openxmlformats.org/officeDocument/2006/relationships/image" Target="media/rId141.png"/><Relationship Id="rId148" Type="http://schemas.openxmlformats.org/officeDocument/2006/relationships/image" Target="media/rId148.png"/><Relationship Id="rId154" Type="http://schemas.openxmlformats.org/officeDocument/2006/relationships/image" Target="media/rId154.png"/><Relationship Id="rId157" Type="http://schemas.openxmlformats.org/officeDocument/2006/relationships/image" Target="media/rId157.png"/><Relationship Id="rId160" Type="http://schemas.openxmlformats.org/officeDocument/2006/relationships/image" Target="media/rId160.png"/><Relationship Id="rId163" Type="http://schemas.openxmlformats.org/officeDocument/2006/relationships/image" Target="media/rId163.png"/><Relationship Id="rId201" Type="http://schemas.openxmlformats.org/officeDocument/2006/relationships/hyperlink" Target="https://arxiv.org/abs/1204.0646v4" TargetMode="External"/><Relationship Id="rId204" Type="http://schemas.openxmlformats.org/officeDocument/2006/relationships/hyperlink" Target="https://arxiv.org/abs/1711.08013v4" TargetMode="External"/><Relationship Id="rId207" Type="http://schemas.openxmlformats.org/officeDocument/2006/relationships/hyperlink" Target="https://arxiv.org/abs/2405.12762v1" TargetMode="External"/><Relationship Id="rId220" Type="http://schemas.openxmlformats.org/officeDocument/2006/relationships/hyperlink" Target="https://arxiv.org/html/2008.09454v1" TargetMode="External"/><Relationship Id="rId208" Type="http://schemas.openxmlformats.org/officeDocument/2006/relationships/hyperlink" Target="https://arxiv.org/pdf/2405.12762" TargetMode="External"/><Relationship Id="rId214" Type="http://schemas.openxmlformats.org/officeDocument/2006/relationships/hyperlink" Target="https://datashop.cboe.com/documents/Option_EOD_Summary_Layout.pdf" TargetMode="External"/><Relationship Id="rId190" Type="http://schemas.openxmlformats.org/officeDocument/2006/relationships/hyperlink" Target="https://datashop.cboe.com/documents/Option_Quotes_Layout.pdf" TargetMode="External"/><Relationship Id="rId213" Type="http://schemas.openxmlformats.org/officeDocument/2006/relationships/hyperlink" Target="https://datashop.cboe.com/option-eod-summary" TargetMode="External"/><Relationship Id="rId189" Type="http://schemas.openxmlformats.org/officeDocument/2006/relationships/hyperlink" Target="https://datashop.cboe.com/option-quote-intervals" TargetMode="External"/><Relationship Id="rId209" Type="http://schemas.openxmlformats.org/officeDocument/2006/relationships/hyperlink" Target="https://doi.org/10.1002/sim.8086" TargetMode="External"/><Relationship Id="rId202" Type="http://schemas.openxmlformats.org/officeDocument/2006/relationships/hyperlink" Target="https://doi.org/10.1007/s12532-020-00179-2" TargetMode="External"/><Relationship Id="rId196" Type="http://schemas.openxmlformats.org/officeDocument/2006/relationships/hyperlink" Target="https://doi.org/10.1016/S0304-4076(03)00102-7" TargetMode="External"/><Relationship Id="rId219" Type="http://schemas.openxmlformats.org/officeDocument/2006/relationships/hyperlink" Target="https://doi.org/10.1080/1350486X.2020.1846573" TargetMode="External"/><Relationship Id="rId200" Type="http://schemas.openxmlformats.org/officeDocument/2006/relationships/hyperlink" Target="https://doi.org/10.1080/14697688.2013.819986" TargetMode="External"/><Relationship Id="rId195" Type="http://schemas.openxmlformats.org/officeDocument/2006/relationships/hyperlink" Target="https://doi.org/10.1086/260062" TargetMode="External"/><Relationship Id="rId192" Type="http://schemas.openxmlformats.org/officeDocument/2006/relationships/hyperlink" Target="https://doi.org/10.1086/260618" TargetMode="External"/><Relationship Id="rId194" Type="http://schemas.openxmlformats.org/officeDocument/2006/relationships/hyperlink" Target="https://fncbook.com/fd-converge/" TargetMode="External"/><Relationship Id="rId193" Type="http://schemas.openxmlformats.org/officeDocument/2006/relationships/hyperlink" Target="https://fncbook.com/finitediffs/" TargetMode="External"/><Relationship Id="rId215" Type="http://schemas.openxmlformats.org/officeDocument/2006/relationships/hyperlink" Target="https://historicaldata.net/options.html" TargetMode="External"/><Relationship Id="rId211" Type="http://schemas.openxmlformats.org/officeDocument/2006/relationships/hyperlink" Target="https://jmlr.org/papers/v11/cawley10a.html" TargetMode="External"/><Relationship Id="rId212" Type="http://schemas.openxmlformats.org/officeDocument/2006/relationships/hyperlink" Target="https://jmlr.org/papers/volume11/cawley10a/cawley10a.pdf" TargetMode="External"/><Relationship Id="rId210" Type="http://schemas.openxmlformats.org/officeDocument/2006/relationships/hyperlink" Target="https://pmc.ncbi.nlm.nih.gov/articles/PMC6492164/" TargetMode="External"/><Relationship Id="rId199" Type="http://schemas.openxmlformats.org/officeDocument/2006/relationships/hyperlink" Target="https://web.stanford.edu/~boyd/cvxbook/bv_cvxbook.pdf" TargetMode="External"/><Relationship Id="rId203" Type="http://schemas.openxmlformats.org/officeDocument/2006/relationships/hyperlink" Target="https://web.stanford.edu/~boyd/papers/osqp.html" TargetMode="External"/><Relationship Id="rId216" Type="http://schemas.openxmlformats.org/officeDocument/2006/relationships/hyperlink" Target="https://wrds-www.wharton.upenn.edu/pages/about/data-vendors/optionmetrics/" TargetMode="External"/><Relationship Id="rId187" Type="http://schemas.openxmlformats.org/officeDocument/2006/relationships/hyperlink" Target="https://www.bankofengland.co.uk/-/media/boe/files/working-paper/1997/implied-risk-neutral-probability-density-functions-from-option-prices.pdf" TargetMode="External"/><Relationship Id="rId218" Type="http://schemas.openxmlformats.org/officeDocument/2006/relationships/hyperlink" Target="https://www.cboe.com/about/hours/us-options/" TargetMode="External"/><Relationship Id="rId188" Type="http://schemas.openxmlformats.org/officeDocument/2006/relationships/hyperlink" Target="https://www.cboe.com/delayed_quotes/spx/quote_table" TargetMode="External"/><Relationship Id="rId217" Type="http://schemas.openxmlformats.org/officeDocument/2006/relationships/hyperlink" Target="https://www.cboe.com/markets/us/options/market-statistics/product-data/proprietary-index-marking-prices" TargetMode="External"/><Relationship Id="rId191" Type="http://schemas.openxmlformats.org/officeDocument/2006/relationships/hyperlink" Target="https://www.cboe.com/tradable-products/sp-500/spx-options/spx-specifications" TargetMode="External"/><Relationship Id="rId206" Type="http://schemas.openxmlformats.org/officeDocument/2006/relationships/hyperlink" Target="https://www.newyorkfed.org/medialibrary/media/research/staff_reports/sr677.pdf" TargetMode="External"/><Relationship Id="rId205" Type="http://schemas.openxmlformats.org/officeDocument/2006/relationships/hyperlink" Target="https://www.newyorkfed.org/research/staff_reports/sr677.html" TargetMode="External"/><Relationship Id="rId198" Type="http://schemas.openxmlformats.org/officeDocument/2006/relationships/hyperlink" Target="https://www.princeton.edu/~yacine/aslo.pdf" TargetMode="External"/><Relationship Id="rId197" Type="http://schemas.openxmlformats.org/officeDocument/2006/relationships/hyperlink" Target="https://www.princeton.edu/~yacine/cnvx.pdf" TargetMode="Externa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eader" Target="header3.xml"/></Relationships>
</file>

<file path=word/_rels/footnotes.xml.rels><?xml version='1.0' encoding='UTF-8' standalone='yes'?>
<Relationships xmlns="http://schemas.openxmlformats.org/package/2006/relationships"><Relationship Id="rId201" Type="http://schemas.openxmlformats.org/officeDocument/2006/relationships/hyperlink" Target="https://arxiv.org/abs/1204.0646v4" TargetMode="External"/><Relationship Id="rId204" Type="http://schemas.openxmlformats.org/officeDocument/2006/relationships/hyperlink" Target="https://arxiv.org/abs/1711.08013v4" TargetMode="External"/><Relationship Id="rId207" Type="http://schemas.openxmlformats.org/officeDocument/2006/relationships/hyperlink" Target="https://arxiv.org/abs/2405.12762v1" TargetMode="External"/><Relationship Id="rId220" Type="http://schemas.openxmlformats.org/officeDocument/2006/relationships/hyperlink" Target="https://arxiv.org/html/2008.09454v1" TargetMode="External"/><Relationship Id="rId208" Type="http://schemas.openxmlformats.org/officeDocument/2006/relationships/hyperlink" Target="https://arxiv.org/pdf/2405.12762" TargetMode="External"/><Relationship Id="rId214" Type="http://schemas.openxmlformats.org/officeDocument/2006/relationships/hyperlink" Target="https://datashop.cboe.com/documents/Option_EOD_Summary_Layout.pdf" TargetMode="External"/><Relationship Id="rId190" Type="http://schemas.openxmlformats.org/officeDocument/2006/relationships/hyperlink" Target="https://datashop.cboe.com/documents/Option_Quotes_Layout.pdf" TargetMode="External"/><Relationship Id="rId213" Type="http://schemas.openxmlformats.org/officeDocument/2006/relationships/hyperlink" Target="https://datashop.cboe.com/option-eod-summary" TargetMode="External"/><Relationship Id="rId189" Type="http://schemas.openxmlformats.org/officeDocument/2006/relationships/hyperlink" Target="https://datashop.cboe.com/option-quote-intervals" TargetMode="External"/><Relationship Id="rId209" Type="http://schemas.openxmlformats.org/officeDocument/2006/relationships/hyperlink" Target="https://doi.org/10.1002/sim.8086" TargetMode="External"/><Relationship Id="rId202" Type="http://schemas.openxmlformats.org/officeDocument/2006/relationships/hyperlink" Target="https://doi.org/10.1007/s12532-020-00179-2" TargetMode="External"/><Relationship Id="rId196" Type="http://schemas.openxmlformats.org/officeDocument/2006/relationships/hyperlink" Target="https://doi.org/10.1016/S0304-4076(03)00102-7" TargetMode="External"/><Relationship Id="rId219" Type="http://schemas.openxmlformats.org/officeDocument/2006/relationships/hyperlink" Target="https://doi.org/10.1080/1350486X.2020.1846573" TargetMode="External"/><Relationship Id="rId200" Type="http://schemas.openxmlformats.org/officeDocument/2006/relationships/hyperlink" Target="https://doi.org/10.1080/14697688.2013.819986" TargetMode="External"/><Relationship Id="rId195" Type="http://schemas.openxmlformats.org/officeDocument/2006/relationships/hyperlink" Target="https://doi.org/10.1086/260062" TargetMode="External"/><Relationship Id="rId192" Type="http://schemas.openxmlformats.org/officeDocument/2006/relationships/hyperlink" Target="https://doi.org/10.1086/260618" TargetMode="External"/><Relationship Id="rId194" Type="http://schemas.openxmlformats.org/officeDocument/2006/relationships/hyperlink" Target="https://fncbook.com/fd-converge/" TargetMode="External"/><Relationship Id="rId193" Type="http://schemas.openxmlformats.org/officeDocument/2006/relationships/hyperlink" Target="https://fncbook.com/finitediffs/" TargetMode="External"/><Relationship Id="rId215" Type="http://schemas.openxmlformats.org/officeDocument/2006/relationships/hyperlink" Target="https://historicaldata.net/options.html" TargetMode="External"/><Relationship Id="rId211" Type="http://schemas.openxmlformats.org/officeDocument/2006/relationships/hyperlink" Target="https://jmlr.org/papers/v11/cawley10a.html" TargetMode="External"/><Relationship Id="rId212" Type="http://schemas.openxmlformats.org/officeDocument/2006/relationships/hyperlink" Target="https://jmlr.org/papers/volume11/cawley10a/cawley10a.pdf" TargetMode="External"/><Relationship Id="rId210" Type="http://schemas.openxmlformats.org/officeDocument/2006/relationships/hyperlink" Target="https://pmc.ncbi.nlm.nih.gov/articles/PMC6492164/" TargetMode="External"/><Relationship Id="rId199" Type="http://schemas.openxmlformats.org/officeDocument/2006/relationships/hyperlink" Target="https://web.stanford.edu/~boyd/cvxbook/bv_cvxbook.pdf" TargetMode="External"/><Relationship Id="rId203" Type="http://schemas.openxmlformats.org/officeDocument/2006/relationships/hyperlink" Target="https://web.stanford.edu/~boyd/papers/osqp.html" TargetMode="External"/><Relationship Id="rId216" Type="http://schemas.openxmlformats.org/officeDocument/2006/relationships/hyperlink" Target="https://wrds-www.wharton.upenn.edu/pages/about/data-vendors/optionmetrics/" TargetMode="External"/><Relationship Id="rId187" Type="http://schemas.openxmlformats.org/officeDocument/2006/relationships/hyperlink" Target="https://www.bankofengland.co.uk/-/media/boe/files/working-paper/1997/implied-risk-neutral-probability-density-functions-from-option-prices.pdf" TargetMode="External"/><Relationship Id="rId218" Type="http://schemas.openxmlformats.org/officeDocument/2006/relationships/hyperlink" Target="https://www.cboe.com/about/hours/us-options/" TargetMode="External"/><Relationship Id="rId188" Type="http://schemas.openxmlformats.org/officeDocument/2006/relationships/hyperlink" Target="https://www.cboe.com/delayed_quotes/spx/quote_table" TargetMode="External"/><Relationship Id="rId217" Type="http://schemas.openxmlformats.org/officeDocument/2006/relationships/hyperlink" Target="https://www.cboe.com/markets/us/options/market-statistics/product-data/proprietary-index-marking-prices" TargetMode="External"/><Relationship Id="rId191" Type="http://schemas.openxmlformats.org/officeDocument/2006/relationships/hyperlink" Target="https://www.cboe.com/tradable-products/sp-500/spx-options/spx-specifications" TargetMode="External"/><Relationship Id="rId206" Type="http://schemas.openxmlformats.org/officeDocument/2006/relationships/hyperlink" Target="https://www.newyorkfed.org/medialibrary/media/research/staff_reports/sr677.pdf" TargetMode="External"/><Relationship Id="rId205" Type="http://schemas.openxmlformats.org/officeDocument/2006/relationships/hyperlink" Target="https://www.newyorkfed.org/research/staff_reports/sr677.html" TargetMode="External"/><Relationship Id="rId198" Type="http://schemas.openxmlformats.org/officeDocument/2006/relationships/hyperlink" Target="https://www.princeton.edu/~yacine/aslo.pdf" TargetMode="External"/><Relationship Id="rId197" Type="http://schemas.openxmlformats.org/officeDocument/2006/relationships/hyperlink" Target="https://www.princeton.edu/~yacine/cnvx.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Recovering Option-Implied Risk-Neutral Densities from SPX Prices</dc:title>
  <dc:creator>Joel Cerraga</dc:creator>
  <cp:keywords>SPX; risk-neutral density; constrained estimation; option prices</cp:keywords>
  <dcterms:created xsi:type="dcterms:W3CDTF">2026-09-21T06:38:55Z</dcterms:created>
  <dcterms:modified xsi:type="dcterms:W3CDTF">2026-09-21T06:38:55Z</dcterms:modified>
  <dc:subject>Constrained estimation, synthetic validation and empirical comparisons</dc:subject>
  <dc:description>Final paper assembled from the completed ten-notebook research project.</dc:description>
</cp:coreProperties>
</file>

<file path=docProps/custom.xml><?xml version="1.0" encoding="utf-8"?>
<Properties xmlns="http://schemas.openxmlformats.org/officeDocument/2006/custom-properties" xmlns:vt="http://schemas.openxmlformats.org/officeDocument/2006/docPropsVTypes"/>
</file>