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6DD" w:rsidRDefault="00FD26DD" w:rsidP="00FD26DD">
      <w:pPr>
        <w:pStyle w:val="Titre"/>
      </w:pPr>
      <w:r>
        <w:t>Description de PimCa</w:t>
      </w:r>
    </w:p>
    <w:p w:rsidR="00FD26DD" w:rsidRPr="00D85240" w:rsidRDefault="00FD26DD" w:rsidP="00FD26DD"/>
    <w:p w:rsidR="00FD26DD" w:rsidRDefault="00FD26DD" w:rsidP="009567F1">
      <w:pPr>
        <w:ind w:firstLine="708"/>
      </w:pPr>
      <w:r>
        <w:t xml:space="preserve">Le </w:t>
      </w:r>
      <w:r w:rsidRPr="00EE0CC0">
        <w:t xml:space="preserve">langage </w:t>
      </w:r>
      <w:r>
        <w:t xml:space="preserve">PimCA a été </w:t>
      </w:r>
      <w:r w:rsidRPr="00EE0CC0">
        <w:t xml:space="preserve">défini par </w:t>
      </w:r>
      <w:r>
        <w:t>une équipe de DGA-</w:t>
      </w:r>
      <w:r w:rsidRPr="00EE0CC0">
        <w:t>MI</w:t>
      </w:r>
      <w:r>
        <w:t xml:space="preserve"> et u</w:t>
      </w:r>
      <w:r w:rsidRPr="00EE0CC0">
        <w:t xml:space="preserve">n outil de modélisation </w:t>
      </w:r>
      <w:r>
        <w:t>basé sur cette définition a été développé au laboratoire. Le langage PimCA</w:t>
      </w:r>
      <w:r w:rsidRPr="00EE0CC0">
        <w:t xml:space="preserve"> permet de modéliser des systèmes à différents niveaux d’abstraction. </w:t>
      </w:r>
      <w:r>
        <w:t>L</w:t>
      </w:r>
      <w:r w:rsidRPr="00EE0CC0">
        <w:t xml:space="preserve">a </w:t>
      </w:r>
      <w:r>
        <w:t>modélisa</w:t>
      </w:r>
      <w:r w:rsidRPr="00EE0CC0">
        <w:t>tion de la structure d</w:t>
      </w:r>
      <w:r>
        <w:t>’</w:t>
      </w:r>
      <w:r w:rsidRPr="00EE0CC0">
        <w:t>u</w:t>
      </w:r>
      <w:r>
        <w:t>n</w:t>
      </w:r>
      <w:r w:rsidRPr="00EE0CC0">
        <w:t xml:space="preserve"> système </w:t>
      </w:r>
      <w:r>
        <w:t>mais</w:t>
      </w:r>
      <w:r w:rsidRPr="00EE0CC0">
        <w:t xml:space="preserve"> aussi les graphes d’attaques possibles </w:t>
      </w:r>
      <w:r>
        <w:t>sont exprimables dans c</w:t>
      </w:r>
      <w:r>
        <w:t>e langage</w:t>
      </w:r>
      <w:r w:rsidRPr="00EE0CC0">
        <w:t xml:space="preserve">. </w:t>
      </w:r>
    </w:p>
    <w:p w:rsidR="00FD26DD" w:rsidRPr="00EE0CC0" w:rsidRDefault="00FD26DD" w:rsidP="00FD26DD">
      <w:pPr>
        <w:rPr>
          <w:rFonts w:cs="Arial"/>
        </w:rPr>
      </w:pPr>
    </w:p>
    <w:p w:rsidR="00FD26DD" w:rsidRPr="00EE0CC0" w:rsidRDefault="00FD26DD" w:rsidP="00FD26DD">
      <w:pPr>
        <w:keepNext/>
        <w:rPr>
          <w:rFonts w:cs="Arial"/>
        </w:rPr>
      </w:pPr>
      <w:r>
        <w:rPr>
          <w:rFonts w:cs="Arial"/>
          <w:noProof/>
          <w:lang w:eastAsia="fr-FR"/>
        </w:rPr>
        <w:drawing>
          <wp:inline distT="0" distB="0" distL="0" distR="0">
            <wp:extent cx="5019675" cy="3162300"/>
            <wp:effectExtent l="0" t="0" r="9525" b="0"/>
            <wp:docPr id="13" name="Image 1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3" descr="C:\idm_pimca\fr\ensta-bretagne\PIMCA\documentation\ENSTA-Bretagne\ApplicationSysteme_JR-Foure\AppliSysteme\Diagrams\Entrepri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3162300"/>
                    </a:xfrm>
                    <a:prstGeom prst="rect">
                      <a:avLst/>
                    </a:prstGeom>
                    <a:noFill/>
                    <a:ln>
                      <a:noFill/>
                    </a:ln>
                  </pic:spPr>
                </pic:pic>
              </a:graphicData>
            </a:graphic>
          </wp:inline>
        </w:drawing>
      </w:r>
    </w:p>
    <w:p w:rsidR="00FD26DD" w:rsidRPr="00EE0CC0" w:rsidRDefault="00FD26DD" w:rsidP="00FD26DD">
      <w:pPr>
        <w:pStyle w:val="Lgende"/>
      </w:pPr>
      <w:r w:rsidRPr="00EE0CC0">
        <w:t xml:space="preserve">Figure </w:t>
      </w:r>
      <w:r w:rsidRPr="00EE0CC0">
        <w:fldChar w:fldCharType="begin"/>
      </w:r>
      <w:r w:rsidRPr="00EE0CC0">
        <w:instrText xml:space="preserve"> SEQ Figure \* ARABIC </w:instrText>
      </w:r>
      <w:r w:rsidRPr="00EE0CC0">
        <w:fldChar w:fldCharType="separate"/>
      </w:r>
      <w:r w:rsidR="00DD2978">
        <w:rPr>
          <w:noProof/>
        </w:rPr>
        <w:t>1</w:t>
      </w:r>
      <w:r w:rsidRPr="00EE0CC0">
        <w:rPr>
          <w:noProof/>
        </w:rPr>
        <w:fldChar w:fldCharType="end"/>
      </w:r>
      <w:r w:rsidRPr="00EE0CC0">
        <w:t xml:space="preserve">: Un </w:t>
      </w:r>
      <w:r>
        <w:t>modèle réalisé avec</w:t>
      </w:r>
      <w:r w:rsidRPr="00EE0CC0">
        <w:t xml:space="preserve"> l'outil</w:t>
      </w:r>
      <w:r>
        <w:t>lage</w:t>
      </w:r>
      <w:r w:rsidRPr="00EE0CC0">
        <w:t xml:space="preserve"> PimCA</w:t>
      </w:r>
    </w:p>
    <w:p w:rsidR="00FD26DD" w:rsidRDefault="00FD26DD" w:rsidP="00FD26DD">
      <w:pPr>
        <w:rPr>
          <w:rFonts w:cs="Arial"/>
        </w:rPr>
      </w:pPr>
    </w:p>
    <w:p w:rsidR="007C395E" w:rsidRDefault="007C395E" w:rsidP="00FD26DD">
      <w:pPr>
        <w:rPr>
          <w:rFonts w:cs="Arial"/>
        </w:rPr>
      </w:pPr>
      <w:r>
        <w:rPr>
          <w:rFonts w:cs="Arial"/>
        </w:rPr>
        <w:t xml:space="preserve">Nous décrirons ici le langage PimCa dans son ensemble mais aussi un sous </w:t>
      </w:r>
      <w:r w:rsidR="0019559B">
        <w:rPr>
          <w:rFonts w:cs="Arial"/>
        </w:rPr>
        <w:t>ensemble de PimCa appeler PimCa-Light.</w:t>
      </w:r>
    </w:p>
    <w:p w:rsidR="0019559B" w:rsidRDefault="0019559B" w:rsidP="0019559B">
      <w:pPr>
        <w:pStyle w:val="Titre1"/>
      </w:pPr>
      <w:r>
        <w:t>Pimca</w:t>
      </w:r>
    </w:p>
    <w:p w:rsidR="008A02CB" w:rsidRDefault="008A02CB" w:rsidP="009567F1">
      <w:pPr>
        <w:ind w:firstLine="360"/>
      </w:pPr>
      <w:r w:rsidRPr="00EE0CC0">
        <w:t xml:space="preserve">L'outillage PimCA est basé sur le </w:t>
      </w:r>
      <w:proofErr w:type="spellStart"/>
      <w:r w:rsidRPr="00EE0CC0">
        <w:t>framework</w:t>
      </w:r>
      <w:proofErr w:type="spellEnd"/>
      <w:r w:rsidRPr="00EE0CC0">
        <w:t xml:space="preserve"> </w:t>
      </w:r>
      <w:proofErr w:type="gramStart"/>
      <w:r w:rsidRPr="00EE0CC0">
        <w:t>EMF(</w:t>
      </w:r>
      <w:proofErr w:type="gramEnd"/>
      <w:r w:rsidRPr="00EE0CC0">
        <w:t xml:space="preserve">Eclipse </w:t>
      </w:r>
      <w:proofErr w:type="spellStart"/>
      <w:r w:rsidRPr="00EE0CC0">
        <w:t>Modeling</w:t>
      </w:r>
      <w:proofErr w:type="spellEnd"/>
      <w:r w:rsidRPr="00EE0CC0">
        <w:t xml:space="preserve"> Framework)</w:t>
      </w:r>
      <w:r>
        <w:t xml:space="preserve"> avec un </w:t>
      </w:r>
      <w:proofErr w:type="spellStart"/>
      <w:r>
        <w:t>mé</w:t>
      </w:r>
      <w:r w:rsidRPr="00EE0CC0">
        <w:t>t</w:t>
      </w:r>
      <w:r>
        <w:t>a</w:t>
      </w:r>
      <w:r w:rsidRPr="00EE0CC0">
        <w:t>modèle</w:t>
      </w:r>
      <w:proofErr w:type="spellEnd"/>
      <w:r w:rsidRPr="00EE0CC0">
        <w:t xml:space="preserve"> au format Ecore représentant les concepts et les relations du langage. Il existe un </w:t>
      </w:r>
      <w:r>
        <w:t>é</w:t>
      </w:r>
      <w:r w:rsidRPr="00EE0CC0">
        <w:t xml:space="preserve">diteur graphique réalisé </w:t>
      </w:r>
      <w:r>
        <w:t xml:space="preserve">à l’aide du composant open source </w:t>
      </w:r>
      <w:r w:rsidRPr="00EE0CC0">
        <w:t>Sirius permettant d'éditer un diagramme de connaissance.</w:t>
      </w:r>
      <w:r>
        <w:t xml:space="preserve"> Cet outillage a été développé au cours de l’année 2015. Ainsi les modèles de niveau système et les modèles des architectures numériques seront réalisés avec cet outillage dans la suite de nos expérimentations.</w:t>
      </w:r>
    </w:p>
    <w:p w:rsidR="00FD26DD" w:rsidRDefault="00FD26DD" w:rsidP="00FD26DD">
      <w:r w:rsidRPr="00EE0CC0">
        <w:lastRenderedPageBreak/>
        <w:t xml:space="preserve">Le langage possède </w:t>
      </w:r>
      <w:r>
        <w:t>deux grandes</w:t>
      </w:r>
      <w:r w:rsidRPr="00EE0CC0">
        <w:t xml:space="preserve"> composantes : </w:t>
      </w:r>
    </w:p>
    <w:p w:rsidR="00FD26DD" w:rsidRDefault="00FD26DD" w:rsidP="00FD26DD">
      <w:pPr>
        <w:numPr>
          <w:ilvl w:val="0"/>
          <w:numId w:val="13"/>
        </w:numPr>
        <w:spacing w:after="0" w:line="240" w:lineRule="auto"/>
        <w:jc w:val="both"/>
      </w:pPr>
      <w:r w:rsidRPr="00EE0CC0">
        <w:t xml:space="preserve">Un modèle de connaissance, </w:t>
      </w:r>
    </w:p>
    <w:p w:rsidR="00FD26DD" w:rsidRDefault="00FD26DD" w:rsidP="00FD26DD">
      <w:pPr>
        <w:numPr>
          <w:ilvl w:val="0"/>
          <w:numId w:val="13"/>
        </w:numPr>
        <w:spacing w:after="0" w:line="240" w:lineRule="auto"/>
        <w:jc w:val="both"/>
      </w:pPr>
      <w:r w:rsidRPr="00EE0CC0">
        <w:t xml:space="preserve">Un </w:t>
      </w:r>
      <w:r>
        <w:t>modèle de scénarii</w:t>
      </w:r>
      <w:r>
        <w:t xml:space="preserve"> d’attaque</w:t>
      </w:r>
    </w:p>
    <w:p w:rsidR="00FD26DD" w:rsidRPr="00EE0CC0" w:rsidRDefault="00FD26DD" w:rsidP="00FD26DD">
      <w:pPr>
        <w:spacing w:after="0" w:line="240" w:lineRule="auto"/>
        <w:jc w:val="both"/>
      </w:pPr>
    </w:p>
    <w:p w:rsidR="00FD26DD" w:rsidRPr="00EE0CC0" w:rsidRDefault="00FD26DD" w:rsidP="0019559B">
      <w:pPr>
        <w:pStyle w:val="Titre2"/>
      </w:pPr>
      <w:bookmarkStart w:id="0" w:name="_Toc427943480"/>
      <w:bookmarkStart w:id="1" w:name="_Toc448842436"/>
      <w:r w:rsidRPr="00EE0CC0">
        <w:t>Le modèle de connaissance</w:t>
      </w:r>
      <w:bookmarkEnd w:id="0"/>
      <w:bookmarkEnd w:id="1"/>
    </w:p>
    <w:p w:rsidR="00FD26DD" w:rsidRPr="00EE0CC0" w:rsidRDefault="00FD26DD" w:rsidP="009567F1">
      <w:pPr>
        <w:ind w:firstLine="284"/>
      </w:pPr>
      <w:r w:rsidRPr="00EE0CC0">
        <w:t>Le modèle de connaissance (</w:t>
      </w:r>
      <w:proofErr w:type="spellStart"/>
      <w:r w:rsidRPr="00EE0CC0">
        <w:t>Knowledge</w:t>
      </w:r>
      <w:proofErr w:type="spellEnd"/>
      <w:r w:rsidRPr="00EE0CC0">
        <w:t xml:space="preserve"> Model) représente un système faisant l’objet d’une </w:t>
      </w:r>
      <w:r>
        <w:t>analyse de sécurité</w:t>
      </w:r>
      <w:r w:rsidRPr="00EE0CC0">
        <w:t>. Le système est composé (entre autre) d’un ensemble de machineries (</w:t>
      </w:r>
      <w:proofErr w:type="spellStart"/>
      <w:r w:rsidRPr="00EE0CC0">
        <w:t>Machinery</w:t>
      </w:r>
      <w:proofErr w:type="spellEnd"/>
      <w:r w:rsidRPr="00EE0CC0">
        <w:t>), interconnectées entre elles par trois types de flux : énergie (</w:t>
      </w:r>
      <w:proofErr w:type="spellStart"/>
      <w:r w:rsidRPr="00EE0CC0">
        <w:t>Energy</w:t>
      </w:r>
      <w:proofErr w:type="spellEnd"/>
      <w:r w:rsidRPr="00EE0CC0">
        <w:t>), matière/données (</w:t>
      </w:r>
      <w:proofErr w:type="spellStart"/>
      <w:r w:rsidRPr="00EE0CC0">
        <w:t>Matter</w:t>
      </w:r>
      <w:proofErr w:type="spellEnd"/>
      <w:r w:rsidRPr="00EE0CC0">
        <w:t>/Data), et contrôle (Control)</w:t>
      </w:r>
      <w:r>
        <w:t xml:space="preserve">, </w:t>
      </w:r>
      <w:proofErr w:type="spellStart"/>
      <w:r>
        <w:t>cf</w:t>
      </w:r>
      <w:proofErr w:type="spellEnd"/>
      <w:r>
        <w:t xml:space="preserve"> figure </w:t>
      </w:r>
      <w:r>
        <w:t>2</w:t>
      </w:r>
      <w:r w:rsidRPr="00EE0CC0">
        <w:t>.</w:t>
      </w:r>
    </w:p>
    <w:p w:rsidR="00FD26DD" w:rsidRDefault="00FD26DD" w:rsidP="00FD26DD">
      <w:pPr>
        <w:keepNext/>
      </w:pPr>
      <w:r>
        <w:rPr>
          <w:rFonts w:cs="Arial"/>
          <w:noProof/>
          <w:lang w:eastAsia="fr-FR"/>
        </w:rPr>
        <w:drawing>
          <wp:inline distT="0" distB="0" distL="0" distR="0">
            <wp:extent cx="4962525" cy="1781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1781175"/>
                    </a:xfrm>
                    <a:prstGeom prst="rect">
                      <a:avLst/>
                    </a:prstGeom>
                    <a:noFill/>
                    <a:ln>
                      <a:noFill/>
                    </a:ln>
                  </pic:spPr>
                </pic:pic>
              </a:graphicData>
            </a:graphic>
          </wp:inline>
        </w:drawing>
      </w:r>
    </w:p>
    <w:p w:rsidR="00FD26DD" w:rsidRPr="00EE0CC0" w:rsidRDefault="00FD26DD" w:rsidP="00FD26DD">
      <w:pPr>
        <w:pStyle w:val="Lgende"/>
        <w:rPr>
          <w:rFonts w:cs="Arial"/>
          <w:noProof/>
        </w:rPr>
      </w:pPr>
      <w:r>
        <w:t xml:space="preserve">Figure </w:t>
      </w:r>
      <w:r>
        <w:fldChar w:fldCharType="begin"/>
      </w:r>
      <w:r>
        <w:instrText xml:space="preserve"> SEQ Figure \* ARABIC </w:instrText>
      </w:r>
      <w:r>
        <w:fldChar w:fldCharType="separate"/>
      </w:r>
      <w:r w:rsidR="00DD2978">
        <w:rPr>
          <w:noProof/>
        </w:rPr>
        <w:t>2</w:t>
      </w:r>
      <w:r>
        <w:fldChar w:fldCharType="end"/>
      </w:r>
      <w:r>
        <w:t xml:space="preserve"> : Schéma des concepts principaux de Pimca</w:t>
      </w:r>
    </w:p>
    <w:p w:rsidR="00FD26DD" w:rsidRPr="00EE0CC0" w:rsidRDefault="00FD26DD" w:rsidP="00FD26DD">
      <w:r w:rsidRPr="00EE0CC0">
        <w:t xml:space="preserve">La machinerie est caractérisée par trois </w:t>
      </w:r>
      <w:r>
        <w:t xml:space="preserve">concepts </w:t>
      </w:r>
      <w:r w:rsidRPr="00EE0CC0">
        <w:t>clé</w:t>
      </w:r>
      <w:r>
        <w:t>s</w:t>
      </w:r>
      <w:r w:rsidRPr="00EE0CC0">
        <w:t> : exécution – configuration – mémoire</w:t>
      </w:r>
      <w:r>
        <w:t xml:space="preserve"> avec leur interface</w:t>
      </w:r>
      <w:r w:rsidRPr="00EE0CC0">
        <w:t>.</w:t>
      </w:r>
    </w:p>
    <w:p w:rsidR="00FD26DD" w:rsidRDefault="00FD26DD" w:rsidP="00FD26DD"/>
    <w:p w:rsidR="00FD26DD" w:rsidRPr="00EE0CC0" w:rsidRDefault="00FD26DD" w:rsidP="0019559B">
      <w:pPr>
        <w:pStyle w:val="Titre3"/>
      </w:pPr>
      <w:bookmarkStart w:id="2" w:name="_Toc427943481"/>
      <w:bookmarkStart w:id="3" w:name="_Toc448842437"/>
      <w:r w:rsidRPr="00EE0CC0">
        <w:t>Les concepts principaux</w:t>
      </w:r>
      <w:bookmarkEnd w:id="2"/>
      <w:bookmarkEnd w:id="3"/>
    </w:p>
    <w:p w:rsidR="00FD26DD" w:rsidRPr="00EE0CC0" w:rsidRDefault="00FD26DD" w:rsidP="0019559B">
      <w:pPr>
        <w:pStyle w:val="Titre4"/>
      </w:pPr>
      <w:r w:rsidRPr="00EE0CC0">
        <w:t xml:space="preserve">Les « machines » : </w:t>
      </w:r>
    </w:p>
    <w:tbl>
      <w:tblPr>
        <w:tblW w:w="0" w:type="auto"/>
        <w:tblBorders>
          <w:top w:val="single" w:sz="8" w:space="0" w:color="4F81BD"/>
          <w:bottom w:val="single" w:sz="8" w:space="0" w:color="4F81BD"/>
        </w:tblBorders>
        <w:tblLook w:val="04A0" w:firstRow="1" w:lastRow="0" w:firstColumn="1" w:lastColumn="0" w:noHBand="0" w:noVBand="1"/>
      </w:tblPr>
      <w:tblGrid>
        <w:gridCol w:w="2093"/>
        <w:gridCol w:w="7119"/>
      </w:tblGrid>
      <w:tr w:rsidR="00FD26DD" w:rsidRPr="00EE0CC0" w:rsidTr="00417B65">
        <w:tc>
          <w:tcPr>
            <w:tcW w:w="2093" w:type="dxa"/>
            <w:tcBorders>
              <w:top w:val="single" w:sz="8" w:space="0" w:color="4F81BD"/>
              <w:left w:val="nil"/>
              <w:bottom w:val="single" w:sz="8" w:space="0" w:color="4F81BD"/>
              <w:right w:val="nil"/>
            </w:tcBorders>
            <w:shd w:val="clear" w:color="auto" w:fill="auto"/>
          </w:tcPr>
          <w:p w:rsidR="00FD26DD" w:rsidRPr="00417B65" w:rsidRDefault="00FD26DD" w:rsidP="00417B65">
            <w:pPr>
              <w:rPr>
                <w:b/>
              </w:rPr>
            </w:pPr>
            <w:r w:rsidRPr="00417B65">
              <w:rPr>
                <w:b/>
              </w:rPr>
              <w:t>Icône-Concept</w:t>
            </w:r>
          </w:p>
        </w:tc>
        <w:tc>
          <w:tcPr>
            <w:tcW w:w="7119" w:type="dxa"/>
            <w:tcBorders>
              <w:top w:val="single" w:sz="8" w:space="0" w:color="4F81BD"/>
              <w:left w:val="nil"/>
              <w:bottom w:val="single" w:sz="8" w:space="0" w:color="4F81BD"/>
              <w:right w:val="nil"/>
            </w:tcBorders>
            <w:shd w:val="clear" w:color="auto" w:fill="auto"/>
          </w:tcPr>
          <w:p w:rsidR="00FD26DD" w:rsidRPr="00417B65" w:rsidRDefault="00FD26DD" w:rsidP="00417B65">
            <w:pPr>
              <w:rPr>
                <w:b/>
              </w:rPr>
            </w:pPr>
            <w:r w:rsidRPr="00417B65">
              <w:rPr>
                <w:b/>
              </w:rPr>
              <w:t>Description</w:t>
            </w:r>
          </w:p>
        </w:tc>
      </w:tr>
      <w:tr w:rsidR="00FD26DD" w:rsidRPr="00EE0CC0" w:rsidTr="00E411E4">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drawing>
                <wp:inline distT="0" distB="0" distL="0" distR="0" wp14:anchorId="09E6F455" wp14:editId="7C3824FC">
                  <wp:extent cx="314325" cy="314325"/>
                  <wp:effectExtent l="0" t="0" r="9525" b="9525"/>
                  <wp:docPr id="11" name="Image 11"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descr="mac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417B65">
              <w:rPr>
                <w:b/>
              </w:rPr>
              <w:t>Machinery</w:t>
            </w:r>
            <w:proofErr w:type="spellEnd"/>
          </w:p>
        </w:tc>
        <w:tc>
          <w:tcPr>
            <w:tcW w:w="7119" w:type="dxa"/>
            <w:shd w:val="clear" w:color="auto" w:fill="auto"/>
            <w:vAlign w:val="center"/>
          </w:tcPr>
          <w:p w:rsidR="00FD26DD" w:rsidRPr="00BD5D0E" w:rsidRDefault="00FD26DD" w:rsidP="00E411E4">
            <w:r w:rsidRPr="00BD5D0E">
              <w:rPr>
                <w:b/>
              </w:rPr>
              <w:t>Machinerie</w:t>
            </w:r>
            <w:r w:rsidRPr="00BD5D0E">
              <w:t xml:space="preserve"> : système manipulant des Ressources (regroupement particulier) : voiture, animal, PC, processus</w:t>
            </w:r>
          </w:p>
        </w:tc>
      </w:tr>
      <w:tr w:rsidR="00FD26DD" w:rsidRPr="00EE0CC0" w:rsidTr="00E411E4">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drawing>
                <wp:inline distT="0" distB="0" distL="0" distR="0" wp14:anchorId="1ECE4493" wp14:editId="6A298594">
                  <wp:extent cx="314325" cy="314325"/>
                  <wp:effectExtent l="0" t="0" r="0" b="9525"/>
                  <wp:docPr id="10" name="Image 10"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creffst\AppData\Local\Microsoft\Windows\INetCache\Content.Word\execu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417B65">
              <w:rPr>
                <w:b/>
              </w:rPr>
              <w:t>Performer</w:t>
            </w:r>
          </w:p>
        </w:tc>
        <w:tc>
          <w:tcPr>
            <w:tcW w:w="7119" w:type="dxa"/>
            <w:shd w:val="clear" w:color="auto" w:fill="auto"/>
            <w:vAlign w:val="center"/>
          </w:tcPr>
          <w:p w:rsidR="00FD26DD" w:rsidRPr="00BD5D0E" w:rsidRDefault="00FD26DD" w:rsidP="00E411E4">
            <w:r w:rsidRPr="00BD5D0E">
              <w:rPr>
                <w:b/>
              </w:rPr>
              <w:t>Exécutant (spécialise Machinerie)</w:t>
            </w:r>
            <w:r w:rsidRPr="00BD5D0E">
              <w:t xml:space="preserve"> : ce qui transforme la Ressource, </w:t>
            </w:r>
            <w:proofErr w:type="spellStart"/>
            <w:r w:rsidRPr="00BD5D0E">
              <w:t>e.g</w:t>
            </w:r>
            <w:proofErr w:type="spellEnd"/>
            <w:r w:rsidRPr="00BD5D0E">
              <w:t>. UC/Programme, cerveau, régulateur.</w:t>
            </w:r>
          </w:p>
        </w:tc>
      </w:tr>
      <w:tr w:rsidR="00FD26DD" w:rsidRPr="00EE0CC0" w:rsidTr="00E411E4">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drawing>
                <wp:inline distT="0" distB="0" distL="0" distR="0" wp14:anchorId="34C34445" wp14:editId="421EE7D4">
                  <wp:extent cx="314325" cy="314325"/>
                  <wp:effectExtent l="0" t="0" r="9525" b="0"/>
                  <wp:docPr id="9" name="Image 9"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5" descr="rese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417B65">
              <w:rPr>
                <w:b/>
              </w:rPr>
              <w:t>Network</w:t>
            </w:r>
          </w:p>
        </w:tc>
        <w:tc>
          <w:tcPr>
            <w:tcW w:w="7119" w:type="dxa"/>
            <w:shd w:val="clear" w:color="auto" w:fill="auto"/>
            <w:vAlign w:val="center"/>
          </w:tcPr>
          <w:p w:rsidR="00FD26DD" w:rsidRPr="00BD5D0E" w:rsidRDefault="00FD26DD" w:rsidP="00E411E4">
            <w:r w:rsidRPr="00BD5D0E">
              <w:rPr>
                <w:b/>
              </w:rPr>
              <w:t>Réseau</w:t>
            </w:r>
            <w:r w:rsidRPr="00BD5D0E">
              <w:t xml:space="preserve"> </w:t>
            </w:r>
            <w:r w:rsidRPr="00BD5D0E">
              <w:rPr>
                <w:b/>
              </w:rPr>
              <w:t xml:space="preserve">(spécialise Machinerie) </w:t>
            </w:r>
            <w:r w:rsidRPr="00BD5D0E">
              <w:t>: zone d’échange de matière, d’information, d’énergie, etc. : câblage, tuyauterie, IPC Engine.</w:t>
            </w:r>
          </w:p>
        </w:tc>
      </w:tr>
      <w:tr w:rsidR="00FD26DD" w:rsidRPr="00EE0CC0" w:rsidTr="00E411E4">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drawing>
                <wp:inline distT="0" distB="0" distL="0" distR="0" wp14:anchorId="5D27577E" wp14:editId="49547123">
                  <wp:extent cx="314325" cy="314325"/>
                  <wp:effectExtent l="0" t="0" r="9525" b="9525"/>
                  <wp:docPr id="8" name="Image 8"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descr="dou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417B65">
              <w:rPr>
                <w:b/>
              </w:rPr>
              <w:t>Customs</w:t>
            </w:r>
          </w:p>
        </w:tc>
        <w:tc>
          <w:tcPr>
            <w:tcW w:w="7119" w:type="dxa"/>
            <w:shd w:val="clear" w:color="auto" w:fill="auto"/>
            <w:vAlign w:val="center"/>
          </w:tcPr>
          <w:p w:rsidR="00FD26DD" w:rsidRPr="00BD5D0E" w:rsidRDefault="00FD26DD" w:rsidP="00E411E4">
            <w:r w:rsidRPr="00BD5D0E">
              <w:rPr>
                <w:b/>
              </w:rPr>
              <w:t>Douane (spécialise Machinerie)</w:t>
            </w:r>
            <w:r w:rsidRPr="00BD5D0E">
              <w:t xml:space="preserve"> : fonctionnalité particulière mise en place par une Machinerie pour identifier &amp; autoriser une autre Machinerie : cadenas, garde, login, crypto</w:t>
            </w:r>
          </w:p>
        </w:tc>
      </w:tr>
      <w:tr w:rsidR="00FD26DD" w:rsidRPr="00EE0CC0" w:rsidTr="00E411E4">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lastRenderedPageBreak/>
              <w:drawing>
                <wp:inline distT="0" distB="0" distL="0" distR="0" wp14:anchorId="7192007F" wp14:editId="0929F550">
                  <wp:extent cx="285750" cy="285750"/>
                  <wp:effectExtent l="0" t="0" r="0" b="0"/>
                  <wp:docPr id="7" name="Image 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7" descr="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417B65">
              <w:rPr>
                <w:b/>
              </w:rPr>
              <w:t>Interface</w:t>
            </w:r>
          </w:p>
        </w:tc>
        <w:tc>
          <w:tcPr>
            <w:tcW w:w="7119" w:type="dxa"/>
            <w:shd w:val="clear" w:color="auto" w:fill="auto"/>
            <w:vAlign w:val="center"/>
          </w:tcPr>
          <w:p w:rsidR="00FD26DD" w:rsidRPr="00BD5D0E" w:rsidRDefault="00FD26DD" w:rsidP="00E411E4">
            <w:r w:rsidRPr="00BD5D0E">
              <w:rPr>
                <w:b/>
              </w:rPr>
              <w:t xml:space="preserve">Interface (spécialise Machinerie) </w:t>
            </w:r>
            <w:r w:rsidRPr="00BD5D0E">
              <w:t xml:space="preserve">: permet de passer d’une Machinerie à une autre, du monde physique au monde virtuel et inversement : NIC, caméra, clavier, écran. </w:t>
            </w:r>
          </w:p>
        </w:tc>
      </w:tr>
      <w:tr w:rsidR="00FD26DD" w:rsidRPr="00EE0CC0" w:rsidTr="00E411E4">
        <w:trPr>
          <w:trHeight w:val="80"/>
        </w:trPr>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drawing>
                <wp:inline distT="0" distB="0" distL="0" distR="0" wp14:anchorId="5316BF34" wp14:editId="2AB206AF">
                  <wp:extent cx="285750" cy="285750"/>
                  <wp:effectExtent l="0" t="0" r="0" b="0"/>
                  <wp:docPr id="6" name="Image 6"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8" descr="regroup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BD5D0E">
              <w:rPr>
                <w:rFonts w:cs="Arial"/>
                <w:b/>
                <w:bCs/>
                <w:color w:val="365F91"/>
                <w:sz w:val="22"/>
              </w:rPr>
              <w:t xml:space="preserve"> </w:t>
            </w:r>
            <w:proofErr w:type="spellStart"/>
            <w:r w:rsidRPr="00417B65">
              <w:rPr>
                <w:b/>
              </w:rPr>
              <w:t>Gathering</w:t>
            </w:r>
            <w:proofErr w:type="spellEnd"/>
            <w:r w:rsidRPr="00417B65">
              <w:t xml:space="preserve"> (non réifié)</w:t>
            </w:r>
          </w:p>
        </w:tc>
        <w:tc>
          <w:tcPr>
            <w:tcW w:w="7119" w:type="dxa"/>
            <w:shd w:val="clear" w:color="auto" w:fill="auto"/>
            <w:vAlign w:val="center"/>
          </w:tcPr>
          <w:p w:rsidR="00FD26DD" w:rsidRPr="00BD5D0E" w:rsidRDefault="00FD26DD" w:rsidP="00E411E4">
            <w:r w:rsidRPr="00BD5D0E">
              <w:rPr>
                <w:b/>
              </w:rPr>
              <w:t>Regroupement</w:t>
            </w:r>
            <w:r w:rsidRPr="00BD5D0E">
              <w:t xml:space="preserve"> : ensemble logique d’objets de tout type, entrepôt sans Ressource. Un regroupement ne possède pas les infos propres à une machinerie, c.-à-d. </w:t>
            </w:r>
            <w:proofErr w:type="spellStart"/>
            <w:r w:rsidRPr="00BD5D0E">
              <w:t>executant</w:t>
            </w:r>
            <w:proofErr w:type="spellEnd"/>
            <w:r w:rsidRPr="00BD5D0E">
              <w:t>, configuration, mémoire.</w:t>
            </w:r>
          </w:p>
        </w:tc>
      </w:tr>
      <w:tr w:rsidR="00FD26DD" w:rsidRPr="00EE0CC0" w:rsidTr="00E411E4">
        <w:tc>
          <w:tcPr>
            <w:tcW w:w="2093" w:type="dxa"/>
            <w:shd w:val="clear" w:color="auto" w:fill="auto"/>
          </w:tcPr>
          <w:p w:rsidR="00FD26DD" w:rsidRPr="00BD5D0E" w:rsidRDefault="00FD26DD" w:rsidP="003526AE">
            <w:pPr>
              <w:rPr>
                <w:rFonts w:cs="Arial"/>
                <w:b/>
                <w:bCs/>
                <w:color w:val="365F91"/>
                <w:sz w:val="22"/>
              </w:rPr>
            </w:pPr>
            <w:r>
              <w:rPr>
                <w:rFonts w:cs="Arial"/>
                <w:b/>
                <w:bCs/>
                <w:noProof/>
                <w:color w:val="365F91"/>
                <w:sz w:val="22"/>
                <w:lang w:eastAsia="fr-FR"/>
              </w:rPr>
              <w:drawing>
                <wp:inline distT="0" distB="0" distL="0" distR="0" wp14:anchorId="1CDD1434" wp14:editId="685CC86F">
                  <wp:extent cx="314325" cy="314325"/>
                  <wp:effectExtent l="0" t="0" r="9525" b="9525"/>
                  <wp:docPr id="5" name="Image 5"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creffst\AppData\Local\Microsoft\Windows\INetCache\Content.Word\entrep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417B65">
              <w:rPr>
                <w:b/>
              </w:rPr>
              <w:t>Repository</w:t>
            </w:r>
            <w:proofErr w:type="spellEnd"/>
          </w:p>
        </w:tc>
        <w:tc>
          <w:tcPr>
            <w:tcW w:w="7119" w:type="dxa"/>
            <w:shd w:val="clear" w:color="auto" w:fill="auto"/>
            <w:vAlign w:val="center"/>
          </w:tcPr>
          <w:p w:rsidR="00FD26DD" w:rsidRPr="00BD5D0E" w:rsidRDefault="00FD26DD" w:rsidP="00E411E4">
            <w:r w:rsidRPr="00BD5D0E">
              <w:rPr>
                <w:b/>
              </w:rPr>
              <w:t>Entrepôt</w:t>
            </w:r>
            <w:r w:rsidRPr="00BD5D0E">
              <w:t xml:space="preserve"> : zone de stockage de Ressource : armoire, bâtiment, disquette, </w:t>
            </w:r>
            <w:proofErr w:type="spellStart"/>
            <w:r w:rsidRPr="00BD5D0E">
              <w:t>database</w:t>
            </w:r>
            <w:proofErr w:type="spellEnd"/>
            <w:r w:rsidRPr="00BD5D0E">
              <w:t>, file system</w:t>
            </w:r>
          </w:p>
        </w:tc>
      </w:tr>
    </w:tbl>
    <w:p w:rsidR="00FD26DD" w:rsidRPr="00417B65" w:rsidRDefault="00FD26DD" w:rsidP="00FD26DD"/>
    <w:p w:rsidR="00417B65" w:rsidRPr="00417B65" w:rsidRDefault="00FD26DD" w:rsidP="0019559B">
      <w:pPr>
        <w:pStyle w:val="Titre4"/>
      </w:pPr>
      <w:r w:rsidRPr="00EE0CC0">
        <w:t>Les « ressources » :</w:t>
      </w:r>
    </w:p>
    <w:tbl>
      <w:tblPr>
        <w:tblW w:w="0" w:type="auto"/>
        <w:tblBorders>
          <w:top w:val="single" w:sz="8" w:space="0" w:color="4F81BD"/>
          <w:bottom w:val="single" w:sz="8" w:space="0" w:color="4F81BD"/>
        </w:tblBorders>
        <w:tblLook w:val="04A0" w:firstRow="1" w:lastRow="0" w:firstColumn="1" w:lastColumn="0" w:noHBand="0" w:noVBand="1"/>
      </w:tblPr>
      <w:tblGrid>
        <w:gridCol w:w="2093"/>
        <w:gridCol w:w="7119"/>
      </w:tblGrid>
      <w:tr w:rsidR="00FD26DD" w:rsidRPr="00EE0CC0" w:rsidTr="00417B65">
        <w:tc>
          <w:tcPr>
            <w:tcW w:w="2093" w:type="dxa"/>
            <w:tcBorders>
              <w:top w:val="single" w:sz="8" w:space="0" w:color="4F81BD"/>
              <w:left w:val="nil"/>
              <w:bottom w:val="single" w:sz="8" w:space="0" w:color="4F81BD"/>
              <w:right w:val="nil"/>
            </w:tcBorders>
            <w:shd w:val="clear" w:color="auto" w:fill="auto"/>
          </w:tcPr>
          <w:p w:rsidR="00FD26DD" w:rsidRPr="00417B65" w:rsidRDefault="00FD26DD" w:rsidP="00417B65">
            <w:pPr>
              <w:rPr>
                <w:b/>
              </w:rPr>
            </w:pPr>
            <w:r w:rsidRPr="00417B65">
              <w:rPr>
                <w:b/>
              </w:rPr>
              <w:t>Icône-Concept</w:t>
            </w:r>
          </w:p>
        </w:tc>
        <w:tc>
          <w:tcPr>
            <w:tcW w:w="7119" w:type="dxa"/>
            <w:tcBorders>
              <w:top w:val="single" w:sz="8" w:space="0" w:color="4F81BD"/>
              <w:left w:val="nil"/>
              <w:bottom w:val="single" w:sz="8" w:space="0" w:color="4F81BD"/>
              <w:right w:val="nil"/>
            </w:tcBorders>
            <w:shd w:val="clear" w:color="auto" w:fill="auto"/>
          </w:tcPr>
          <w:p w:rsidR="00FD26DD" w:rsidRPr="00417B65" w:rsidRDefault="00FD26DD" w:rsidP="00417B65">
            <w:pPr>
              <w:rPr>
                <w:b/>
              </w:rPr>
            </w:pPr>
            <w:r w:rsidRPr="00417B65">
              <w:rPr>
                <w:b/>
              </w:rPr>
              <w:t>Description</w:t>
            </w:r>
          </w:p>
        </w:tc>
      </w:tr>
      <w:tr w:rsidR="00FD26DD" w:rsidRPr="00EE0CC0" w:rsidTr="00E411E4">
        <w:tc>
          <w:tcPr>
            <w:tcW w:w="2093" w:type="dxa"/>
            <w:shd w:val="clear" w:color="auto" w:fill="auto"/>
          </w:tcPr>
          <w:p w:rsidR="00FD26DD" w:rsidRPr="00417B65" w:rsidRDefault="00FD26DD" w:rsidP="00417B65">
            <w:pPr>
              <w:rPr>
                <w:b/>
              </w:rPr>
            </w:pPr>
            <w:r w:rsidRPr="00417B65">
              <w:rPr>
                <w:b/>
                <w:noProof/>
                <w:lang w:eastAsia="fr-FR"/>
              </w:rPr>
              <w:drawing>
                <wp:inline distT="0" distB="0" distL="0" distR="0" wp14:anchorId="146D7E6C" wp14:editId="4797B719">
                  <wp:extent cx="314325" cy="314325"/>
                  <wp:effectExtent l="0" t="0" r="9525" b="9525"/>
                  <wp:docPr id="4" name="Image 4"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9" descr="res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417B65">
              <w:rPr>
                <w:b/>
              </w:rPr>
              <w:t>Resource</w:t>
            </w:r>
          </w:p>
        </w:tc>
        <w:tc>
          <w:tcPr>
            <w:tcW w:w="7119" w:type="dxa"/>
            <w:shd w:val="clear" w:color="auto" w:fill="auto"/>
            <w:vAlign w:val="center"/>
          </w:tcPr>
          <w:p w:rsidR="00FD26DD" w:rsidRPr="00BD5D0E" w:rsidRDefault="00FD26DD" w:rsidP="00E411E4">
            <w:r w:rsidRPr="00BD5D0E">
              <w:rPr>
                <w:b/>
              </w:rPr>
              <w:t>Ressource</w:t>
            </w:r>
            <w:r w:rsidRPr="00BD5D0E">
              <w:t xml:space="preserve"> : ce qui est transformé, manipulé par une Machinerie : matière, électricité, document, log, data</w:t>
            </w:r>
          </w:p>
        </w:tc>
      </w:tr>
      <w:tr w:rsidR="00FD26DD" w:rsidRPr="00EE0CC0" w:rsidTr="00E411E4">
        <w:tc>
          <w:tcPr>
            <w:tcW w:w="2093" w:type="dxa"/>
            <w:shd w:val="clear" w:color="auto" w:fill="auto"/>
          </w:tcPr>
          <w:p w:rsidR="00FD26DD" w:rsidRPr="00417B65" w:rsidRDefault="00FD26DD" w:rsidP="00417B65">
            <w:pPr>
              <w:rPr>
                <w:b/>
              </w:rPr>
            </w:pPr>
            <w:r w:rsidRPr="00417B65">
              <w:rPr>
                <w:b/>
                <w:noProof/>
                <w:lang w:eastAsia="fr-FR"/>
              </w:rPr>
              <w:drawing>
                <wp:inline distT="0" distB="0" distL="0" distR="0" wp14:anchorId="140EAE50" wp14:editId="1241FAC6">
                  <wp:extent cx="257175" cy="257175"/>
                  <wp:effectExtent l="0" t="0" r="0" b="9525"/>
                  <wp:docPr id="3" name="Image 3"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descr="consig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417B65">
              <w:rPr>
                <w:b/>
              </w:rPr>
              <w:t>Instructions</w:t>
            </w:r>
          </w:p>
        </w:tc>
        <w:tc>
          <w:tcPr>
            <w:tcW w:w="7119" w:type="dxa"/>
            <w:shd w:val="clear" w:color="auto" w:fill="auto"/>
            <w:vAlign w:val="center"/>
          </w:tcPr>
          <w:p w:rsidR="00FD26DD" w:rsidRPr="00BD5D0E" w:rsidRDefault="00FD26DD" w:rsidP="00E411E4">
            <w:r w:rsidRPr="00BD5D0E">
              <w:rPr>
                <w:b/>
              </w:rPr>
              <w:t>Consigne (spécialise Ressource)</w:t>
            </w:r>
            <w:r w:rsidRPr="00BD5D0E">
              <w:t xml:space="preserve"> : La direction, les paramètres que l’exécutant suit : Fichier de configuration, ordre, politique de sécurité</w:t>
            </w:r>
          </w:p>
        </w:tc>
      </w:tr>
      <w:tr w:rsidR="00FD26DD" w:rsidRPr="00EE0CC0" w:rsidTr="00E411E4">
        <w:tc>
          <w:tcPr>
            <w:tcW w:w="2093" w:type="dxa"/>
            <w:shd w:val="clear" w:color="auto" w:fill="auto"/>
          </w:tcPr>
          <w:p w:rsidR="00FD26DD" w:rsidRPr="00417B65" w:rsidRDefault="00FD26DD" w:rsidP="00417B65">
            <w:pPr>
              <w:rPr>
                <w:b/>
              </w:rPr>
            </w:pPr>
            <w:r w:rsidRPr="00417B65">
              <w:rPr>
                <w:b/>
                <w:noProof/>
                <w:lang w:eastAsia="fr-FR"/>
              </w:rPr>
              <w:drawing>
                <wp:inline distT="0" distB="0" distL="0" distR="0" wp14:anchorId="0FC630FE" wp14:editId="41524B80">
                  <wp:extent cx="314325" cy="314325"/>
                  <wp:effectExtent l="0" t="0" r="9525" b="9525"/>
                  <wp:docPr id="2"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creffst\AppData\Local\Microsoft\Windows\INetCache\Content.Word\pass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417B65">
              <w:rPr>
                <w:b/>
              </w:rPr>
              <w:t>Passeport</w:t>
            </w:r>
          </w:p>
        </w:tc>
        <w:tc>
          <w:tcPr>
            <w:tcW w:w="7119" w:type="dxa"/>
            <w:shd w:val="clear" w:color="auto" w:fill="auto"/>
            <w:vAlign w:val="center"/>
          </w:tcPr>
          <w:p w:rsidR="00FD26DD" w:rsidRPr="00BD5D0E" w:rsidRDefault="00FD26DD" w:rsidP="00E411E4">
            <w:pPr>
              <w:rPr>
                <w:b/>
              </w:rPr>
            </w:pPr>
            <w:r w:rsidRPr="00BD5D0E">
              <w:rPr>
                <w:b/>
              </w:rPr>
              <w:t xml:space="preserve">Passeport (spécialise Ressource) : </w:t>
            </w:r>
            <w:r w:rsidRPr="00BD5D0E">
              <w:t>élément à fournir à la Douane pour être identifié / autorisé : clef, carte d’identité, badge, login/</w:t>
            </w:r>
            <w:proofErr w:type="spellStart"/>
            <w:r w:rsidRPr="00BD5D0E">
              <w:t>password</w:t>
            </w:r>
            <w:proofErr w:type="spellEnd"/>
            <w:r w:rsidRPr="00BD5D0E">
              <w:t>, clef de chiffrement</w:t>
            </w:r>
          </w:p>
        </w:tc>
      </w:tr>
    </w:tbl>
    <w:p w:rsidR="00417B65" w:rsidRDefault="00417B65" w:rsidP="00FD26DD">
      <w:pPr>
        <w:rPr>
          <w:rFonts w:cs="Arial"/>
        </w:rPr>
      </w:pPr>
    </w:p>
    <w:p w:rsidR="00FD26DD" w:rsidRDefault="00FD26DD" w:rsidP="0019559B">
      <w:pPr>
        <w:pStyle w:val="Titre4"/>
      </w:pPr>
      <w:r w:rsidRPr="00EE0CC0">
        <w:t xml:space="preserve">Les </w:t>
      </w:r>
      <w:r>
        <w:t>« </w:t>
      </w:r>
      <w:r w:rsidRPr="00EE0CC0">
        <w:t>relations</w:t>
      </w:r>
      <w:r>
        <w:t> »</w:t>
      </w:r>
      <w:r w:rsidRPr="00EE0CC0">
        <w:t xml:space="preserve"> : </w:t>
      </w:r>
    </w:p>
    <w:tbl>
      <w:tblPr>
        <w:tblW w:w="0" w:type="auto"/>
        <w:tblBorders>
          <w:top w:val="single" w:sz="8" w:space="0" w:color="4F81BD"/>
          <w:bottom w:val="single" w:sz="8" w:space="0" w:color="4F81BD"/>
        </w:tblBorders>
        <w:tblLook w:val="04A0" w:firstRow="1" w:lastRow="0" w:firstColumn="1" w:lastColumn="0" w:noHBand="0" w:noVBand="1"/>
      </w:tblPr>
      <w:tblGrid>
        <w:gridCol w:w="2235"/>
        <w:gridCol w:w="6977"/>
      </w:tblGrid>
      <w:tr w:rsidR="00417B65" w:rsidRPr="00EE0CC0" w:rsidTr="00417B65">
        <w:tc>
          <w:tcPr>
            <w:tcW w:w="2235" w:type="dxa"/>
            <w:tcBorders>
              <w:top w:val="single" w:sz="8" w:space="0" w:color="4F81BD"/>
              <w:left w:val="nil"/>
              <w:bottom w:val="single" w:sz="8" w:space="0" w:color="4F81BD"/>
              <w:right w:val="nil"/>
            </w:tcBorders>
            <w:shd w:val="clear" w:color="auto" w:fill="auto"/>
          </w:tcPr>
          <w:p w:rsidR="00417B65" w:rsidRPr="00417B65" w:rsidRDefault="00417B65" w:rsidP="003526AE">
            <w:pPr>
              <w:rPr>
                <w:b/>
              </w:rPr>
            </w:pPr>
            <w:r w:rsidRPr="00417B65">
              <w:rPr>
                <w:b/>
              </w:rPr>
              <w:t>Icône-Concept</w:t>
            </w:r>
          </w:p>
        </w:tc>
        <w:tc>
          <w:tcPr>
            <w:tcW w:w="6977" w:type="dxa"/>
            <w:tcBorders>
              <w:top w:val="single" w:sz="8" w:space="0" w:color="4F81BD"/>
              <w:left w:val="nil"/>
              <w:bottom w:val="single" w:sz="8" w:space="0" w:color="4F81BD"/>
              <w:right w:val="nil"/>
            </w:tcBorders>
            <w:shd w:val="clear" w:color="auto" w:fill="auto"/>
          </w:tcPr>
          <w:p w:rsidR="00417B65" w:rsidRPr="00417B65" w:rsidRDefault="00417B65" w:rsidP="003526AE">
            <w:pPr>
              <w:rPr>
                <w:b/>
              </w:rPr>
            </w:pPr>
            <w:r w:rsidRPr="00417B65">
              <w:rPr>
                <w:b/>
              </w:rPr>
              <w:t>Description</w:t>
            </w:r>
          </w:p>
        </w:tc>
      </w:tr>
      <w:tr w:rsidR="00417B65" w:rsidRPr="00EE0CC0" w:rsidTr="00E411E4">
        <w:tc>
          <w:tcPr>
            <w:tcW w:w="2235" w:type="dxa"/>
            <w:shd w:val="clear" w:color="auto" w:fill="auto"/>
          </w:tcPr>
          <w:p w:rsidR="00417B65" w:rsidRPr="00BD5D0E" w:rsidRDefault="00417B65" w:rsidP="00417B65">
            <w:pPr>
              <w:rPr>
                <w:rFonts w:cs="Arial"/>
                <w:b/>
                <w:bCs/>
                <w:color w:val="365F91"/>
                <w:sz w:val="22"/>
              </w:rPr>
            </w:pPr>
            <w:r>
              <w:object w:dxaOrig="60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5pt;height:19.75pt" o:ole="">
                  <v:imagedata r:id="rId19" o:title=""/>
                </v:shape>
                <o:OLEObject Type="Embed" ProgID="PBrush" ShapeID="_x0000_i1025" DrawAspect="Content" ObjectID="_1527509145" r:id="rId20"/>
              </w:object>
            </w:r>
            <w:r w:rsidRPr="00BD5D0E">
              <w:t xml:space="preserve"> </w:t>
            </w:r>
            <w:r w:rsidRPr="00417B65">
              <w:rPr>
                <w:b/>
              </w:rPr>
              <w:t>Verification</w:t>
            </w:r>
          </w:p>
        </w:tc>
        <w:tc>
          <w:tcPr>
            <w:tcW w:w="6977" w:type="dxa"/>
            <w:shd w:val="clear" w:color="auto" w:fill="auto"/>
            <w:vAlign w:val="center"/>
          </w:tcPr>
          <w:p w:rsidR="00417B65" w:rsidRPr="00BD5D0E" w:rsidRDefault="00417B65" w:rsidP="00E411E4">
            <w:r w:rsidRPr="00417B65">
              <w:rPr>
                <w:b/>
              </w:rPr>
              <w:t>Vérificateur</w:t>
            </w:r>
            <w:r w:rsidRPr="00BD5D0E">
              <w:t xml:space="preserve"> : Visualise le bon fonctionnement du processus</w:t>
            </w:r>
          </w:p>
        </w:tc>
      </w:tr>
      <w:tr w:rsidR="00417B65" w:rsidRPr="00EE0CC0" w:rsidTr="00E411E4">
        <w:tc>
          <w:tcPr>
            <w:tcW w:w="2235" w:type="dxa"/>
            <w:shd w:val="clear" w:color="auto" w:fill="auto"/>
          </w:tcPr>
          <w:p w:rsidR="00417B65" w:rsidRPr="00E411E4" w:rsidRDefault="00417B65" w:rsidP="003526AE">
            <w:pPr>
              <w:rPr>
                <w:rFonts w:cs="Arial"/>
                <w:b/>
                <w:bCs/>
                <w:color w:val="365F91"/>
                <w:sz w:val="22"/>
              </w:rPr>
            </w:pPr>
            <w:r w:rsidRPr="00E411E4">
              <w:rPr>
                <w:b/>
              </w:rPr>
              <w:object w:dxaOrig="555" w:dyaOrig="480">
                <v:shape id="_x0000_i1026" type="#_x0000_t75" style="width:27.55pt;height:24pt" o:ole="">
                  <v:imagedata r:id="rId21" o:title=""/>
                </v:shape>
                <o:OLEObject Type="Embed" ProgID="PBrush" ShapeID="_x0000_i1026" DrawAspect="Content" ObjectID="_1527509146" r:id="rId22"/>
              </w:object>
            </w:r>
            <w:r w:rsidRPr="00E411E4">
              <w:rPr>
                <w:b/>
              </w:rPr>
              <w:t xml:space="preserve"> </w:t>
            </w:r>
            <w:r w:rsidRPr="00E411E4">
              <w:rPr>
                <w:b/>
              </w:rPr>
              <w:t>Swap</w:t>
            </w:r>
          </w:p>
        </w:tc>
        <w:tc>
          <w:tcPr>
            <w:tcW w:w="6977" w:type="dxa"/>
            <w:shd w:val="clear" w:color="auto" w:fill="auto"/>
            <w:vAlign w:val="center"/>
          </w:tcPr>
          <w:p w:rsidR="00417B65" w:rsidRPr="00BD5D0E" w:rsidRDefault="00E411E4" w:rsidP="00E411E4">
            <w:r w:rsidRPr="00417B65">
              <w:rPr>
                <w:b/>
              </w:rPr>
              <w:t>Echange</w:t>
            </w:r>
            <w:r w:rsidRPr="00BD5D0E">
              <w:t xml:space="preserve"> : Communication d’égal à égal, utilisation / production interdépendante.</w:t>
            </w:r>
          </w:p>
        </w:tc>
      </w:tr>
      <w:tr w:rsidR="00417B65" w:rsidRPr="00EE0CC0" w:rsidTr="00E411E4">
        <w:tc>
          <w:tcPr>
            <w:tcW w:w="2235" w:type="dxa"/>
            <w:shd w:val="clear" w:color="auto" w:fill="auto"/>
          </w:tcPr>
          <w:p w:rsidR="00417B65" w:rsidRPr="00E411E4" w:rsidRDefault="00417B65" w:rsidP="003526AE">
            <w:pPr>
              <w:rPr>
                <w:rFonts w:cs="Arial"/>
                <w:b/>
                <w:bCs/>
                <w:color w:val="365F91"/>
                <w:sz w:val="22"/>
              </w:rPr>
            </w:pPr>
            <w:r w:rsidRPr="00E411E4">
              <w:rPr>
                <w:b/>
              </w:rPr>
              <w:object w:dxaOrig="645" w:dyaOrig="405">
                <v:shape id="_x0000_i1027" type="#_x0000_t75" style="width:32.45pt;height:20.45pt" o:ole="">
                  <v:imagedata r:id="rId23" o:title=""/>
                </v:shape>
                <o:OLEObject Type="Embed" ProgID="PBrush" ShapeID="_x0000_i1027" DrawAspect="Content" ObjectID="_1527509147" r:id="rId24"/>
              </w:object>
            </w:r>
            <w:r w:rsidRPr="00E411E4">
              <w:rPr>
                <w:b/>
              </w:rPr>
              <w:t xml:space="preserve"> </w:t>
            </w:r>
            <w:r w:rsidRPr="00E411E4">
              <w:rPr>
                <w:b/>
              </w:rPr>
              <w:t>Control</w:t>
            </w:r>
          </w:p>
        </w:tc>
        <w:tc>
          <w:tcPr>
            <w:tcW w:w="6977" w:type="dxa"/>
            <w:shd w:val="clear" w:color="auto" w:fill="auto"/>
            <w:vAlign w:val="center"/>
          </w:tcPr>
          <w:p w:rsidR="00417B65" w:rsidRPr="00BD5D0E" w:rsidRDefault="00E411E4" w:rsidP="00E411E4">
            <w:r w:rsidRPr="00417B65">
              <w:rPr>
                <w:b/>
              </w:rPr>
              <w:t>Contrôle</w:t>
            </w:r>
            <w:r w:rsidRPr="00BD5D0E">
              <w:t xml:space="preserve"> : Donne la direction, agit sur la consigne, administre</w:t>
            </w:r>
          </w:p>
        </w:tc>
      </w:tr>
      <w:tr w:rsidR="00417B65" w:rsidRPr="00EE0CC0" w:rsidTr="00E411E4">
        <w:tc>
          <w:tcPr>
            <w:tcW w:w="2235" w:type="dxa"/>
            <w:shd w:val="clear" w:color="auto" w:fill="auto"/>
          </w:tcPr>
          <w:p w:rsidR="00417B65" w:rsidRPr="00E411E4" w:rsidRDefault="00417B65" w:rsidP="003526AE">
            <w:pPr>
              <w:rPr>
                <w:rFonts w:cs="Arial"/>
                <w:b/>
                <w:bCs/>
                <w:color w:val="365F91"/>
                <w:sz w:val="22"/>
              </w:rPr>
            </w:pPr>
            <w:r w:rsidRPr="00E411E4">
              <w:rPr>
                <w:b/>
              </w:rPr>
              <w:object w:dxaOrig="615" w:dyaOrig="330">
                <v:shape id="_x0000_i1028" type="#_x0000_t75" style="width:31.05pt;height:16.25pt" o:ole="">
                  <v:imagedata r:id="rId25" o:title=""/>
                </v:shape>
                <o:OLEObject Type="Embed" ProgID="PBrush" ShapeID="_x0000_i1028" DrawAspect="Content" ObjectID="_1527509148" r:id="rId26"/>
              </w:object>
            </w:r>
            <w:r w:rsidRPr="00E411E4">
              <w:rPr>
                <w:b/>
              </w:rPr>
              <w:t xml:space="preserve"> </w:t>
            </w:r>
            <w:r w:rsidRPr="00E411E4">
              <w:rPr>
                <w:b/>
              </w:rPr>
              <w:t>Use</w:t>
            </w:r>
          </w:p>
        </w:tc>
        <w:tc>
          <w:tcPr>
            <w:tcW w:w="6977" w:type="dxa"/>
            <w:shd w:val="clear" w:color="auto" w:fill="auto"/>
            <w:vAlign w:val="center"/>
          </w:tcPr>
          <w:p w:rsidR="00417B65" w:rsidRPr="00BD5D0E" w:rsidRDefault="00E411E4" w:rsidP="00E411E4">
            <w:r w:rsidRPr="00417B65">
              <w:rPr>
                <w:b/>
              </w:rPr>
              <w:t>Utilisation</w:t>
            </w:r>
            <w:r w:rsidRPr="00BD5D0E">
              <w:t>, Consommation, Client : Besoin pour fonctionner (ressource, énergie, exécutant, …)</w:t>
            </w:r>
          </w:p>
        </w:tc>
      </w:tr>
      <w:tr w:rsidR="00417B65" w:rsidRPr="00EE0CC0" w:rsidTr="00E411E4">
        <w:tc>
          <w:tcPr>
            <w:tcW w:w="2235" w:type="dxa"/>
            <w:shd w:val="clear" w:color="auto" w:fill="auto"/>
          </w:tcPr>
          <w:p w:rsidR="00417B65" w:rsidRPr="00E411E4" w:rsidRDefault="00E411E4" w:rsidP="003526AE">
            <w:pPr>
              <w:rPr>
                <w:rFonts w:cs="Arial"/>
                <w:b/>
                <w:bCs/>
                <w:color w:val="365F91"/>
                <w:sz w:val="22"/>
              </w:rPr>
            </w:pPr>
            <w:r w:rsidRPr="00E411E4">
              <w:rPr>
                <w:b/>
              </w:rPr>
              <w:object w:dxaOrig="675" w:dyaOrig="345">
                <v:shape id="_x0000_i1029" type="#_x0000_t75" style="width:33.9pt;height:16.95pt" o:ole="">
                  <v:imagedata r:id="rId27" o:title=""/>
                </v:shape>
                <o:OLEObject Type="Embed" ProgID="PBrush" ShapeID="_x0000_i1029" DrawAspect="Content" ObjectID="_1527509149" r:id="rId28"/>
              </w:object>
            </w:r>
            <w:r w:rsidR="00417B65" w:rsidRPr="00E411E4">
              <w:rPr>
                <w:b/>
              </w:rPr>
              <w:t xml:space="preserve"> </w:t>
            </w:r>
            <w:proofErr w:type="spellStart"/>
            <w:r w:rsidR="00417B65" w:rsidRPr="00E411E4">
              <w:rPr>
                <w:b/>
              </w:rPr>
              <w:t>Produce</w:t>
            </w:r>
            <w:proofErr w:type="spellEnd"/>
          </w:p>
        </w:tc>
        <w:tc>
          <w:tcPr>
            <w:tcW w:w="6977" w:type="dxa"/>
            <w:shd w:val="clear" w:color="auto" w:fill="auto"/>
            <w:vAlign w:val="center"/>
          </w:tcPr>
          <w:p w:rsidR="00417B65" w:rsidRPr="00BD5D0E" w:rsidRDefault="00E411E4" w:rsidP="00E411E4">
            <w:r w:rsidRPr="00417B65">
              <w:rPr>
                <w:b/>
              </w:rPr>
              <w:t>Développeur</w:t>
            </w:r>
            <w:r w:rsidRPr="00BD5D0E">
              <w:t>, Producteur, Fournisseur : Réalise un objet, une ressource</w:t>
            </w:r>
          </w:p>
        </w:tc>
      </w:tr>
      <w:tr w:rsidR="00417B65" w:rsidRPr="00EE0CC0" w:rsidTr="00E411E4">
        <w:tc>
          <w:tcPr>
            <w:tcW w:w="2235" w:type="dxa"/>
            <w:shd w:val="clear" w:color="auto" w:fill="auto"/>
          </w:tcPr>
          <w:p w:rsidR="00417B65" w:rsidRPr="00E411E4" w:rsidRDefault="00E411E4" w:rsidP="00E411E4">
            <w:pPr>
              <w:rPr>
                <w:rFonts w:cs="Arial"/>
                <w:b/>
                <w:bCs/>
                <w:color w:val="365F91"/>
                <w:sz w:val="22"/>
              </w:rPr>
            </w:pPr>
            <w:r w:rsidRPr="00E411E4">
              <w:rPr>
                <w:b/>
              </w:rPr>
              <w:object w:dxaOrig="705" w:dyaOrig="330">
                <v:shape id="_x0000_i1031" type="#_x0000_t75" style="width:35.3pt;height:16.25pt" o:ole="">
                  <v:imagedata r:id="rId29" o:title=""/>
                </v:shape>
                <o:OLEObject Type="Embed" ProgID="PBrush" ShapeID="_x0000_i1031" DrawAspect="Content" ObjectID="_1527509150" r:id="rId30"/>
              </w:object>
            </w:r>
            <w:r w:rsidR="00417B65" w:rsidRPr="00E411E4">
              <w:rPr>
                <w:rFonts w:cs="Arial"/>
                <w:b/>
                <w:bCs/>
                <w:color w:val="365F91"/>
                <w:sz w:val="22"/>
              </w:rPr>
              <w:t xml:space="preserve"> </w:t>
            </w:r>
            <w:proofErr w:type="spellStart"/>
            <w:r w:rsidR="00417B65" w:rsidRPr="00E411E4">
              <w:rPr>
                <w:b/>
              </w:rPr>
              <w:t>Maintain</w:t>
            </w:r>
            <w:proofErr w:type="spellEnd"/>
            <w:r w:rsidR="00417B65" w:rsidRPr="00E411E4">
              <w:rPr>
                <w:b/>
              </w:rPr>
              <w:t xml:space="preserve"> </w:t>
            </w:r>
          </w:p>
        </w:tc>
        <w:tc>
          <w:tcPr>
            <w:tcW w:w="6977" w:type="dxa"/>
            <w:shd w:val="clear" w:color="auto" w:fill="auto"/>
            <w:vAlign w:val="center"/>
          </w:tcPr>
          <w:p w:rsidR="00417B65" w:rsidRPr="00BD5D0E" w:rsidRDefault="00E411E4" w:rsidP="00E411E4">
            <w:r w:rsidRPr="00417B65">
              <w:rPr>
                <w:b/>
              </w:rPr>
              <w:t>Maintenance</w:t>
            </w:r>
            <w:r w:rsidRPr="00BD5D0E">
              <w:t xml:space="preserve"> : Agit partiellement sur la constitution d’objet, l’état, …</w:t>
            </w:r>
          </w:p>
        </w:tc>
      </w:tr>
      <w:tr w:rsidR="00417B65" w:rsidRPr="00EE0CC0" w:rsidTr="00E411E4">
        <w:tc>
          <w:tcPr>
            <w:tcW w:w="2235" w:type="dxa"/>
            <w:shd w:val="clear" w:color="auto" w:fill="auto"/>
          </w:tcPr>
          <w:p w:rsidR="00417B65" w:rsidRPr="00BD5D0E" w:rsidRDefault="00E411E4" w:rsidP="00E411E4">
            <w:pPr>
              <w:rPr>
                <w:rFonts w:cs="Arial"/>
                <w:b/>
                <w:bCs/>
                <w:color w:val="365F91"/>
                <w:sz w:val="22"/>
              </w:rPr>
            </w:pPr>
            <w:r>
              <w:object w:dxaOrig="540" w:dyaOrig="480">
                <v:shape id="_x0000_i1030" type="#_x0000_t75" style="width:26.8pt;height:24pt" o:ole="">
                  <v:imagedata r:id="rId31" o:title=""/>
                </v:shape>
                <o:OLEObject Type="Embed" ProgID="PBrush" ShapeID="_x0000_i1030" DrawAspect="Content" ObjectID="_1527509151" r:id="rId32"/>
              </w:object>
            </w:r>
            <w:r w:rsidR="00417B65" w:rsidRPr="00417B65">
              <w:rPr>
                <w:b/>
              </w:rPr>
              <w:t xml:space="preserve"> </w:t>
            </w:r>
            <w:proofErr w:type="spellStart"/>
            <w:r>
              <w:rPr>
                <w:b/>
              </w:rPr>
              <w:t>adt</w:t>
            </w:r>
            <w:proofErr w:type="spellEnd"/>
          </w:p>
        </w:tc>
        <w:tc>
          <w:tcPr>
            <w:tcW w:w="6977" w:type="dxa"/>
            <w:shd w:val="clear" w:color="auto" w:fill="auto"/>
            <w:vAlign w:val="center"/>
          </w:tcPr>
          <w:p w:rsidR="00417B65" w:rsidRPr="00E411E4" w:rsidRDefault="00E411E4" w:rsidP="00E411E4">
            <w:pPr>
              <w:rPr>
                <w:b/>
              </w:rPr>
            </w:pPr>
            <w:r w:rsidRPr="00E411E4">
              <w:rPr>
                <w:b/>
              </w:rPr>
              <w:t>Au travers de</w:t>
            </w:r>
          </w:p>
        </w:tc>
      </w:tr>
    </w:tbl>
    <w:p w:rsidR="00FD26DD" w:rsidRDefault="00FD26DD" w:rsidP="00FD26DD">
      <w:pPr>
        <w:rPr>
          <w:rFonts w:cs="Arial"/>
          <w:noProof/>
        </w:rPr>
      </w:pPr>
      <w:bookmarkStart w:id="4" w:name="_Toc427943482"/>
    </w:p>
    <w:p w:rsidR="00FD26DD" w:rsidRDefault="00FD26DD" w:rsidP="00FD26DD">
      <w:r>
        <w:t xml:space="preserve">Un des intérêts de ce modèle de connaissances est la capacité de modéliser des systèmes à différents niveaux d’abstraction ou de raffinement. </w:t>
      </w:r>
      <w:r w:rsidR="00E411E4">
        <w:t xml:space="preserve">PimCa peut être utilisé par exemple pour </w:t>
      </w:r>
      <w:r>
        <w:t xml:space="preserve">décrire </w:t>
      </w:r>
      <w:r w:rsidR="00E411E4">
        <w:t>un</w:t>
      </w:r>
      <w:r>
        <w:t xml:space="preserve"> système numérique dans son contexte mais aussi les différentes architectures </w:t>
      </w:r>
      <w:r w:rsidR="00E411E4">
        <w:t>associées</w:t>
      </w:r>
      <w:r>
        <w:t>.</w:t>
      </w:r>
    </w:p>
    <w:p w:rsidR="00FD26DD" w:rsidRDefault="00FD26DD" w:rsidP="00FD26DD"/>
    <w:p w:rsidR="00FD26DD" w:rsidRPr="00EE0CC0" w:rsidRDefault="00FD26DD" w:rsidP="0019559B">
      <w:pPr>
        <w:pStyle w:val="Titre2"/>
      </w:pPr>
      <w:bookmarkStart w:id="5" w:name="_Toc448842438"/>
      <w:r w:rsidRPr="00EE0CC0">
        <w:t xml:space="preserve">Le </w:t>
      </w:r>
      <w:r>
        <w:t>modèle de scénarii</w:t>
      </w:r>
      <w:r w:rsidRPr="00EE0CC0">
        <w:t xml:space="preserve"> d’attaque</w:t>
      </w:r>
      <w:bookmarkEnd w:id="4"/>
      <w:bookmarkEnd w:id="5"/>
    </w:p>
    <w:p w:rsidR="00FD26DD" w:rsidRDefault="00FD26DD" w:rsidP="009567F1">
      <w:pPr>
        <w:ind w:firstLine="284"/>
      </w:pPr>
      <w:r>
        <w:t>Ce modèle</w:t>
      </w:r>
      <w:r w:rsidRPr="00EE0CC0">
        <w:t xml:space="preserve"> </w:t>
      </w:r>
      <w:r>
        <w:t xml:space="preserve">de scénarios </w:t>
      </w:r>
      <w:r w:rsidRPr="00EE0CC0">
        <w:t>d’attaque regroupe l’ensemble des possibles</w:t>
      </w:r>
      <w:r>
        <w:t xml:space="preserve"> et représente </w:t>
      </w:r>
      <w:r w:rsidRPr="00EE0CC0">
        <w:t xml:space="preserve">un support </w:t>
      </w:r>
      <w:r>
        <w:t>d’analyse</w:t>
      </w:r>
      <w:r w:rsidRPr="00EE0CC0">
        <w:t xml:space="preserve"> </w:t>
      </w:r>
      <w:r>
        <w:t>pour la sélection</w:t>
      </w:r>
      <w:r w:rsidRPr="00EE0CC0">
        <w:t xml:space="preserve"> du chemin d’attaque le plus sûr. </w:t>
      </w:r>
      <w:r>
        <w:t>Ce modèle est basé sur l</w:t>
      </w:r>
      <w:r w:rsidRPr="00EE0CC0">
        <w:t>e séquencement des activités définissant un scenario, ou plusieurs, qui peut être séquentiel ou parallèle.</w:t>
      </w:r>
      <w:r>
        <w:t xml:space="preserve"> Ces scénarii sont basés sur les éléments structuraux du modèle de connaissance associés aux activités qui sont : observer le système, raisonner sur le système et agir sur le système. Différentes actions pour agir sur le système étant possibles. Sans détailler plus avant ces différentes actions, nous pouvons noter que dans un premier temps nous nous attacherons aux actions d’observation et de raisonnement, dans le sens où nous chercherons à évaluer les observations effectuées.</w:t>
      </w:r>
    </w:p>
    <w:p w:rsidR="000B0B31" w:rsidRDefault="000B0B31">
      <w:r>
        <w:br w:type="page"/>
      </w:r>
    </w:p>
    <w:p w:rsidR="0019559B" w:rsidRDefault="0019559B" w:rsidP="0019559B">
      <w:pPr>
        <w:pStyle w:val="Titre1"/>
      </w:pPr>
      <w:r>
        <w:lastRenderedPageBreak/>
        <w:t>PimCa-Light</w:t>
      </w:r>
    </w:p>
    <w:p w:rsidR="000B0B31" w:rsidRDefault="00F77109" w:rsidP="00F77109">
      <w:pPr>
        <w:ind w:firstLine="360"/>
      </w:pPr>
      <w:r>
        <w:rPr>
          <w:noProof/>
          <w:lang w:eastAsia="fr-FR"/>
        </w:rPr>
        <w:drawing>
          <wp:anchor distT="0" distB="0" distL="114300" distR="114300" simplePos="0" relativeHeight="251658240" behindDoc="1" locked="0" layoutInCell="1" allowOverlap="1" wp14:anchorId="5FBE97AD" wp14:editId="2DCDAFED">
            <wp:simplePos x="0" y="0"/>
            <wp:positionH relativeFrom="column">
              <wp:posOffset>-276860</wp:posOffset>
            </wp:positionH>
            <wp:positionV relativeFrom="paragraph">
              <wp:posOffset>1009650</wp:posOffset>
            </wp:positionV>
            <wp:extent cx="6377940" cy="4905375"/>
            <wp:effectExtent l="0" t="0" r="3810" b="9525"/>
            <wp:wrapThrough wrapText="bothSides">
              <wp:wrapPolygon edited="0">
                <wp:start x="0" y="0"/>
                <wp:lineTo x="0" y="21558"/>
                <wp:lineTo x="21548" y="21558"/>
                <wp:lineTo x="21548"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mcaLightMetaModel.PNG"/>
                    <pic:cNvPicPr/>
                  </pic:nvPicPr>
                  <pic:blipFill>
                    <a:blip r:embed="rId33">
                      <a:extLst>
                        <a:ext uri="{28A0092B-C50C-407E-A947-70E740481C1C}">
                          <a14:useLocalDpi xmlns:a14="http://schemas.microsoft.com/office/drawing/2010/main" val="0"/>
                        </a:ext>
                      </a:extLst>
                    </a:blip>
                    <a:stretch>
                      <a:fillRect/>
                    </a:stretch>
                  </pic:blipFill>
                  <pic:spPr>
                    <a:xfrm>
                      <a:off x="0" y="0"/>
                      <a:ext cx="6377940" cy="4905375"/>
                    </a:xfrm>
                    <a:prstGeom prst="rect">
                      <a:avLst/>
                    </a:prstGeom>
                  </pic:spPr>
                </pic:pic>
              </a:graphicData>
            </a:graphic>
            <wp14:sizeRelH relativeFrom="margin">
              <wp14:pctWidth>0</wp14:pctWidth>
            </wp14:sizeRelH>
            <wp14:sizeRelV relativeFrom="margin">
              <wp14:pctHeight>0</wp14:pctHeight>
            </wp14:sizeRelV>
          </wp:anchor>
        </w:drawing>
      </w:r>
      <w:r w:rsidR="009567F1">
        <w:rPr>
          <w:lang w:eastAsia="fr-FR"/>
        </w:rPr>
        <w:t xml:space="preserve">PimCa-Light est une simplification du langage PimCa. Cette simplification doit permettre de décrire notre système étudié grâce </w:t>
      </w:r>
      <w:r w:rsidR="00302580">
        <w:rPr>
          <w:lang w:eastAsia="fr-FR"/>
        </w:rPr>
        <w:t>à</w:t>
      </w:r>
      <w:r w:rsidR="009567F1">
        <w:rPr>
          <w:lang w:eastAsia="fr-FR"/>
        </w:rPr>
        <w:t xml:space="preserve"> </w:t>
      </w:r>
      <w:r w:rsidR="00302580">
        <w:t>l</w:t>
      </w:r>
      <w:r w:rsidR="00302580" w:rsidRPr="00EE0CC0">
        <w:t>'outillage</w:t>
      </w:r>
      <w:r w:rsidR="00302580">
        <w:t xml:space="preserve">, c’est pourquoi </w:t>
      </w:r>
      <w:r>
        <w:t xml:space="preserve">seules </w:t>
      </w:r>
      <w:r w:rsidR="00302580">
        <w:t>les notions utiles à notre cas d’étude ont été gardées.</w:t>
      </w:r>
    </w:p>
    <w:p w:rsidR="00F77109" w:rsidRDefault="00F77109" w:rsidP="00F77109">
      <w:pPr>
        <w:ind w:firstLine="360"/>
        <w:rPr>
          <w:noProof/>
          <w:lang w:eastAsia="fr-FR"/>
        </w:rPr>
      </w:pPr>
      <w:r w:rsidRPr="00F77109">
        <w:rPr>
          <w:noProof/>
          <w:lang w:eastAsia="fr-FR"/>
        </w:rPr>
        <w:t xml:space="preserve"> </w:t>
      </w:r>
    </w:p>
    <w:p w:rsidR="00F77109" w:rsidRDefault="00F77109" w:rsidP="00F77109">
      <w:pPr>
        <w:pStyle w:val="Lgende"/>
      </w:pPr>
      <w:r>
        <w:t xml:space="preserve">Figure </w:t>
      </w:r>
      <w:r>
        <w:fldChar w:fldCharType="begin"/>
      </w:r>
      <w:r>
        <w:instrText xml:space="preserve"> SEQ Figure \* ARABIC </w:instrText>
      </w:r>
      <w:r>
        <w:fldChar w:fldCharType="separate"/>
      </w:r>
      <w:r w:rsidR="00DD2978">
        <w:rPr>
          <w:noProof/>
        </w:rPr>
        <w:t>3</w:t>
      </w:r>
      <w:r>
        <w:fldChar w:fldCharType="end"/>
      </w:r>
      <w:r>
        <w:t>:</w:t>
      </w:r>
      <w:proofErr w:type="spellStart"/>
      <w:r>
        <w:t>Metamodèle</w:t>
      </w:r>
      <w:proofErr w:type="spellEnd"/>
      <w:r>
        <w:t xml:space="preserve"> de PimCa-Light</w:t>
      </w:r>
    </w:p>
    <w:p w:rsidR="000B0B31" w:rsidRDefault="000B0B31" w:rsidP="00281E9E">
      <w:pPr>
        <w:rPr>
          <w:lang w:eastAsia="fr-FR"/>
        </w:rPr>
      </w:pPr>
    </w:p>
    <w:p w:rsidR="00281E9E" w:rsidRDefault="00DD2978" w:rsidP="00281E9E">
      <w:pPr>
        <w:rPr>
          <w:lang w:eastAsia="fr-FR"/>
        </w:rPr>
      </w:pPr>
      <w:r>
        <w:rPr>
          <w:lang w:eastAsia="fr-FR"/>
        </w:rPr>
        <w:t>Le méta model présenté dans la figure 3 permet d’instancié un model PimCa représentant le system étudié dans le cas d’usage.</w:t>
      </w:r>
      <w:bookmarkStart w:id="6" w:name="_GoBack"/>
      <w:bookmarkEnd w:id="6"/>
    </w:p>
    <w:p w:rsidR="00DD2978" w:rsidRDefault="00DD2978" w:rsidP="00281E9E">
      <w:pPr>
        <w:rPr>
          <w:lang w:eastAsia="fr-FR"/>
        </w:rPr>
      </w:pPr>
      <w:r>
        <w:rPr>
          <w:noProof/>
          <w:lang w:eastAsia="fr-FR"/>
        </w:rPr>
        <w:lastRenderedPageBreak/>
        <w:drawing>
          <wp:inline distT="0" distB="0" distL="0" distR="0">
            <wp:extent cx="5760720" cy="31235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wledge Model Diagram.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DD2978" w:rsidRDefault="00DD2978" w:rsidP="00DD2978">
      <w:pPr>
        <w:pStyle w:val="Lgende"/>
      </w:pPr>
      <w:r>
        <w:t xml:space="preserve">Figure </w:t>
      </w:r>
      <w:r>
        <w:fldChar w:fldCharType="begin"/>
      </w:r>
      <w:r>
        <w:instrText xml:space="preserve"> SEQ Figure \* ARABIC </w:instrText>
      </w:r>
      <w:r>
        <w:fldChar w:fldCharType="separate"/>
      </w:r>
      <w:r>
        <w:rPr>
          <w:noProof/>
        </w:rPr>
        <w:t>4</w:t>
      </w:r>
      <w:r>
        <w:fldChar w:fldCharType="end"/>
      </w:r>
      <w:r>
        <w:t>: Modèle PimCa d'un system de reconnaissance de forme</w:t>
      </w:r>
    </w:p>
    <w:p w:rsidR="000B0B31" w:rsidRPr="00EE0CC0" w:rsidRDefault="000B0B31" w:rsidP="000B0B31">
      <w:r>
        <w:rPr>
          <w:lang w:eastAsia="fr-FR"/>
        </w:rPr>
        <w:t xml:space="preserve">Le système présenté dans la figure 4 est </w:t>
      </w:r>
      <w:r>
        <w:t>un</w:t>
      </w:r>
      <w:r>
        <w:t xml:space="preserve"> système cyber physique(CPS) </w:t>
      </w:r>
      <w:r>
        <w:t xml:space="preserve"> </w:t>
      </w:r>
      <w:r w:rsidRPr="00EE0CC0">
        <w:t xml:space="preserve">qui se compose d'un FPGA pour la récupération et </w:t>
      </w:r>
      <w:r>
        <w:t xml:space="preserve">le </w:t>
      </w:r>
      <w:proofErr w:type="spellStart"/>
      <w:r w:rsidRPr="00EE0CC0">
        <w:t>pré-traitement</w:t>
      </w:r>
      <w:proofErr w:type="spellEnd"/>
      <w:r w:rsidRPr="00EE0CC0">
        <w:t xml:space="preserve"> du flux vidéo, lui-même relié à un processeur au travers de son banc de registres. Il est possible d'accéder au processeur par communication réseau via une liaison Ethernet. </w:t>
      </w:r>
    </w:p>
    <w:p w:rsidR="000B0B31" w:rsidRPr="000B0B31" w:rsidRDefault="000B0B31" w:rsidP="000B0B31">
      <w:pPr>
        <w:rPr>
          <w:lang w:eastAsia="fr-FR"/>
        </w:rPr>
      </w:pPr>
    </w:p>
    <w:sectPr w:rsidR="000B0B31" w:rsidRPr="000B0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name w:val="WW8Num17"/>
    <w:lvl w:ilvl="0">
      <w:start w:val="1"/>
      <w:numFmt w:val="decimal"/>
      <w:lvlText w:val="%1."/>
      <w:lvlJc w:val="left"/>
      <w:pPr>
        <w:tabs>
          <w:tab w:val="num" w:pos="360"/>
        </w:tabs>
        <w:ind w:left="360" w:hanging="360"/>
      </w:pPr>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start w:val="1"/>
      <w:numFmt w:val="decimal"/>
      <w:suff w:val="nothing"/>
      <w:lvlText w:val="%1.%2.%3.%4.%5.%6.%7.%8.%9"/>
      <w:lvlJc w:val="left"/>
    </w:lvl>
  </w:abstractNum>
  <w:abstractNum w:abstractNumId="1">
    <w:nsid w:val="08D920BE"/>
    <w:multiLevelType w:val="multilevel"/>
    <w:tmpl w:val="98AED89A"/>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0E3159D"/>
    <w:multiLevelType w:val="multilevel"/>
    <w:tmpl w:val="0FB0391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323805"/>
    <w:multiLevelType w:val="hybridMultilevel"/>
    <w:tmpl w:val="1222FC84"/>
    <w:lvl w:ilvl="0" w:tplc="D058558A">
      <w:start w:val="1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6DD"/>
    <w:rsid w:val="00011C1F"/>
    <w:rsid w:val="000B0B31"/>
    <w:rsid w:val="0019559B"/>
    <w:rsid w:val="00281E9E"/>
    <w:rsid w:val="002E624A"/>
    <w:rsid w:val="00302580"/>
    <w:rsid w:val="00417B65"/>
    <w:rsid w:val="007C395E"/>
    <w:rsid w:val="008A02CB"/>
    <w:rsid w:val="009567F1"/>
    <w:rsid w:val="00B265F6"/>
    <w:rsid w:val="00C92A36"/>
    <w:rsid w:val="00DD2978"/>
    <w:rsid w:val="00E411E4"/>
    <w:rsid w:val="00F77109"/>
    <w:rsid w:val="00FD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FD26DD"/>
    <w:pPr>
      <w:keepNext/>
      <w:keepLines/>
      <w:numPr>
        <w:numId w:val="11"/>
      </w:numPr>
      <w:spacing w:after="240" w:line="240" w:lineRule="auto"/>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FD26DD"/>
    <w:pPr>
      <w:keepNext/>
      <w:keepLines/>
      <w:numPr>
        <w:ilvl w:val="1"/>
        <w:numId w:val="10"/>
      </w:numPr>
      <w:spacing w:after="0" w:line="360" w:lineRule="auto"/>
      <w:ind w:left="862" w:hanging="578"/>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FD26DD"/>
    <w:pPr>
      <w:keepNext/>
      <w:keepLines/>
      <w:numPr>
        <w:ilvl w:val="2"/>
        <w:numId w:val="10"/>
      </w:numPr>
      <w:spacing w:after="240" w:line="240" w:lineRule="auto"/>
      <w:ind w:left="1287"/>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FD26DD"/>
    <w:pPr>
      <w:keepNext/>
      <w:keepLines/>
      <w:numPr>
        <w:ilvl w:val="3"/>
        <w:numId w:val="10"/>
      </w:numPr>
      <w:spacing w:after="240" w:line="240" w:lineRule="auto"/>
      <w:ind w:left="1713" w:hanging="862"/>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FD26DD"/>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D26DD"/>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FD26DD"/>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FD26DD"/>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FD26DD"/>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FD26DD"/>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FD26DD"/>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26DD"/>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FD26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FD26DD"/>
    <w:pPr>
      <w:keepNext/>
      <w:keepLines/>
      <w:numPr>
        <w:numId w:val="11"/>
      </w:numPr>
      <w:spacing w:after="240" w:line="240" w:lineRule="auto"/>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FD26DD"/>
    <w:pPr>
      <w:keepNext/>
      <w:keepLines/>
      <w:numPr>
        <w:ilvl w:val="1"/>
        <w:numId w:val="10"/>
      </w:numPr>
      <w:spacing w:after="0" w:line="360" w:lineRule="auto"/>
      <w:ind w:left="862" w:hanging="578"/>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FD26DD"/>
    <w:pPr>
      <w:keepNext/>
      <w:keepLines/>
      <w:numPr>
        <w:ilvl w:val="2"/>
        <w:numId w:val="10"/>
      </w:numPr>
      <w:spacing w:after="240" w:line="240" w:lineRule="auto"/>
      <w:ind w:left="1287"/>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FD26DD"/>
    <w:pPr>
      <w:keepNext/>
      <w:keepLines/>
      <w:numPr>
        <w:ilvl w:val="3"/>
        <w:numId w:val="10"/>
      </w:numPr>
      <w:spacing w:after="240" w:line="240" w:lineRule="auto"/>
      <w:ind w:left="1713" w:hanging="862"/>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FD26DD"/>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D26DD"/>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FD26DD"/>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FD26DD"/>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FD26DD"/>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FD26DD"/>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FD26DD"/>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26DD"/>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FD26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oleObject" Target="embeddings/oleObject5.bin"/><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7.png"/><Relationship Id="rId30" Type="http://schemas.openxmlformats.org/officeDocument/2006/relationships/oleObject" Target="embeddings/oleObject6.bin"/><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226C4-9D38-4B07-B661-9D51B52A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919</Words>
  <Characters>5058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7</cp:revision>
  <dcterms:created xsi:type="dcterms:W3CDTF">2016-06-15T09:33:00Z</dcterms:created>
  <dcterms:modified xsi:type="dcterms:W3CDTF">2016-06-15T13:18:00Z</dcterms:modified>
</cp:coreProperties>
</file>