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e565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1515"/>
        <w:gridCol w:w="1470"/>
        <w:gridCol w:w="1455"/>
        <w:gridCol w:w="1410"/>
        <w:gridCol w:w="1380"/>
        <w:gridCol w:w="1395"/>
        <w:tblGridChange w:id="0">
          <w:tblGrid>
            <w:gridCol w:w="585"/>
            <w:gridCol w:w="1515"/>
            <w:gridCol w:w="1470"/>
            <w:gridCol w:w="1455"/>
            <w:gridCol w:w="1410"/>
            <w:gridCol w:w="1380"/>
            <w:gridCol w:w="13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Orçado 2018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Liquidado 2018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Orçado 2019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Liquidado 2019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Orçado 2020</w:t>
            </w:r>
          </w:p>
        </w:tc>
        <w:tc>
          <w:tcPr>
            <w:tcBorders>
              <w:bottom w:color="000000" w:space="0" w:sz="6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Liquidado 2020</w:t>
            </w:r>
          </w:p>
        </w:tc>
      </w:tr>
      <w:tr>
        <w:trPr>
          <w:cantSplit w:val="0"/>
          <w:trHeight w:val="403.432617187499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97.300.370,00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10.422.700,47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76.288.544,00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13.987.629,91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303.845.101,00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5.246.785,00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56.963,90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4.397.701,00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24.533.100,00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129.829,00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20"/>
                <w:szCs w:val="20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9.318.953,34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8.992.681,00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992.681,00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10.334.104,00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5.430.503,48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9.450.880,00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23.785.425,68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505.547.297,00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20"/>
                <w:szCs w:val="20"/>
                <w:rtl w:val="0"/>
              </w:rPr>
              <w:t xml:space="preserve"> 12.406.701,10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216.341.186,00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3.864.500,92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384.672.059,00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130.002,06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41.116.074,00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50.694.009,86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26.475.159,00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65.321.337,22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2.073.000,00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40.805.664,17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05957031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2096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191.974.853,53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2098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61.166,00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63.192,00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33.655.535,75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2099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37.553.649,34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6.000,00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13.700.000,00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5.344.378,80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13.920.000,00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14.450.000,00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02978515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14.095.811,00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3.570.485,83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15.595.811,00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4.071.126,00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15.595.811,00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2.217.276,00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3746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1.000,00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4656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44.144.500,00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27.014.212,23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44.144.500,00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22.778.895,72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44.144.500,00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11.434.013,22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730.225.518,00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110.502.133,19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407.581.171,00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153.007.642,59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798.850.643,00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3e5656"/>
                <w:sz w:val="18"/>
                <w:szCs w:val="18"/>
                <w:rtl w:val="0"/>
              </w:rPr>
              <w:t xml:space="preserve"> 313.451.552,75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firstLine="720"/>
        <w:rPr>
          <w:color w:val="3e56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color w:val="3e5656"/>
          <w:sz w:val="20"/>
          <w:szCs w:val="20"/>
        </w:rPr>
      </w:pPr>
      <w:r w:rsidDel="00000000" w:rsidR="00000000" w:rsidRPr="00000000">
        <w:rPr>
          <w:color w:val="3e5656"/>
          <w:sz w:val="20"/>
          <w:szCs w:val="20"/>
          <w:rtl w:val="0"/>
        </w:rPr>
        <w:t xml:space="preserve">A análise orçamentária de todos os programas mostra uma baixa liquidação dos valores orçados, e a não realização de diversos planos, especialmente aqueles com orçamentos mais baixos. A soma dos valores liquidados pela prefeitura de São Paulo nos 3 anos analisados ficou abaixo de 30%, e não é apresentado no documento de execução orçamentária um motivo para isso acontecer.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765338</wp:posOffset>
            </wp:positionH>
            <wp:positionV relativeFrom="paragraph">
              <wp:posOffset>912025</wp:posOffset>
            </wp:positionV>
            <wp:extent cx="4195763" cy="2596128"/>
            <wp:effectExtent b="0" l="0" r="0" t="0"/>
            <wp:wrapTopAndBottom distB="114300" distT="11430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596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firstLine="720"/>
        <w:jc w:val="both"/>
        <w:rPr>
          <w:color w:val="3e5656"/>
          <w:sz w:val="20"/>
          <w:szCs w:val="20"/>
        </w:rPr>
      </w:pPr>
      <w:r w:rsidDel="00000000" w:rsidR="00000000" w:rsidRPr="00000000">
        <w:rPr>
          <w:color w:val="3e5656"/>
          <w:sz w:val="20"/>
          <w:szCs w:val="20"/>
          <w:rtl w:val="0"/>
        </w:rPr>
        <w:t xml:space="preserve">Apesar de o orçamento para os anos de 2018 e 2020 serem bem próximos, pode-se ver que o executado no ano de 2020 foi maior que nos outros dois anos somados, sendo a maioria das execuções orçamentárias executada em reformas grandes, mesmo em um ano de pandemia. </w:t>
      </w:r>
    </w:p>
    <w:p w:rsidR="00000000" w:rsidDel="00000000" w:rsidP="00000000" w:rsidRDefault="00000000" w:rsidRPr="00000000" w14:paraId="00000091">
      <w:pPr>
        <w:ind w:firstLine="720"/>
        <w:jc w:val="both"/>
        <w:rPr>
          <w:color w:val="3e5656"/>
          <w:sz w:val="20"/>
          <w:szCs w:val="20"/>
        </w:rPr>
      </w:pPr>
      <w:r w:rsidDel="00000000" w:rsidR="00000000" w:rsidRPr="00000000">
        <w:rPr>
          <w:color w:val="3e5656"/>
          <w:sz w:val="20"/>
          <w:szCs w:val="20"/>
          <w:rtl w:val="0"/>
        </w:rPr>
        <w:t xml:space="preserve">Dentro dos 3 anos observamos que os planos 1240, 2099, 3380, 3742, 3743, 3746 não tiveram qualquer quantia liquidada.</w:t>
      </w:r>
    </w:p>
    <w:p w:rsidR="00000000" w:rsidDel="00000000" w:rsidP="00000000" w:rsidRDefault="00000000" w:rsidRPr="00000000" w14:paraId="00000092">
      <w:pPr>
        <w:ind w:firstLine="720"/>
        <w:jc w:val="both"/>
        <w:rPr>
          <w:color w:val="3e5656"/>
          <w:sz w:val="20"/>
          <w:szCs w:val="20"/>
        </w:rPr>
      </w:pPr>
      <w:r w:rsidDel="00000000" w:rsidR="00000000" w:rsidRPr="00000000">
        <w:rPr>
          <w:color w:val="3e5656"/>
          <w:sz w:val="20"/>
          <w:szCs w:val="20"/>
          <w:rtl w:val="0"/>
        </w:rPr>
        <w:t xml:space="preserve">O plano 1099 - Construção de Corredores de Ônibus era o plano com maior orçamento planejado, mas nos 3 anos analisados teve uma execução abaixo de 1,5% do planejado.</w:t>
      </w:r>
    </w:p>
    <w:p w:rsidR="00000000" w:rsidDel="00000000" w:rsidP="00000000" w:rsidRDefault="00000000" w:rsidRPr="00000000" w14:paraId="00000093">
      <w:pPr>
        <w:ind w:firstLine="720"/>
        <w:jc w:val="both"/>
        <w:rPr>
          <w:color w:val="3e5656"/>
          <w:sz w:val="20"/>
          <w:szCs w:val="20"/>
        </w:rPr>
      </w:pPr>
      <w:r w:rsidDel="00000000" w:rsidR="00000000" w:rsidRPr="00000000">
        <w:rPr>
          <w:color w:val="3e5656"/>
          <w:sz w:val="20"/>
          <w:szCs w:val="20"/>
          <w:rtl w:val="0"/>
        </w:rPr>
        <w:t xml:space="preserve">O plano 1100 - Ampliação, Reforma e Requalifcação de Corredores de Ônibus foi o plano com maior valor liquidado, atingindo o valor R$ 156.821.011,25, que é 225,1097938% do planejado para essa função.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