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8E" w:rsidRPr="0095668E" w:rsidRDefault="0095668E">
      <w:r>
        <w:t xml:space="preserve">NYCT’s Utilization Analysis </w:t>
      </w:r>
    </w:p>
    <w:p w:rsidR="001647FD" w:rsidRPr="002365DC" w:rsidRDefault="0095668E">
      <w:pPr>
        <w:rPr>
          <w:b/>
          <w:u w:val="single"/>
        </w:rPr>
      </w:pPr>
      <w:r w:rsidRPr="002365DC">
        <w:rPr>
          <w:b/>
          <w:u w:val="single"/>
        </w:rPr>
        <w:t xml:space="preserve">Introduction </w:t>
      </w:r>
    </w:p>
    <w:p w:rsidR="004C2B1A" w:rsidRDefault="004860EE" w:rsidP="00E73A62">
      <w:r>
        <w:t xml:space="preserve">New York City Transit (NYCT) is </w:t>
      </w:r>
      <w:r w:rsidR="00784DC6">
        <w:t xml:space="preserve">a public authority, which is </w:t>
      </w:r>
      <w:r>
        <w:t xml:space="preserve">one of the seven agencies within the Metropolitan Transportation Authority (MTA) </w:t>
      </w:r>
      <w:r w:rsidR="00BE26C6">
        <w:t xml:space="preserve">that </w:t>
      </w:r>
      <w:r w:rsidR="003652E3">
        <w:t>operates</w:t>
      </w:r>
      <w:r>
        <w:t xml:space="preserve"> public transportation </w:t>
      </w:r>
      <w:r w:rsidR="003652E3">
        <w:t>in</w:t>
      </w:r>
      <w:r>
        <w:t xml:space="preserve"> New York City (NYC). NYCT </w:t>
      </w:r>
      <w:r w:rsidR="003652E3">
        <w:t>employs approximately 47,000</w:t>
      </w:r>
      <w:r w:rsidR="00784DC6">
        <w:t xml:space="preserve"> </w:t>
      </w:r>
      <w:r w:rsidR="004D1D50">
        <w:t xml:space="preserve">employees in various occupational groups.  </w:t>
      </w:r>
      <w:r w:rsidR="00E428C4">
        <w:t xml:space="preserve">Under </w:t>
      </w:r>
      <w:r w:rsidR="00E428C4" w:rsidRPr="00E428C4">
        <w:t xml:space="preserve">Title VII of the Civil Rights Act of 1964, </w:t>
      </w:r>
      <w:r w:rsidR="006F46E8">
        <w:t xml:space="preserve">the Equal Employment Opportunity Commission requires </w:t>
      </w:r>
      <w:r w:rsidR="004C2B1A">
        <w:t>public/private employers</w:t>
      </w:r>
      <w:r w:rsidR="006F46E8">
        <w:t xml:space="preserve"> to report the </w:t>
      </w:r>
      <w:r w:rsidR="004C2B1A">
        <w:t>composition of its work</w:t>
      </w:r>
      <w:r w:rsidR="006F46E8" w:rsidRPr="006F46E8">
        <w:t>force</w:t>
      </w:r>
      <w:r w:rsidR="00E428C4">
        <w:t xml:space="preserve"> by sex and</w:t>
      </w:r>
      <w:r w:rsidR="00650E2E">
        <w:t xml:space="preserve"> race/ethnic categories</w:t>
      </w:r>
      <w:r w:rsidR="006F46E8" w:rsidRPr="006F46E8">
        <w:t>.</w:t>
      </w:r>
      <w:r w:rsidR="006F46E8">
        <w:t xml:space="preserve"> </w:t>
      </w:r>
      <w:r w:rsidR="004C2B1A">
        <w:t>(eeoc.gov)</w:t>
      </w:r>
      <w:r w:rsidR="00E428C4">
        <w:t xml:space="preserve"> According to the EEOC website,</w:t>
      </w:r>
      <w:r w:rsidR="007D11A6">
        <w:t xml:space="preserve"> “</w:t>
      </w:r>
      <w:r w:rsidR="00E428C4" w:rsidRPr="00B30A4C">
        <w:t xml:space="preserve">Title VII </w:t>
      </w:r>
      <w:r w:rsidR="002A500C" w:rsidRPr="002A500C">
        <w:t>of the Civil Rights Act as amended by the Equal Employment</w:t>
      </w:r>
      <w:r w:rsidR="004B24D9">
        <w:t xml:space="preserve"> </w:t>
      </w:r>
      <w:r w:rsidR="004B24D9" w:rsidRPr="004B24D9">
        <w:t>Opportunity Act of 1972</w:t>
      </w:r>
      <w:r w:rsidR="002A500C" w:rsidRPr="002A500C">
        <w:t> </w:t>
      </w:r>
      <w:r w:rsidR="00E428C4" w:rsidRPr="00B30A4C">
        <w:t>prohibits employment discrimination based on race, color, religion, sex and national origin</w:t>
      </w:r>
      <w:r w:rsidR="007D11A6" w:rsidRPr="00B30A4C">
        <w:t>.</w:t>
      </w:r>
      <w:r w:rsidR="007D11A6">
        <w:t xml:space="preserve">” </w:t>
      </w:r>
      <w:r w:rsidR="000E4EFC">
        <w:t xml:space="preserve">In an effort to </w:t>
      </w:r>
      <w:r w:rsidR="00C23749">
        <w:t xml:space="preserve">comply with EEOC guidelines private and public employers should </w:t>
      </w:r>
      <w:r w:rsidR="00166541">
        <w:t>analyze</w:t>
      </w:r>
      <w:r w:rsidR="00C23749">
        <w:t xml:space="preserve"> internal and external workforce data to </w:t>
      </w:r>
      <w:r w:rsidR="000E4EFC">
        <w:t xml:space="preserve">ensure that </w:t>
      </w:r>
      <w:r w:rsidR="00C23749">
        <w:t>protected employees appear in their workforce</w:t>
      </w:r>
      <w:r w:rsidR="00C23749" w:rsidRPr="007F008D">
        <w:rPr>
          <w:highlight w:val="yellow"/>
        </w:rPr>
        <w:t xml:space="preserve">. </w:t>
      </w:r>
      <w:r w:rsidR="007D11A6" w:rsidRPr="007F008D">
        <w:rPr>
          <w:highlight w:val="yellow"/>
        </w:rPr>
        <w:t xml:space="preserve"> </w:t>
      </w:r>
      <w:r w:rsidR="007F008D" w:rsidRPr="007F008D">
        <w:rPr>
          <w:highlight w:val="yellow"/>
        </w:rPr>
        <w:t>(Note that</w:t>
      </w:r>
      <w:r w:rsidR="007F008D">
        <w:rPr>
          <w:highlight w:val="yellow"/>
        </w:rPr>
        <w:t>:</w:t>
      </w:r>
      <w:r w:rsidR="007F008D" w:rsidRPr="007F008D">
        <w:rPr>
          <w:highlight w:val="yellow"/>
        </w:rPr>
        <w:t xml:space="preserve"> f</w:t>
      </w:r>
      <w:r w:rsidR="007D11A6" w:rsidRPr="007F008D">
        <w:rPr>
          <w:highlight w:val="yellow"/>
        </w:rPr>
        <w:t>or the purposes of this analysis protected employees are considered Females and Minorities (</w:t>
      </w:r>
      <w:r w:rsidR="007D11A6" w:rsidRPr="007D11A6">
        <w:rPr>
          <w:highlight w:val="yellow"/>
        </w:rPr>
        <w:t>i.e., Black, Hispanic, Asian, Other Pacific Islander and Hawaiian Native</w:t>
      </w:r>
      <w:r w:rsidR="007F008D">
        <w:rPr>
          <w:highlight w:val="yellow"/>
        </w:rPr>
        <w:t>)</w:t>
      </w:r>
      <w:r w:rsidR="007F008D" w:rsidRPr="007D11A6">
        <w:rPr>
          <w:highlight w:val="yellow"/>
        </w:rPr>
        <w:t>).</w:t>
      </w:r>
      <w:r w:rsidR="007D11A6">
        <w:t xml:space="preserve">  </w:t>
      </w:r>
      <w:r w:rsidR="00A25003">
        <w:t xml:space="preserve">Therefore, </w:t>
      </w:r>
      <w:r w:rsidR="00525936">
        <w:t xml:space="preserve">a utilization analysis should be developed to compare </w:t>
      </w:r>
      <w:r w:rsidR="00525936" w:rsidRPr="00525936">
        <w:t>the availability of females and minorities for e</w:t>
      </w:r>
      <w:r w:rsidR="00E73A62">
        <w:t>ach EEO-</w:t>
      </w:r>
      <w:r w:rsidR="00525936" w:rsidRPr="00525936">
        <w:t xml:space="preserve"> </w:t>
      </w:r>
      <w:r w:rsidR="00E73A62">
        <w:t>4 Job Category</w:t>
      </w:r>
      <w:r w:rsidR="00525936" w:rsidRPr="00525936">
        <w:t xml:space="preserve"> within the five boroughs of New York City (NYC) to New York City Transit’s (NYCT) current workforce representation of females and minorities</w:t>
      </w:r>
      <w:r w:rsidR="00525936">
        <w:t>.</w:t>
      </w:r>
      <w:r w:rsidR="00525936" w:rsidRPr="00525936">
        <w:t xml:space="preserve"> The purpose of the utilization analysis is to determine whether underutilization </w:t>
      </w:r>
      <w:r w:rsidR="007F008D">
        <w:t xml:space="preserve">of a protected class </w:t>
      </w:r>
      <w:r w:rsidR="00525936" w:rsidRPr="00525936">
        <w:t>exists. Underutilization is present if NYCT’s current workforce has fewer females or minorities than would be reasonably expected by their availability in the relevant job market</w:t>
      </w:r>
      <w:r w:rsidR="004459F6">
        <w:t xml:space="preserve"> (NYC)</w:t>
      </w:r>
      <w:r w:rsidR="00525936" w:rsidRPr="00525936">
        <w:t xml:space="preserve">. When a </w:t>
      </w:r>
      <w:r w:rsidR="002920A2">
        <w:t>Job Category</w:t>
      </w:r>
      <w:r w:rsidR="00525936" w:rsidRPr="00525936">
        <w:t xml:space="preserve"> is deemed to be underutilized, appropriate goals should be established to increase the number of females and/or minorities</w:t>
      </w:r>
      <w:r w:rsidR="004459F6">
        <w:t xml:space="preserve"> workers</w:t>
      </w:r>
      <w:r w:rsidR="00525936" w:rsidRPr="00525936">
        <w:t xml:space="preserve">. </w:t>
      </w:r>
      <w:r w:rsidR="007F008D">
        <w:t xml:space="preserve"> </w:t>
      </w:r>
      <w:r w:rsidR="00146F1D">
        <w:t xml:space="preserve">The </w:t>
      </w:r>
      <w:r w:rsidR="003301C6">
        <w:t xml:space="preserve">method used </w:t>
      </w:r>
      <w:r w:rsidR="007F008D">
        <w:t>to determine underutilization</w:t>
      </w:r>
      <w:r w:rsidR="003301C6">
        <w:t xml:space="preserve"> is the 80% Rule.</w:t>
      </w:r>
    </w:p>
    <w:p w:rsidR="004C2B1A" w:rsidRDefault="00C7043B" w:rsidP="00E73A62">
      <w:r>
        <w:t>EEO- 4 Job Categories</w:t>
      </w:r>
    </w:p>
    <w:p w:rsidR="004C2B1A" w:rsidRDefault="004C2B1A" w:rsidP="00525936">
      <w:r>
        <w:t xml:space="preserve">As mentioned above, </w:t>
      </w:r>
      <w:r w:rsidR="00850A8D">
        <w:t xml:space="preserve">under </w:t>
      </w:r>
      <w:r w:rsidRPr="00E428C4">
        <w:t>Title VII o</w:t>
      </w:r>
      <w:r w:rsidR="005A2434">
        <w:t>f the Civil Rights Act of 1964,</w:t>
      </w:r>
      <w:r>
        <w:t xml:space="preserve"> public/private employers </w:t>
      </w:r>
      <w:r w:rsidR="005A2434">
        <w:t xml:space="preserve">are required </w:t>
      </w:r>
      <w:r>
        <w:t xml:space="preserve">to report the </w:t>
      </w:r>
      <w:r w:rsidR="002F1676">
        <w:t>composition of its work</w:t>
      </w:r>
      <w:r w:rsidRPr="006F46E8">
        <w:t>force</w:t>
      </w:r>
      <w:r>
        <w:t xml:space="preserve"> by sex and</w:t>
      </w:r>
      <w:r w:rsidR="00650E2E">
        <w:t xml:space="preserve"> race/ethnic categories</w:t>
      </w:r>
      <w:r w:rsidRPr="006F46E8">
        <w:t>.</w:t>
      </w:r>
      <w:r>
        <w:t xml:space="preserve"> </w:t>
      </w:r>
      <w:r w:rsidR="005A2434">
        <w:t xml:space="preserve"> The EEO-4 report is </w:t>
      </w:r>
      <w:r w:rsidR="00850A8D">
        <w:t xml:space="preserve">the prescribed form </w:t>
      </w:r>
      <w:r w:rsidR="005A2434">
        <w:t xml:space="preserve">to </w:t>
      </w:r>
      <w:r w:rsidR="00850A8D">
        <w:t xml:space="preserve">be submitted to the Equal Employment Opportunity Commission (EEOC) at the end of the </w:t>
      </w:r>
      <w:r w:rsidR="00C7043B">
        <w:t xml:space="preserve">employer’s </w:t>
      </w:r>
      <w:r w:rsidR="00850A8D">
        <w:t xml:space="preserve">fiscal year. </w:t>
      </w:r>
      <w:r w:rsidR="00C7043B">
        <w:t xml:space="preserve">EEO- 4 Job </w:t>
      </w:r>
      <w:r w:rsidR="00650E2E">
        <w:t>categories</w:t>
      </w:r>
      <w:r w:rsidR="00C7043B">
        <w:t xml:space="preserve"> are defined job functions established </w:t>
      </w:r>
      <w:r w:rsidR="00850A8D">
        <w:t>by the EEOC</w:t>
      </w:r>
      <w:r w:rsidR="00C7043B">
        <w:t xml:space="preserve"> for grouping and reporting information on employees. </w:t>
      </w:r>
    </w:p>
    <w:p w:rsidR="00A839F4" w:rsidRDefault="00A839F4" w:rsidP="00525936">
      <w:r>
        <w:t xml:space="preserve">See below for EE0-4 Job Categories. </w:t>
      </w:r>
    </w:p>
    <w:tbl>
      <w:tblPr>
        <w:tblW w:w="2380" w:type="dxa"/>
        <w:tblInd w:w="93" w:type="dxa"/>
        <w:tblLook w:val="04A0"/>
      </w:tblPr>
      <w:tblGrid>
        <w:gridCol w:w="2380"/>
      </w:tblGrid>
      <w:tr w:rsidR="00F35CA3" w:rsidRPr="00F35CA3" w:rsidTr="00F35CA3">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EEO-4 Job Categor</w:t>
            </w:r>
            <w:r w:rsidR="00650E2E">
              <w:rPr>
                <w:rFonts w:ascii="Calibri" w:eastAsia="Times New Roman" w:hAnsi="Calibri" w:cs="Times New Roman"/>
                <w:color w:val="000000"/>
              </w:rPr>
              <w:t>ies</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Officials/Administrators</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Professionals</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Technicians</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Office/Clerical</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Skilled Craft</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Service Maintenance</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Protective Service</w:t>
            </w:r>
          </w:p>
        </w:tc>
      </w:tr>
      <w:tr w:rsidR="00F35CA3" w:rsidRPr="00F35CA3" w:rsidTr="00F35C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F35CA3" w:rsidRPr="00F35CA3" w:rsidRDefault="00F35CA3" w:rsidP="00F35CA3">
            <w:pPr>
              <w:spacing w:after="0" w:line="240" w:lineRule="auto"/>
              <w:rPr>
                <w:rFonts w:ascii="Calibri" w:eastAsia="Times New Roman" w:hAnsi="Calibri" w:cs="Times New Roman"/>
                <w:color w:val="000000"/>
              </w:rPr>
            </w:pPr>
            <w:r w:rsidRPr="00F35CA3">
              <w:rPr>
                <w:rFonts w:ascii="Calibri" w:eastAsia="Times New Roman" w:hAnsi="Calibri" w:cs="Times New Roman"/>
                <w:color w:val="000000"/>
              </w:rPr>
              <w:t>Paraprofessional</w:t>
            </w:r>
          </w:p>
        </w:tc>
      </w:tr>
    </w:tbl>
    <w:p w:rsidR="002F1676" w:rsidRDefault="002F1676" w:rsidP="002F1676"/>
    <w:p w:rsidR="002F1676" w:rsidRDefault="00A839F4">
      <w:r>
        <w:t>Figure 1</w:t>
      </w:r>
      <w:r w:rsidR="002F1676">
        <w:t>: EEO-4 Job Categorie</w:t>
      </w:r>
      <w:r w:rsidR="00AE7205">
        <w:t>s</w:t>
      </w:r>
    </w:p>
    <w:p w:rsidR="00F65B7A" w:rsidRDefault="00F65B7A" w:rsidP="00F65B7A">
      <w:r>
        <w:lastRenderedPageBreak/>
        <w:t>NYCT Occupational Groups</w:t>
      </w:r>
    </w:p>
    <w:p w:rsidR="00A839F4" w:rsidRDefault="00483526">
      <w:r>
        <w:t xml:space="preserve">Occupational groups are the system used by NYCT to classify occupations. NYCT occupational groups are defined job functions defined by NYCT’s office of </w:t>
      </w:r>
      <w:r w:rsidRPr="002F1676">
        <w:rPr>
          <w:highlight w:val="yellow"/>
        </w:rPr>
        <w:t>Management and Budget.</w:t>
      </w:r>
      <w:r>
        <w:t xml:space="preserve"> </w:t>
      </w:r>
    </w:p>
    <w:tbl>
      <w:tblPr>
        <w:tblW w:w="6040" w:type="dxa"/>
        <w:tblInd w:w="93" w:type="dxa"/>
        <w:shd w:val="clear" w:color="auto" w:fill="FFFFFF"/>
        <w:tblCellMar>
          <w:left w:w="0" w:type="dxa"/>
          <w:right w:w="0" w:type="dxa"/>
        </w:tblCellMar>
        <w:tblLook w:val="04A0"/>
      </w:tblPr>
      <w:tblGrid>
        <w:gridCol w:w="3020"/>
        <w:gridCol w:w="3020"/>
      </w:tblGrid>
      <w:tr w:rsidR="00A839F4" w:rsidRPr="00EA2D53" w:rsidTr="00216997">
        <w:trPr>
          <w:trHeight w:val="300"/>
        </w:trPr>
        <w:tc>
          <w:tcPr>
            <w:tcW w:w="302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pPr>
              <w:rPr>
                <w:b/>
                <w:u w:val="single"/>
              </w:rPr>
            </w:pPr>
            <w:r w:rsidRPr="00EA2D53">
              <w:rPr>
                <w:b/>
                <w:u w:val="single"/>
              </w:rPr>
              <w:t>NYCT Occupational Group</w:t>
            </w:r>
          </w:p>
        </w:tc>
        <w:tc>
          <w:tcPr>
            <w:tcW w:w="30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AE7205">
            <w:pPr>
              <w:rPr>
                <w:b/>
                <w:u w:val="single"/>
              </w:rPr>
            </w:pPr>
            <w:r w:rsidRPr="00AE7205">
              <w:rPr>
                <w:b/>
                <w:u w:val="single"/>
              </w:rPr>
              <w:t xml:space="preserve">Additional Info. </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Hourly Occupational</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AE7205">
            <w:r w:rsidRPr="00EA2D53">
              <w:t>Available workforce for Operating Supervisors</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Operating Supervisors</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216997">
            <w:pPr>
              <w:spacing w:after="0" w:line="240" w:lineRule="auto"/>
              <w:rPr>
                <w:rFonts w:ascii="Times New Roman" w:eastAsia="Times New Roman" w:hAnsi="Times New Roman" w:cs="Times New Roman"/>
                <w:color w:val="222222"/>
                <w:sz w:val="24"/>
                <w:szCs w:val="24"/>
              </w:rPr>
            </w:pPr>
            <w:r w:rsidRPr="00EA2D53">
              <w:rPr>
                <w:rFonts w:ascii="Times New Roman" w:eastAsia="Times New Roman" w:hAnsi="Times New Roman" w:cs="Times New Roman"/>
                <w:color w:val="000000"/>
                <w:sz w:val="24"/>
                <w:szCs w:val="24"/>
              </w:rPr>
              <w:t> </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Other Professional &amp; Technical</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216997">
            <w:pPr>
              <w:spacing w:after="0" w:line="240" w:lineRule="auto"/>
              <w:rPr>
                <w:rFonts w:ascii="Times New Roman" w:eastAsia="Times New Roman" w:hAnsi="Times New Roman" w:cs="Times New Roman"/>
                <w:color w:val="222222"/>
                <w:sz w:val="24"/>
                <w:szCs w:val="24"/>
              </w:rPr>
            </w:pPr>
            <w:r w:rsidRPr="00EA2D53">
              <w:rPr>
                <w:rFonts w:ascii="Times New Roman" w:eastAsia="Times New Roman" w:hAnsi="Times New Roman" w:cs="Times New Roman"/>
                <w:color w:val="000000"/>
                <w:sz w:val="24"/>
                <w:szCs w:val="24"/>
              </w:rPr>
              <w:t> </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Administrative &amp; Clerical</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216997">
            <w:pPr>
              <w:spacing w:after="0" w:line="240" w:lineRule="auto"/>
              <w:rPr>
                <w:rFonts w:ascii="Times New Roman" w:eastAsia="Times New Roman" w:hAnsi="Times New Roman" w:cs="Times New Roman"/>
                <w:color w:val="222222"/>
                <w:sz w:val="24"/>
                <w:szCs w:val="24"/>
              </w:rPr>
            </w:pPr>
            <w:r w:rsidRPr="00EA2D53">
              <w:rPr>
                <w:rFonts w:ascii="Times New Roman" w:eastAsia="Times New Roman" w:hAnsi="Times New Roman" w:cs="Times New Roman"/>
                <w:color w:val="000000"/>
                <w:sz w:val="24"/>
                <w:szCs w:val="24"/>
              </w:rPr>
              <w:t> </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Managerial</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216997">
            <w:pPr>
              <w:spacing w:after="0" w:line="240" w:lineRule="auto"/>
              <w:rPr>
                <w:rFonts w:ascii="Times New Roman" w:eastAsia="Times New Roman" w:hAnsi="Times New Roman" w:cs="Times New Roman"/>
                <w:color w:val="222222"/>
                <w:sz w:val="24"/>
                <w:szCs w:val="24"/>
              </w:rPr>
            </w:pPr>
            <w:r w:rsidRPr="00EA2D53">
              <w:rPr>
                <w:rFonts w:ascii="Times New Roman" w:eastAsia="Times New Roman" w:hAnsi="Times New Roman" w:cs="Times New Roman"/>
                <w:color w:val="000000"/>
                <w:sz w:val="24"/>
                <w:szCs w:val="24"/>
              </w:rPr>
              <w:t> </w:t>
            </w:r>
          </w:p>
        </w:tc>
      </w:tr>
      <w:tr w:rsidR="00A839F4" w:rsidRPr="00EA2D53" w:rsidTr="00216997">
        <w:trPr>
          <w:trHeight w:val="300"/>
        </w:trPr>
        <w:tc>
          <w:tcPr>
            <w:tcW w:w="3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A839F4" w:rsidRPr="00EA2D53" w:rsidRDefault="00A839F4" w:rsidP="00AE7205">
            <w:r w:rsidRPr="00EA2D53">
              <w:t>Engineering</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839F4" w:rsidRPr="00EA2D53" w:rsidRDefault="00A839F4" w:rsidP="00216997">
            <w:pPr>
              <w:spacing w:after="0" w:line="240" w:lineRule="auto"/>
              <w:rPr>
                <w:rFonts w:ascii="Times New Roman" w:eastAsia="Times New Roman" w:hAnsi="Times New Roman" w:cs="Times New Roman"/>
                <w:color w:val="222222"/>
                <w:sz w:val="24"/>
                <w:szCs w:val="24"/>
              </w:rPr>
            </w:pPr>
            <w:r w:rsidRPr="00EA2D53">
              <w:rPr>
                <w:rFonts w:ascii="Times New Roman" w:eastAsia="Times New Roman" w:hAnsi="Times New Roman" w:cs="Times New Roman"/>
                <w:color w:val="000000"/>
                <w:sz w:val="24"/>
                <w:szCs w:val="24"/>
              </w:rPr>
              <w:t> </w:t>
            </w:r>
          </w:p>
        </w:tc>
      </w:tr>
    </w:tbl>
    <w:p w:rsidR="00A839F4" w:rsidRDefault="00A839F4"/>
    <w:p w:rsidR="00440B41" w:rsidRDefault="00440B41">
      <w:r>
        <w:t>80% Rule</w:t>
      </w:r>
    </w:p>
    <w:p w:rsidR="00DF2906" w:rsidRDefault="002920A2" w:rsidP="00CB3693">
      <w:r>
        <w:t xml:space="preserve">The Office of Federal Contract Compliance Programs (OFCCP) is a part of the U.S Bureau of Labor and is tasked with ensuring employers conducting business </w:t>
      </w:r>
      <w:r w:rsidR="00A64052">
        <w:t>with the</w:t>
      </w:r>
      <w:r>
        <w:t xml:space="preserve"> </w:t>
      </w:r>
      <w:r w:rsidR="00172852">
        <w:t>F</w:t>
      </w:r>
      <w:r>
        <w:t xml:space="preserve">ederal government </w:t>
      </w:r>
      <w:r w:rsidR="008F2AD7">
        <w:t xml:space="preserve">are </w:t>
      </w:r>
      <w:r>
        <w:t xml:space="preserve">in compliance with </w:t>
      </w:r>
      <w:r w:rsidR="00A64052">
        <w:t xml:space="preserve">nondiscrimination </w:t>
      </w:r>
      <w:r>
        <w:t xml:space="preserve">laws </w:t>
      </w:r>
      <w:r w:rsidR="00A64052">
        <w:t xml:space="preserve">and regulations. </w:t>
      </w:r>
      <w:r w:rsidR="008F2AD7">
        <w:t xml:space="preserve">The OFCCP </w:t>
      </w:r>
      <w:r w:rsidR="00172852">
        <w:t>cur</w:t>
      </w:r>
      <w:r w:rsidR="000C6F4D">
        <w:t xml:space="preserve">rently recognizes four tests to </w:t>
      </w:r>
      <w:r w:rsidR="00172852">
        <w:t xml:space="preserve">determine whether underutilization exists. </w:t>
      </w:r>
      <w:r w:rsidR="000C6F4D">
        <w:t xml:space="preserve"> The four </w:t>
      </w:r>
      <w:r w:rsidR="00DF2906">
        <w:t>tests are</w:t>
      </w:r>
      <w:r w:rsidR="000C6F4D">
        <w:t>: the any difference rule</w:t>
      </w:r>
      <w:r w:rsidR="00FA1F3C">
        <w:t>, the</w:t>
      </w:r>
      <w:r w:rsidR="000C6F4D">
        <w:t xml:space="preserve"> one person rule, the two standard deviation analysis and the 80% rule. </w:t>
      </w:r>
      <w:r w:rsidR="00DF2906">
        <w:t>NYCT’s underutilization of females and minorities will be determined by the 80% rule.  Under the 80% rule</w:t>
      </w:r>
      <w:r w:rsidR="00A51727">
        <w:t>, underutilization</w:t>
      </w:r>
      <w:r w:rsidR="002C44A8">
        <w:t xml:space="preserve"> exists if the percentage of females and minorities </w:t>
      </w:r>
      <w:r w:rsidR="00A51727">
        <w:t xml:space="preserve">in a particular job group within NYCT is less than 80% of the final availability percentage for NYC. </w:t>
      </w:r>
    </w:p>
    <w:p w:rsidR="00BE282B" w:rsidRDefault="00CB3693" w:rsidP="00CB3693">
      <w:r>
        <w:t xml:space="preserve">For example, </w:t>
      </w:r>
      <w:r w:rsidR="00BE282B">
        <w:t xml:space="preserve">Figure </w:t>
      </w:r>
      <w:r w:rsidR="00AE7205">
        <w:t>3</w:t>
      </w:r>
      <w:r w:rsidR="00BE282B">
        <w:t xml:space="preserve"> reflects the percentage of NYCT’s Official/Clerical employees that are Hispanic. </w:t>
      </w:r>
      <w:r w:rsidR="00AE7205">
        <w:t>Moreover, Figure 3</w:t>
      </w:r>
      <w:r w:rsidR="00EF5663">
        <w:t xml:space="preserve"> also shows the percentage of Official/Clerical Hispanic workers</w:t>
      </w:r>
      <w:r w:rsidR="009D490C">
        <w:t xml:space="preserve"> for NYC</w:t>
      </w:r>
      <w:r w:rsidR="0046039E">
        <w:t xml:space="preserve"> as well as the 80% benchmark for NYC</w:t>
      </w:r>
      <w:r w:rsidR="009D490C">
        <w:t xml:space="preserve">. NYCT’s workforce percentage is greater than </w:t>
      </w:r>
      <w:r w:rsidR="0046039E">
        <w:t>the 4.17</w:t>
      </w:r>
      <w:r w:rsidR="00022C98">
        <w:t>%</w:t>
      </w:r>
      <w:r w:rsidR="0046039E">
        <w:t xml:space="preserve"> benchmark</w:t>
      </w:r>
      <w:r w:rsidR="00C20D9F">
        <w:t xml:space="preserve"> for </w:t>
      </w:r>
      <w:r w:rsidR="009D490C">
        <w:t>NYC</w:t>
      </w:r>
      <w:r w:rsidR="00C20D9F">
        <w:t xml:space="preserve">, </w:t>
      </w:r>
      <w:r w:rsidR="00022C98">
        <w:t>therefore;</w:t>
      </w:r>
      <w:r w:rsidR="00C20D9F">
        <w:t xml:space="preserve"> underutilization does not exist for Hispanic’s in the job category Official/</w:t>
      </w:r>
      <w:r w:rsidR="00022C98">
        <w:t>Clerical.</w:t>
      </w:r>
    </w:p>
    <w:p w:rsidR="00C20D9F" w:rsidRDefault="00AE7205" w:rsidP="00CB3693">
      <w:r>
        <w:t>Figure 3</w:t>
      </w:r>
      <w:r w:rsidR="00C20D9F">
        <w:t>: Workforce Comparison</w:t>
      </w:r>
    </w:p>
    <w:tbl>
      <w:tblPr>
        <w:tblW w:w="8480" w:type="dxa"/>
        <w:tblInd w:w="94" w:type="dxa"/>
        <w:tblLook w:val="04A0"/>
      </w:tblPr>
      <w:tblGrid>
        <w:gridCol w:w="1680"/>
        <w:gridCol w:w="970"/>
        <w:gridCol w:w="1840"/>
        <w:gridCol w:w="1640"/>
        <w:gridCol w:w="2360"/>
      </w:tblGrid>
      <w:tr w:rsidR="00BE282B" w:rsidRPr="00BE282B" w:rsidTr="00BE282B">
        <w:trPr>
          <w:trHeight w:val="300"/>
        </w:trPr>
        <w:tc>
          <w:tcPr>
            <w:tcW w:w="1680" w:type="dxa"/>
            <w:tcBorders>
              <w:top w:val="nil"/>
              <w:left w:val="nil"/>
              <w:bottom w:val="nil"/>
              <w:right w:val="nil"/>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p>
        </w:tc>
        <w:tc>
          <w:tcPr>
            <w:tcW w:w="1840" w:type="dxa"/>
            <w:tcBorders>
              <w:top w:val="nil"/>
              <w:left w:val="nil"/>
              <w:bottom w:val="nil"/>
              <w:right w:val="nil"/>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NYCT Workforce</w:t>
            </w:r>
          </w:p>
        </w:tc>
        <w:tc>
          <w:tcPr>
            <w:tcW w:w="4000" w:type="dxa"/>
            <w:gridSpan w:val="2"/>
            <w:tcBorders>
              <w:top w:val="nil"/>
              <w:left w:val="nil"/>
              <w:bottom w:val="nil"/>
              <w:right w:val="nil"/>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Available workforce for NYC</w:t>
            </w:r>
          </w:p>
        </w:tc>
      </w:tr>
      <w:tr w:rsidR="00BE282B" w:rsidRPr="00BE282B" w:rsidTr="00BE282B">
        <w:trPr>
          <w:trHeight w:val="9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 xml:space="preserve">EEO Job Group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 xml:space="preserve">Race </w:t>
            </w:r>
          </w:p>
        </w:tc>
        <w:tc>
          <w:tcPr>
            <w:tcW w:w="1840" w:type="dxa"/>
            <w:tcBorders>
              <w:top w:val="single" w:sz="4" w:space="0" w:color="auto"/>
              <w:left w:val="nil"/>
              <w:bottom w:val="single" w:sz="4" w:space="0" w:color="auto"/>
              <w:right w:val="single" w:sz="4" w:space="0" w:color="auto"/>
            </w:tcBorders>
            <w:shd w:val="clear" w:color="auto" w:fill="auto"/>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 xml:space="preserve">Percentage of Official/Clerical Employees </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 xml:space="preserve">Percentage of Official/Clerical </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 xml:space="preserve">80% of NYC Population </w:t>
            </w:r>
          </w:p>
        </w:tc>
      </w:tr>
      <w:tr w:rsidR="00BE282B" w:rsidRPr="00BE282B" w:rsidTr="00BE282B">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Office/Clerical</w:t>
            </w:r>
          </w:p>
        </w:tc>
        <w:tc>
          <w:tcPr>
            <w:tcW w:w="960" w:type="dxa"/>
            <w:tcBorders>
              <w:top w:val="nil"/>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rPr>
                <w:rFonts w:ascii="Calibri" w:eastAsia="Times New Roman" w:hAnsi="Calibri" w:cs="Times New Roman"/>
                <w:color w:val="000000"/>
              </w:rPr>
            </w:pPr>
            <w:r w:rsidRPr="00BE282B">
              <w:rPr>
                <w:rFonts w:ascii="Calibri" w:eastAsia="Times New Roman" w:hAnsi="Calibri" w:cs="Times New Roman"/>
                <w:color w:val="000000"/>
              </w:rPr>
              <w:t>Hispanic</w:t>
            </w:r>
          </w:p>
        </w:tc>
        <w:tc>
          <w:tcPr>
            <w:tcW w:w="1840" w:type="dxa"/>
            <w:tcBorders>
              <w:top w:val="nil"/>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jc w:val="right"/>
              <w:rPr>
                <w:rFonts w:ascii="Calibri" w:eastAsia="Times New Roman" w:hAnsi="Calibri" w:cs="Times New Roman"/>
                <w:color w:val="000000"/>
              </w:rPr>
            </w:pPr>
            <w:r w:rsidRPr="00BE282B">
              <w:rPr>
                <w:rFonts w:ascii="Calibri" w:eastAsia="Times New Roman" w:hAnsi="Calibri" w:cs="Times New Roman"/>
                <w:color w:val="000000"/>
              </w:rPr>
              <w:t>17.50%</w:t>
            </w:r>
          </w:p>
        </w:tc>
        <w:tc>
          <w:tcPr>
            <w:tcW w:w="1640" w:type="dxa"/>
            <w:tcBorders>
              <w:top w:val="nil"/>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jc w:val="right"/>
              <w:rPr>
                <w:rFonts w:ascii="Calibri" w:eastAsia="Times New Roman" w:hAnsi="Calibri" w:cs="Times New Roman"/>
                <w:color w:val="000000"/>
              </w:rPr>
            </w:pPr>
            <w:r w:rsidRPr="00BE282B">
              <w:rPr>
                <w:rFonts w:ascii="Calibri" w:eastAsia="Times New Roman" w:hAnsi="Calibri" w:cs="Times New Roman"/>
                <w:color w:val="000000"/>
              </w:rPr>
              <w:t>5.21%</w:t>
            </w:r>
          </w:p>
        </w:tc>
        <w:tc>
          <w:tcPr>
            <w:tcW w:w="2360" w:type="dxa"/>
            <w:tcBorders>
              <w:top w:val="nil"/>
              <w:left w:val="nil"/>
              <w:bottom w:val="single" w:sz="4" w:space="0" w:color="auto"/>
              <w:right w:val="single" w:sz="4" w:space="0" w:color="auto"/>
            </w:tcBorders>
            <w:shd w:val="clear" w:color="auto" w:fill="auto"/>
            <w:noWrap/>
            <w:vAlign w:val="bottom"/>
            <w:hideMark/>
          </w:tcPr>
          <w:p w:rsidR="00BE282B" w:rsidRPr="00BE282B" w:rsidRDefault="00BE282B" w:rsidP="00BE282B">
            <w:pPr>
              <w:spacing w:after="0" w:line="240" w:lineRule="auto"/>
              <w:jc w:val="right"/>
              <w:rPr>
                <w:rFonts w:ascii="Calibri" w:eastAsia="Times New Roman" w:hAnsi="Calibri" w:cs="Times New Roman"/>
                <w:color w:val="000000"/>
              </w:rPr>
            </w:pPr>
            <w:r w:rsidRPr="00BE282B">
              <w:rPr>
                <w:rFonts w:ascii="Calibri" w:eastAsia="Times New Roman" w:hAnsi="Calibri" w:cs="Times New Roman"/>
                <w:color w:val="000000"/>
              </w:rPr>
              <w:t>4.17%</w:t>
            </w:r>
          </w:p>
        </w:tc>
      </w:tr>
    </w:tbl>
    <w:p w:rsidR="00BE282B" w:rsidRDefault="00BE282B" w:rsidP="00CB3693"/>
    <w:p w:rsidR="00DF2906" w:rsidRDefault="00AE7205">
      <w:r>
        <w:t>Figure 3</w:t>
      </w:r>
      <w:r w:rsidR="00C20D9F">
        <w:t xml:space="preserve">: Workforce Comparison </w:t>
      </w:r>
    </w:p>
    <w:p w:rsidR="00AE7205" w:rsidRDefault="00AE7205"/>
    <w:p w:rsidR="006106D5" w:rsidRPr="0072595F" w:rsidRDefault="006106D5">
      <w:pPr>
        <w:rPr>
          <w:b/>
          <w:u w:val="single"/>
        </w:rPr>
      </w:pPr>
      <w:r w:rsidRPr="0072595F">
        <w:rPr>
          <w:b/>
          <w:u w:val="single"/>
        </w:rPr>
        <w:lastRenderedPageBreak/>
        <w:t>The Data Set</w:t>
      </w:r>
    </w:p>
    <w:p w:rsidR="00AE7205" w:rsidRDefault="00542819">
      <w:r w:rsidRPr="00542819">
        <w:t>The data</w:t>
      </w:r>
      <w:r w:rsidR="00594FB1">
        <w:t>sets</w:t>
      </w:r>
      <w:r w:rsidRPr="00542819">
        <w:t xml:space="preserve"> </w:t>
      </w:r>
      <w:r>
        <w:t xml:space="preserve">used in this analysis </w:t>
      </w:r>
      <w:r w:rsidRPr="00542819">
        <w:t>is</w:t>
      </w:r>
      <w:r>
        <w:t xml:space="preserve"> </w:t>
      </w:r>
      <w:r w:rsidR="009A6A9C">
        <w:t>the EEO Tabula</w:t>
      </w:r>
      <w:r w:rsidR="005E4ADA">
        <w:t>tion 2006-</w:t>
      </w:r>
      <w:r w:rsidR="005E4ADA" w:rsidRPr="002C4C37">
        <w:rPr>
          <w:highlight w:val="yellow"/>
        </w:rPr>
        <w:t>2010</w:t>
      </w:r>
      <w:r w:rsidR="009348E3" w:rsidRPr="002C4C37">
        <w:rPr>
          <w:highlight w:val="yellow"/>
        </w:rPr>
        <w:t xml:space="preserve"> </w:t>
      </w:r>
      <w:r w:rsidR="00594FB1">
        <w:rPr>
          <w:highlight w:val="yellow"/>
        </w:rPr>
        <w:t xml:space="preserve">data </w:t>
      </w:r>
      <w:r w:rsidR="009348E3" w:rsidRPr="002C4C37">
        <w:rPr>
          <w:highlight w:val="yellow"/>
        </w:rPr>
        <w:t>provided by the United States Census Bureau and New York City Transit (NYCT)</w:t>
      </w:r>
      <w:r w:rsidR="002C4C37">
        <w:rPr>
          <w:highlight w:val="yellow"/>
        </w:rPr>
        <w:t xml:space="preserve"> workforce information</w:t>
      </w:r>
      <w:r w:rsidR="009348E3" w:rsidRPr="002C4C37">
        <w:rPr>
          <w:highlight w:val="yellow"/>
        </w:rPr>
        <w:t xml:space="preserve"> extracted from the PeopleSoft </w:t>
      </w:r>
      <w:r w:rsidR="00594FB1">
        <w:rPr>
          <w:highlight w:val="yellow"/>
        </w:rPr>
        <w:t xml:space="preserve">9.2 </w:t>
      </w:r>
      <w:r w:rsidR="009348E3" w:rsidRPr="002C4C37">
        <w:rPr>
          <w:highlight w:val="yellow"/>
        </w:rPr>
        <w:t>database</w:t>
      </w:r>
      <w:r w:rsidR="009348E3">
        <w:t>.</w:t>
      </w:r>
      <w:r w:rsidR="005E4ADA">
        <w:t xml:space="preserve">  The </w:t>
      </w:r>
      <w:r w:rsidR="009348E3">
        <w:t xml:space="preserve">EEO Tabulation 2006-2010 data is derived from </w:t>
      </w:r>
      <w:r w:rsidR="005E4ADA">
        <w:t>A</w:t>
      </w:r>
      <w:r w:rsidR="009348E3">
        <w:t xml:space="preserve">merican Community </w:t>
      </w:r>
      <w:r w:rsidR="00CF36CC">
        <w:t>Survey (ACS) data, which consists</w:t>
      </w:r>
      <w:r w:rsidR="005E4ADA">
        <w:t xml:space="preserve"> of estimates on the population of New York City </w:t>
      </w:r>
      <w:r w:rsidR="00157741">
        <w:t xml:space="preserve">(NYC) </w:t>
      </w:r>
      <w:r w:rsidR="005E4ADA">
        <w:t>by Standard Occupation</w:t>
      </w:r>
      <w:r w:rsidR="009348E3">
        <w:t xml:space="preserve"> </w:t>
      </w:r>
      <w:r w:rsidR="00CF36CC">
        <w:t xml:space="preserve">Classification </w:t>
      </w:r>
      <w:r w:rsidR="007F0604">
        <w:t xml:space="preserve">(SOC) </w:t>
      </w:r>
      <w:r w:rsidR="009348E3">
        <w:t xml:space="preserve">cross-classified by race and sex. </w:t>
      </w:r>
      <w:r w:rsidR="005E4ADA">
        <w:t xml:space="preserve"> </w:t>
      </w:r>
      <w:r w:rsidR="009348E3">
        <w:t xml:space="preserve">The NYCT data consists of information on all employees working at NYCT by Sex, Ethnicity, </w:t>
      </w:r>
      <w:r w:rsidR="002C4C37">
        <w:t>EEO</w:t>
      </w:r>
      <w:r w:rsidR="00717131">
        <w:t>-</w:t>
      </w:r>
      <w:r w:rsidR="002C4C37">
        <w:t>4 Job Category and Occupational group.</w:t>
      </w:r>
      <w:r w:rsidR="009348E3">
        <w:t xml:space="preserve"> The </w:t>
      </w:r>
      <w:r w:rsidR="00717131">
        <w:t>EEO-</w:t>
      </w:r>
      <w:r w:rsidR="00594FB1">
        <w:t xml:space="preserve">4 </w:t>
      </w:r>
      <w:r w:rsidR="009348E3">
        <w:t xml:space="preserve">job category column in the </w:t>
      </w:r>
      <w:r w:rsidR="00594FB1">
        <w:rPr>
          <w:highlight w:val="yellow"/>
        </w:rPr>
        <w:t>NYCT data set represents</w:t>
      </w:r>
      <w:r w:rsidR="009348E3" w:rsidRPr="00A636AB">
        <w:rPr>
          <w:highlight w:val="yellow"/>
        </w:rPr>
        <w:t xml:space="preserve"> one or more positions having similar requirements, content, wage rates and opportunities for</w:t>
      </w:r>
      <w:r w:rsidR="009348E3">
        <w:t xml:space="preserve"> </w:t>
      </w:r>
      <w:r w:rsidR="009348E3" w:rsidRPr="00A636AB">
        <w:rPr>
          <w:highlight w:val="yellow"/>
        </w:rPr>
        <w:t>advancement.</w:t>
      </w:r>
      <w:r w:rsidR="009348E3">
        <w:t xml:space="preserve">  </w:t>
      </w:r>
    </w:p>
    <w:p w:rsidR="006B10D4" w:rsidRDefault="006B10D4">
      <w:r>
        <w:t>Census Data</w:t>
      </w:r>
      <w:r w:rsidR="004719A9">
        <w:t>set</w:t>
      </w:r>
    </w:p>
    <w:p w:rsidR="007F0604" w:rsidRDefault="00801C81">
      <w:r>
        <w:t xml:space="preserve">The EEO Tabulation data can be found in the American Fact Finder page at: </w:t>
      </w:r>
      <w:hyperlink r:id="rId5" w:history="1">
        <w:r w:rsidRPr="00AE5A6C">
          <w:rPr>
            <w:rStyle w:val="Hyperlink"/>
          </w:rPr>
          <w:t>http://factfinder.census.gov/faces/nav/jsf/pages/searchresults.xhtml</w:t>
        </w:r>
      </w:hyperlink>
      <w:r w:rsidRPr="00801C81">
        <w:t>.</w:t>
      </w:r>
      <w:r>
        <w:t xml:space="preserve"> To </w:t>
      </w:r>
      <w:r w:rsidR="00157741">
        <w:t>obtain the</w:t>
      </w:r>
      <w:r>
        <w:t xml:space="preserve"> relevant labor market statistics for NYC</w:t>
      </w:r>
      <w:r w:rsidR="00157741">
        <w:t>, first select the EEO Occupation Codes option (at the bottom of the page) and then select the SOC codes applicable to NYCT.</w:t>
      </w:r>
      <w:r w:rsidR="00B52EDC">
        <w:t xml:space="preserve"> Next, click on the </w:t>
      </w:r>
      <w:r w:rsidR="008152B6">
        <w:t>“</w:t>
      </w:r>
      <w:r w:rsidR="00B52EDC">
        <w:t>Geographies</w:t>
      </w:r>
      <w:r w:rsidR="008152B6">
        <w:t>”</w:t>
      </w:r>
      <w:r w:rsidR="00B52EDC">
        <w:t xml:space="preserve"> option, select the geographic type “County - 050”, select the </w:t>
      </w:r>
      <w:r w:rsidR="00155639">
        <w:t xml:space="preserve">state NYS, choose the five counties of NYC (i.e., Kings, Queens, New York, </w:t>
      </w:r>
      <w:r w:rsidR="00E81D0D">
        <w:t xml:space="preserve">Richmond, and Bronx).  On the search result page, </w:t>
      </w:r>
      <w:r w:rsidR="00A247D7">
        <w:t>select the dataset named “</w:t>
      </w:r>
      <w:hyperlink r:id="rId6" w:history="1">
        <w:r w:rsidR="00A247D7" w:rsidRPr="00A247D7">
          <w:t>EEO 2r. Detailed Census Occupation by Sex, and Race/Ethnicity for Residence Geography, Total Population</w:t>
        </w:r>
      </w:hyperlink>
      <w:r w:rsidR="00A247D7">
        <w:t xml:space="preserve">”.  The subsequent generated table includes the number of eligible </w:t>
      </w:r>
      <w:r w:rsidR="00594FB1">
        <w:t>individuals</w:t>
      </w:r>
      <w:r w:rsidR="00A247D7">
        <w:t xml:space="preserve"> in the relevant labor market </w:t>
      </w:r>
      <w:r w:rsidR="007F0604">
        <w:t>by SOC</w:t>
      </w:r>
      <w:r w:rsidR="00A247D7">
        <w:t xml:space="preserve">. </w:t>
      </w:r>
      <w:r w:rsidR="00D15344">
        <w:t>Finally, d</w:t>
      </w:r>
      <w:r w:rsidR="00A247D7">
        <w:t xml:space="preserve">ownload </w:t>
      </w:r>
      <w:r w:rsidR="00D15344">
        <w:t xml:space="preserve">the dataset to a CSV file. </w:t>
      </w:r>
    </w:p>
    <w:p w:rsidR="00C70469" w:rsidRDefault="004719A9">
      <w:r>
        <w:t>NYCT Dataset</w:t>
      </w:r>
    </w:p>
    <w:p w:rsidR="00EA0755" w:rsidRDefault="004719A9" w:rsidP="00EA0755">
      <w:r>
        <w:t xml:space="preserve">The NYCT data can be found </w:t>
      </w:r>
      <w:r w:rsidR="00EA0755">
        <w:t xml:space="preserve">in the Human Capital Database. The data queried was the total number of </w:t>
      </w:r>
      <w:r w:rsidR="009F4A49">
        <w:t>employees in each of the eight EEO-4 Job categories by Race, Ge</w:t>
      </w:r>
      <w:r w:rsidR="00594FB1">
        <w:t>nder and internal Occupational G</w:t>
      </w:r>
      <w:r w:rsidR="009F4A49">
        <w:t xml:space="preserve">roup classification. </w:t>
      </w:r>
      <w:r w:rsidR="00EA0755">
        <w:t xml:space="preserve"> </w:t>
      </w:r>
    </w:p>
    <w:p w:rsidR="00D47CD3" w:rsidRDefault="00D47CD3" w:rsidP="005F097C">
      <w:pPr>
        <w:spacing w:line="240" w:lineRule="auto"/>
        <w:contextualSpacing/>
      </w:pPr>
    </w:p>
    <w:p w:rsidR="00D47CD3" w:rsidRDefault="00D47CD3" w:rsidP="005F097C">
      <w:pPr>
        <w:spacing w:line="240" w:lineRule="auto"/>
        <w:contextualSpacing/>
      </w:pPr>
      <w:r>
        <w:t>Figure 2:  Extract of Census Data</w:t>
      </w:r>
    </w:p>
    <w:p w:rsidR="00063D10" w:rsidRDefault="00063D10" w:rsidP="005F097C">
      <w:pPr>
        <w:spacing w:line="240" w:lineRule="auto"/>
        <w:contextualSpacing/>
      </w:pPr>
    </w:p>
    <w:p w:rsidR="00D47CD3" w:rsidRDefault="00063D10" w:rsidP="005F097C">
      <w:pPr>
        <w:spacing w:line="240" w:lineRule="auto"/>
        <w:contextualSpacing/>
      </w:pPr>
      <w:r>
        <w:t>The</w:t>
      </w:r>
      <w:r w:rsidR="0023448A">
        <w:t xml:space="preserve"> C</w:t>
      </w:r>
      <w:r>
        <w:t xml:space="preserve">ensus data was bifurcated into Sex and Race </w:t>
      </w:r>
      <w:r w:rsidR="0023448A">
        <w:t>groupings</w:t>
      </w:r>
      <w:r>
        <w:t xml:space="preserve"> as minorities and females should be reflected o</w:t>
      </w:r>
      <w:r w:rsidR="0023448A">
        <w:t>n the Utilization R</w:t>
      </w:r>
      <w:r>
        <w:t xml:space="preserve">eport. </w:t>
      </w:r>
      <w:r w:rsidR="0023448A">
        <w:t xml:space="preserve">The percentage of </w:t>
      </w:r>
      <w:r w:rsidR="002414A1">
        <w:t>workers</w:t>
      </w:r>
      <w:r w:rsidR="00463405">
        <w:t xml:space="preserve"> in each </w:t>
      </w:r>
      <w:r w:rsidR="002414A1">
        <w:t xml:space="preserve">EE0-4 Job category for NYCT and NYC was calculated </w:t>
      </w:r>
      <w:r w:rsidR="009263F6">
        <w:t>by</w:t>
      </w:r>
      <w:r w:rsidR="002414A1">
        <w:t xml:space="preserve"> Race and Sex. U</w:t>
      </w:r>
      <w:r>
        <w:t xml:space="preserve">nderutilization for Race was determined by </w:t>
      </w:r>
      <w:r w:rsidR="00733319" w:rsidRPr="00733319">
        <w:t xml:space="preserve">comparing the </w:t>
      </w:r>
      <w:r w:rsidR="00733319">
        <w:t xml:space="preserve">NYCT </w:t>
      </w:r>
      <w:r w:rsidR="00733319" w:rsidRPr="00733319">
        <w:t xml:space="preserve">percentages of employees in each job category, </w:t>
      </w:r>
      <w:r w:rsidR="00733319">
        <w:t xml:space="preserve">by race, </w:t>
      </w:r>
      <w:r w:rsidR="00733319" w:rsidRPr="00733319">
        <w:t>to the correspondin</w:t>
      </w:r>
      <w:r w:rsidR="004F483F">
        <w:t xml:space="preserve">g percentages of workers by </w:t>
      </w:r>
      <w:r w:rsidR="00733319">
        <w:t>NYC’s</w:t>
      </w:r>
      <w:r w:rsidR="00733319" w:rsidRPr="00733319">
        <w:t xml:space="preserve"> </w:t>
      </w:r>
      <w:r w:rsidR="004F483F">
        <w:t>benchmark labor market (80% of NYC</w:t>
      </w:r>
      <w:r w:rsidR="00733319" w:rsidRPr="00733319">
        <w:t xml:space="preserve"> </w:t>
      </w:r>
      <w:r w:rsidR="004F483F">
        <w:t xml:space="preserve">labor </w:t>
      </w:r>
      <w:r w:rsidR="00733319" w:rsidRPr="00733319">
        <w:t>market</w:t>
      </w:r>
      <w:r w:rsidR="004F483F">
        <w:t>)</w:t>
      </w:r>
      <w:r w:rsidR="00733319" w:rsidRPr="00733319">
        <w:t>.</w:t>
      </w:r>
      <w:r w:rsidR="00733319">
        <w:t xml:space="preserve"> Further, underutilization for females was determined by </w:t>
      </w:r>
      <w:r w:rsidR="00733319" w:rsidRPr="00733319">
        <w:t xml:space="preserve">comparing the </w:t>
      </w:r>
      <w:r w:rsidR="00733319">
        <w:t xml:space="preserve">NYCT </w:t>
      </w:r>
      <w:r w:rsidR="00733319" w:rsidRPr="00733319">
        <w:t xml:space="preserve">percentages of employees in each job category, </w:t>
      </w:r>
      <w:r w:rsidR="00733319">
        <w:t xml:space="preserve">by Sex, </w:t>
      </w:r>
      <w:r w:rsidR="00733319" w:rsidRPr="00733319">
        <w:t>to the correspondin</w:t>
      </w:r>
      <w:r w:rsidR="00733319">
        <w:t>g percentages of workers in NYC’s</w:t>
      </w:r>
      <w:r w:rsidR="00733319" w:rsidRPr="00733319">
        <w:t xml:space="preserve"> </w:t>
      </w:r>
      <w:r w:rsidR="00841208">
        <w:t xml:space="preserve">benchmark </w:t>
      </w:r>
      <w:r w:rsidR="00733319" w:rsidRPr="00733319">
        <w:t>labor market</w:t>
      </w:r>
      <w:r w:rsidR="00841208">
        <w:t xml:space="preserve"> (80% of NYC</w:t>
      </w:r>
      <w:r w:rsidR="00841208" w:rsidRPr="00733319">
        <w:t xml:space="preserve"> </w:t>
      </w:r>
      <w:r w:rsidR="00841208">
        <w:t xml:space="preserve">labor </w:t>
      </w:r>
      <w:r w:rsidR="00841208" w:rsidRPr="00733319">
        <w:t>market</w:t>
      </w:r>
      <w:r w:rsidR="00841208">
        <w:t>)</w:t>
      </w:r>
      <w:r w:rsidR="00841208" w:rsidRPr="00733319">
        <w:t>.</w:t>
      </w:r>
    </w:p>
    <w:p w:rsidR="00672381" w:rsidRDefault="00672381" w:rsidP="005F097C">
      <w:pPr>
        <w:spacing w:line="240" w:lineRule="auto"/>
        <w:contextualSpacing/>
      </w:pPr>
    </w:p>
    <w:p w:rsidR="00672381" w:rsidRDefault="00672381" w:rsidP="005F097C">
      <w:pPr>
        <w:spacing w:line="240" w:lineRule="auto"/>
        <w:contextualSpacing/>
        <w:rPr>
          <w:b/>
          <w:u w:val="single"/>
        </w:rPr>
      </w:pPr>
      <w:r w:rsidRPr="00672381">
        <w:rPr>
          <w:b/>
          <w:u w:val="single"/>
        </w:rPr>
        <w:t xml:space="preserve">Officials/Administrators Census Workforce </w:t>
      </w:r>
    </w:p>
    <w:p w:rsidR="004F14A7" w:rsidRDefault="004F14A7" w:rsidP="005F097C">
      <w:pPr>
        <w:spacing w:line="240" w:lineRule="auto"/>
        <w:contextualSpacing/>
        <w:rPr>
          <w:b/>
          <w:u w:val="single"/>
        </w:rPr>
      </w:pPr>
    </w:p>
    <w:p w:rsidR="00EA2D53" w:rsidRDefault="004F14A7" w:rsidP="004F14A7">
      <w:pPr>
        <w:spacing w:line="240" w:lineRule="auto"/>
        <w:contextualSpacing/>
      </w:pPr>
      <w:r w:rsidRPr="007A3918">
        <w:t xml:space="preserve">The </w:t>
      </w:r>
      <w:r w:rsidR="005A31AE" w:rsidRPr="007A3918">
        <w:t>available</w:t>
      </w:r>
      <w:r w:rsidRPr="007A3918">
        <w:t xml:space="preserve"> workforce</w:t>
      </w:r>
      <w:r w:rsidR="007A3918" w:rsidRPr="007A3918">
        <w:t xml:space="preserve"> for Officials/Administrators</w:t>
      </w:r>
      <w:r w:rsidRPr="007A3918">
        <w:t xml:space="preserve"> is</w:t>
      </w:r>
      <w:r w:rsidR="005A31AE" w:rsidRPr="007A3918">
        <w:t xml:space="preserve"> not only the geographic location of NYC but instead a combination </w:t>
      </w:r>
      <w:r w:rsidR="007A3918" w:rsidRPr="007A3918">
        <w:t xml:space="preserve">of NYCT data and Census data. </w:t>
      </w:r>
      <w:r w:rsidRPr="007A3918">
        <w:t xml:space="preserve"> </w:t>
      </w:r>
    </w:p>
    <w:p w:rsidR="00EA2D53" w:rsidRDefault="00EA2D53" w:rsidP="004F14A7">
      <w:pPr>
        <w:spacing w:line="240" w:lineRule="auto"/>
        <w:contextualSpacing/>
      </w:pPr>
    </w:p>
    <w:p w:rsidR="00672381" w:rsidRPr="00672381" w:rsidRDefault="00672381" w:rsidP="004F14A7">
      <w:pPr>
        <w:spacing w:line="240" w:lineRule="auto"/>
        <w:contextualSpacing/>
      </w:pPr>
      <w:r w:rsidRPr="004F14A7">
        <w:t>The EEO-</w:t>
      </w:r>
      <w:r w:rsidRPr="00672381">
        <w:t>4 job group Officials/Administrators used by NYCT consists of various NYCT Oc</w:t>
      </w:r>
      <w:r w:rsidR="00F81AB4">
        <w:t>cupational groups.</w:t>
      </w:r>
      <w:r w:rsidRPr="00672381">
        <w:t xml:space="preserve">  The </w:t>
      </w:r>
      <w:r w:rsidRPr="004F14A7">
        <w:t>total NYCT employees in the EEO-</w:t>
      </w:r>
      <w:r w:rsidRPr="00672381">
        <w:t xml:space="preserve">4 job category Officials/Administrators are 7,802. The </w:t>
      </w:r>
      <w:r w:rsidRPr="00672381">
        <w:lastRenderedPageBreak/>
        <w:t>number of "Operating Supervisors" that are in the EEO</w:t>
      </w:r>
      <w:r w:rsidR="00F81AB4">
        <w:t>-4 Job</w:t>
      </w:r>
      <w:r w:rsidRPr="00672381">
        <w:t xml:space="preserve"> Group Officials/Administrators is 5,219.  </w:t>
      </w:r>
      <w:r w:rsidR="00EA2D53">
        <w:t>As such,</w:t>
      </w:r>
      <w:r w:rsidRPr="00672381">
        <w:t xml:space="preserve"> 67% of the Officials/Administrators population is Operating Supervisors.</w:t>
      </w:r>
      <w:r w:rsidR="00EA2D53">
        <w:t xml:space="preserve"> </w:t>
      </w:r>
    </w:p>
    <w:p w:rsidR="00672381" w:rsidRPr="00672381" w:rsidRDefault="00672381" w:rsidP="004F14A7">
      <w:pPr>
        <w:spacing w:line="240" w:lineRule="auto"/>
        <w:contextualSpacing/>
      </w:pPr>
      <w:r w:rsidRPr="00672381">
        <w:t> </w:t>
      </w:r>
    </w:p>
    <w:p w:rsidR="00672381" w:rsidRPr="00672381" w:rsidRDefault="00F81AB4" w:rsidP="004F14A7">
      <w:pPr>
        <w:spacing w:line="240" w:lineRule="auto"/>
        <w:contextualSpacing/>
      </w:pPr>
      <w:r>
        <w:t>As mentioned above, t</w:t>
      </w:r>
      <w:r w:rsidR="00672381" w:rsidRPr="00672381">
        <w:t xml:space="preserve">he available workforce for Operating Supervisors </w:t>
      </w:r>
      <w:r>
        <w:t xml:space="preserve">(sub-group of the Officials/Administrators population) </w:t>
      </w:r>
      <w:r w:rsidR="00672381" w:rsidRPr="00672381">
        <w:t xml:space="preserve">is not the geographic location of New York City but </w:t>
      </w:r>
      <w:r w:rsidR="00EA2D53">
        <w:t>instead</w:t>
      </w:r>
      <w:r w:rsidR="00672381" w:rsidRPr="00672381">
        <w:t xml:space="preserve"> </w:t>
      </w:r>
      <w:r w:rsidR="000E786B">
        <w:t>the</w:t>
      </w:r>
      <w:r w:rsidR="00672381" w:rsidRPr="00672381">
        <w:t xml:space="preserve"> NYCT occupational group called “Hourly Occupational”. </w:t>
      </w:r>
      <w:r w:rsidR="00EA2D53">
        <w:t xml:space="preserve"> Hourly employees will take a Promotional Civil Service exam to promote to a</w:t>
      </w:r>
      <w:r w:rsidR="000E786B">
        <w:t>n</w:t>
      </w:r>
      <w:r w:rsidR="00EA2D53">
        <w:t xml:space="preserve"> Operating Supervisor</w:t>
      </w:r>
      <w:r>
        <w:t xml:space="preserve"> position</w:t>
      </w:r>
      <w:r w:rsidR="00EA2D53">
        <w:t xml:space="preserve">. </w:t>
      </w:r>
      <w:r w:rsidR="000E786B">
        <w:t>Further, t</w:t>
      </w:r>
      <w:r w:rsidR="00672381" w:rsidRPr="00672381">
        <w:t xml:space="preserve">he number of NYCT employees in the occupational group – Hourly Occupational is 38,346.  </w:t>
      </w:r>
      <w:r w:rsidR="000E786B">
        <w:t xml:space="preserve">A weighted average of the two groups </w:t>
      </w:r>
      <w:r w:rsidR="00672381" w:rsidRPr="00672381">
        <w:t xml:space="preserve">67% of the Hourly Occupational </w:t>
      </w:r>
      <w:r w:rsidR="000E786B">
        <w:t xml:space="preserve">group </w:t>
      </w:r>
      <w:r w:rsidR="00672381" w:rsidRPr="00672381">
        <w:t>and 33% of the New York City workforce</w:t>
      </w:r>
      <w:r w:rsidR="000E786B">
        <w:t xml:space="preserve"> (Census data) should</w:t>
      </w:r>
      <w:r w:rsidR="00672381" w:rsidRPr="00672381">
        <w:t xml:space="preserve"> be used to get the total available workforce for the EEO</w:t>
      </w:r>
      <w:r w:rsidR="000E786B">
        <w:t>-</w:t>
      </w:r>
      <w:r w:rsidR="001316E1">
        <w:t xml:space="preserve">4 </w:t>
      </w:r>
      <w:r w:rsidR="001316E1" w:rsidRPr="00672381">
        <w:t>Job</w:t>
      </w:r>
      <w:r w:rsidR="00672381" w:rsidRPr="00672381">
        <w:t xml:space="preserve"> </w:t>
      </w:r>
      <w:r w:rsidR="000E786B">
        <w:t xml:space="preserve">Group Officials/Administrators. </w:t>
      </w:r>
      <w:r w:rsidR="00672381" w:rsidRPr="00672381">
        <w:t xml:space="preserve"> </w:t>
      </w:r>
    </w:p>
    <w:p w:rsidR="00672381" w:rsidRDefault="00672381" w:rsidP="005F097C">
      <w:pPr>
        <w:spacing w:line="240" w:lineRule="auto"/>
        <w:contextualSpacing/>
      </w:pPr>
    </w:p>
    <w:p w:rsidR="00063D10" w:rsidRDefault="00F81AB4" w:rsidP="005F097C">
      <w:pPr>
        <w:spacing w:line="240" w:lineRule="auto"/>
        <w:contextualSpacing/>
        <w:rPr>
          <w:b/>
          <w:u w:val="single"/>
        </w:rPr>
      </w:pPr>
      <w:r w:rsidRPr="00F81AB4">
        <w:rPr>
          <w:b/>
          <w:u w:val="single"/>
        </w:rPr>
        <w:t xml:space="preserve">Race and </w:t>
      </w:r>
      <w:r w:rsidR="00A30B5F">
        <w:rPr>
          <w:b/>
          <w:u w:val="single"/>
        </w:rPr>
        <w:t>Sex</w:t>
      </w:r>
      <w:r w:rsidRPr="00F81AB4">
        <w:rPr>
          <w:b/>
          <w:u w:val="single"/>
        </w:rPr>
        <w:t xml:space="preserve"> data</w:t>
      </w:r>
    </w:p>
    <w:p w:rsidR="00F81AB4" w:rsidRDefault="00F81AB4" w:rsidP="005F097C">
      <w:pPr>
        <w:spacing w:line="240" w:lineRule="auto"/>
        <w:contextualSpacing/>
        <w:rPr>
          <w:b/>
          <w:u w:val="single"/>
        </w:rPr>
      </w:pPr>
    </w:p>
    <w:p w:rsidR="00F81AB4" w:rsidRPr="00F81AB4" w:rsidRDefault="00F81AB4" w:rsidP="005F097C">
      <w:pPr>
        <w:spacing w:line="240" w:lineRule="auto"/>
        <w:contextualSpacing/>
      </w:pPr>
      <w:r>
        <w:t>Race and Gender data was segregated into di</w:t>
      </w:r>
      <w:r w:rsidR="00A839F4">
        <w:t>fferent data frames as the calculation for total NYCT race and NYC race re</w:t>
      </w:r>
      <w:r w:rsidR="00AE7205">
        <w:t>lies on Race data (i.e., White, Hispanic</w:t>
      </w:r>
      <w:r w:rsidR="00AE7205" w:rsidRPr="00AE7205">
        <w:t>,</w:t>
      </w:r>
      <w:r w:rsidR="00AE7205">
        <w:t xml:space="preserve"> Other, Black</w:t>
      </w:r>
      <w:r w:rsidR="00AE7205" w:rsidRPr="00AE7205">
        <w:t>,</w:t>
      </w:r>
      <w:r w:rsidR="00AE7205">
        <w:t xml:space="preserve"> AI/AN,</w:t>
      </w:r>
      <w:r w:rsidR="00CD69D3">
        <w:t xml:space="preserve"> Asian, NHOPI, </w:t>
      </w:r>
      <w:r w:rsidR="00AE7205">
        <w:t xml:space="preserve">and </w:t>
      </w:r>
      <w:r w:rsidR="00AE7205" w:rsidRPr="00AE7205">
        <w:t>Other</w:t>
      </w:r>
      <w:r w:rsidR="00CD69D3">
        <w:t>)</w:t>
      </w:r>
      <w:r w:rsidR="00AE7205">
        <w:t>. Moreover, the total NYCT Sex and NYC Sex relies on Sex data (i.e., Male and Female).  See R Code below for steps in calculating the number and percentage of emplo</w:t>
      </w:r>
      <w:r w:rsidR="00A30B5F">
        <w:t xml:space="preserve">yees in NYCT and workers in NYC by Race and Sex. </w:t>
      </w:r>
      <w:r w:rsidR="00AE7205">
        <w:t xml:space="preserve"> </w:t>
      </w:r>
    </w:p>
    <w:p w:rsidR="00A839F4" w:rsidRDefault="00A839F4" w:rsidP="005F097C">
      <w:pPr>
        <w:spacing w:line="240" w:lineRule="auto"/>
        <w:contextualSpacing/>
        <w:rPr>
          <w:b/>
          <w:u w:val="single"/>
        </w:rPr>
      </w:pPr>
    </w:p>
    <w:p w:rsidR="007E7115" w:rsidRDefault="007E7115" w:rsidP="005F097C">
      <w:pPr>
        <w:spacing w:line="240" w:lineRule="auto"/>
        <w:contextualSpacing/>
        <w:rPr>
          <w:b/>
          <w:u w:val="single"/>
        </w:rPr>
      </w:pPr>
      <w:r>
        <w:rPr>
          <w:b/>
          <w:u w:val="single"/>
        </w:rPr>
        <w:t xml:space="preserve">Logarithmic scales </w:t>
      </w:r>
    </w:p>
    <w:p w:rsidR="007E7115" w:rsidRDefault="007E7115" w:rsidP="005F097C">
      <w:pPr>
        <w:spacing w:line="240" w:lineRule="auto"/>
        <w:contextualSpacing/>
        <w:rPr>
          <w:b/>
          <w:u w:val="single"/>
        </w:rPr>
      </w:pPr>
    </w:p>
    <w:p w:rsidR="007E7115" w:rsidRDefault="00DC0CEB" w:rsidP="005F097C">
      <w:pPr>
        <w:spacing w:line="240" w:lineRule="auto"/>
        <w:contextualSpacing/>
        <w:rPr>
          <w:rFonts w:ascii="Arial" w:hAnsi="Arial" w:cs="Arial"/>
          <w:color w:val="000000"/>
          <w:sz w:val="17"/>
          <w:szCs w:val="17"/>
          <w:shd w:val="clear" w:color="auto" w:fill="FFFFFF"/>
        </w:rPr>
      </w:pPr>
      <w:r>
        <w:rPr>
          <w:b/>
          <w:u w:val="single"/>
        </w:rPr>
        <w:t xml:space="preserve">According to </w:t>
      </w:r>
      <w:r>
        <w:rPr>
          <w:rFonts w:ascii="Arial" w:hAnsi="Arial" w:cs="Arial"/>
          <w:color w:val="000000"/>
          <w:sz w:val="17"/>
          <w:szCs w:val="17"/>
          <w:shd w:val="clear" w:color="auto" w:fill="FFFFFF"/>
        </w:rPr>
        <w:t>The logarithm</w:t>
      </w:r>
      <w:r>
        <w:rPr>
          <w:rStyle w:val="apple-converted-space"/>
          <w:rFonts w:ascii="Arial" w:hAnsi="Arial" w:cs="Arial"/>
          <w:color w:val="000000"/>
          <w:sz w:val="17"/>
          <w:szCs w:val="17"/>
          <w:shd w:val="clear" w:color="auto" w:fill="FFFFFF"/>
        </w:rPr>
        <w:t> </w:t>
      </w:r>
      <w:r>
        <w:rPr>
          <w:noProof/>
        </w:rPr>
        <w:drawing>
          <wp:inline distT="0" distB="0" distL="0" distR="0">
            <wp:extent cx="325120" cy="149225"/>
            <wp:effectExtent l="19050" t="0" r="0" b="0"/>
            <wp:docPr id="7" name="Picture 7" descr="log_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_bx"/>
                    <pic:cNvPicPr>
                      <a:picLocks noChangeAspect="1" noChangeArrowheads="1"/>
                    </pic:cNvPicPr>
                  </pic:nvPicPr>
                  <pic:blipFill>
                    <a:blip r:embed="rId7" cstate="print"/>
                    <a:srcRect/>
                    <a:stretch>
                      <a:fillRect/>
                    </a:stretch>
                  </pic:blipFill>
                  <pic:spPr bwMode="auto">
                    <a:xfrm>
                      <a:off x="0" y="0"/>
                      <a:ext cx="325120" cy="149225"/>
                    </a:xfrm>
                    <a:prstGeom prst="rect">
                      <a:avLst/>
                    </a:prstGeom>
                    <a:noFill/>
                    <a:ln w="9525">
                      <a:noFill/>
                      <a:miter lim="800000"/>
                      <a:headEnd/>
                      <a:tailEnd/>
                    </a:ln>
                  </pic:spPr>
                </pic:pic>
              </a:graphicData>
            </a:graphic>
          </wp:inline>
        </w:drawing>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for a</w:t>
      </w:r>
      <w:r>
        <w:rPr>
          <w:rStyle w:val="apple-converted-space"/>
          <w:rFonts w:ascii="Arial" w:hAnsi="Arial" w:cs="Arial"/>
          <w:color w:val="000000"/>
          <w:sz w:val="17"/>
          <w:szCs w:val="17"/>
          <w:shd w:val="clear" w:color="auto" w:fill="FFFFFF"/>
        </w:rPr>
        <w:t> </w:t>
      </w:r>
      <w:hyperlink r:id="rId8" w:history="1">
        <w:r>
          <w:rPr>
            <w:rStyle w:val="Hyperlink"/>
            <w:rFonts w:ascii="Arial" w:hAnsi="Arial" w:cs="Arial"/>
            <w:color w:val="006699"/>
            <w:sz w:val="17"/>
            <w:szCs w:val="17"/>
            <w:shd w:val="clear" w:color="auto" w:fill="FFFFFF"/>
          </w:rPr>
          <w:t>base</w:t>
        </w:r>
      </w:hyperlink>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pic:cNvPicPr>
                      <a:picLocks noChangeAspect="1" noChangeArrowheads="1"/>
                    </pic:cNvPicPr>
                  </pic:nvPicPr>
                  <pic:blipFill>
                    <a:blip r:embed="rId9"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and a number</w:t>
      </w:r>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9" name="Picture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0"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is defined to be the</w:t>
      </w:r>
      <w:r>
        <w:rPr>
          <w:rStyle w:val="apple-converted-space"/>
          <w:rFonts w:ascii="Arial" w:hAnsi="Arial" w:cs="Arial"/>
          <w:color w:val="000000"/>
          <w:sz w:val="17"/>
          <w:szCs w:val="17"/>
          <w:shd w:val="clear" w:color="auto" w:fill="FFFFFF"/>
        </w:rPr>
        <w:t> </w:t>
      </w:r>
      <w:hyperlink r:id="rId11" w:history="1">
        <w:r>
          <w:rPr>
            <w:rStyle w:val="Hyperlink"/>
            <w:rFonts w:ascii="Arial" w:hAnsi="Arial" w:cs="Arial"/>
            <w:color w:val="006699"/>
            <w:sz w:val="17"/>
            <w:szCs w:val="17"/>
            <w:shd w:val="clear" w:color="auto" w:fill="FFFFFF"/>
          </w:rPr>
          <w:t>inverse function</w:t>
        </w:r>
      </w:hyperlink>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of taking</w:t>
      </w:r>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10" name="Picture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pic:cNvPicPr>
                      <a:picLocks noChangeAspect="1" noChangeArrowheads="1"/>
                    </pic:cNvPicPr>
                  </pic:nvPicPr>
                  <pic:blipFill>
                    <a:blip r:embed="rId9"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to the</w:t>
      </w:r>
      <w:r>
        <w:rPr>
          <w:rStyle w:val="apple-converted-space"/>
          <w:rFonts w:ascii="Arial" w:hAnsi="Arial" w:cs="Arial"/>
          <w:color w:val="000000"/>
          <w:sz w:val="17"/>
          <w:szCs w:val="17"/>
          <w:shd w:val="clear" w:color="auto" w:fill="FFFFFF"/>
        </w:rPr>
        <w:t> </w:t>
      </w:r>
      <w:hyperlink r:id="rId12" w:history="1">
        <w:r>
          <w:rPr>
            <w:rStyle w:val="Hyperlink"/>
            <w:rFonts w:ascii="Arial" w:hAnsi="Arial" w:cs="Arial"/>
            <w:color w:val="006699"/>
            <w:sz w:val="17"/>
            <w:szCs w:val="17"/>
            <w:shd w:val="clear" w:color="auto" w:fill="FFFFFF"/>
          </w:rPr>
          <w:t>power</w:t>
        </w:r>
      </w:hyperlink>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11" name="Picture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pic:cNvPicPr>
                      <a:picLocks noChangeAspect="1" noChangeArrowheads="1"/>
                    </pic:cNvPicPr>
                  </pic:nvPicPr>
                  <pic:blipFill>
                    <a:blip r:embed="rId10"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Fonts w:ascii="Arial" w:hAnsi="Arial" w:cs="Arial"/>
          <w:color w:val="000000"/>
          <w:sz w:val="17"/>
          <w:szCs w:val="17"/>
          <w:shd w:val="clear" w:color="auto" w:fill="FFFFFF"/>
        </w:rPr>
        <w:t>, i.e.,</w:t>
      </w:r>
      <w:r>
        <w:rPr>
          <w:rStyle w:val="apple-converted-space"/>
          <w:rFonts w:ascii="Arial" w:hAnsi="Arial" w:cs="Arial"/>
          <w:color w:val="000000"/>
          <w:sz w:val="17"/>
          <w:szCs w:val="17"/>
          <w:shd w:val="clear" w:color="auto" w:fill="FFFFFF"/>
        </w:rPr>
        <w:t> </w:t>
      </w:r>
      <w:r>
        <w:rPr>
          <w:noProof/>
        </w:rPr>
        <w:drawing>
          <wp:inline distT="0" distB="0" distL="0" distR="0">
            <wp:extent cx="123190" cy="132080"/>
            <wp:effectExtent l="19050" t="0" r="0" b="0"/>
            <wp:docPr id="12" name="Picture 12" descr="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x"/>
                    <pic:cNvPicPr>
                      <a:picLocks noChangeAspect="1" noChangeArrowheads="1"/>
                    </pic:cNvPicPr>
                  </pic:nvPicPr>
                  <pic:blipFill>
                    <a:blip r:embed="rId13" cstate="print"/>
                    <a:srcRect/>
                    <a:stretch>
                      <a:fillRect/>
                    </a:stretch>
                  </pic:blipFill>
                  <pic:spPr bwMode="auto">
                    <a:xfrm>
                      <a:off x="0" y="0"/>
                      <a:ext cx="123190" cy="132080"/>
                    </a:xfrm>
                    <a:prstGeom prst="rect">
                      <a:avLst/>
                    </a:prstGeom>
                    <a:noFill/>
                    <a:ln w="9525">
                      <a:noFill/>
                      <a:miter lim="800000"/>
                      <a:headEnd/>
                      <a:tailEnd/>
                    </a:ln>
                  </pic:spPr>
                </pic:pic>
              </a:graphicData>
            </a:graphic>
          </wp:inline>
        </w:drawing>
      </w:r>
      <w:r>
        <w:rPr>
          <w:rFonts w:ascii="Arial" w:hAnsi="Arial" w:cs="Arial"/>
          <w:color w:val="000000"/>
          <w:sz w:val="17"/>
          <w:szCs w:val="17"/>
          <w:shd w:val="clear" w:color="auto" w:fill="FFFFFF"/>
        </w:rPr>
        <w:t>. Therefore, for any</w:t>
      </w:r>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13" name="Picture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pic:cNvPicPr>
                      <a:picLocks noChangeAspect="1" noChangeArrowheads="1"/>
                    </pic:cNvPicPr>
                  </pic:nvPicPr>
                  <pic:blipFill>
                    <a:blip r:embed="rId10"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and</w:t>
      </w:r>
      <w:r>
        <w:rPr>
          <w:rStyle w:val="apple-converted-space"/>
          <w:rFonts w:ascii="Arial" w:hAnsi="Arial" w:cs="Arial"/>
          <w:color w:val="000000"/>
          <w:sz w:val="17"/>
          <w:szCs w:val="17"/>
          <w:shd w:val="clear" w:color="auto" w:fill="FFFFFF"/>
        </w:rPr>
        <w:t> </w:t>
      </w:r>
      <w:r>
        <w:rPr>
          <w:noProof/>
        </w:rPr>
        <w:drawing>
          <wp:inline distT="0" distB="0" distL="0" distR="0">
            <wp:extent cx="61595" cy="132080"/>
            <wp:effectExtent l="19050" t="0" r="0" b="0"/>
            <wp:docPr id="14" name="Picture 1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
                    <pic:cNvPicPr>
                      <a:picLocks noChangeAspect="1" noChangeArrowheads="1"/>
                    </pic:cNvPicPr>
                  </pic:nvPicPr>
                  <pic:blipFill>
                    <a:blip r:embed="rId9" cstate="print"/>
                    <a:srcRect/>
                    <a:stretch>
                      <a:fillRect/>
                    </a:stretch>
                  </pic:blipFill>
                  <pic:spPr bwMode="auto">
                    <a:xfrm>
                      <a:off x="0" y="0"/>
                      <a:ext cx="61595" cy="132080"/>
                    </a:xfrm>
                    <a:prstGeom prst="rect">
                      <a:avLst/>
                    </a:prstGeom>
                    <a:noFill/>
                    <a:ln w="9525">
                      <a:noFill/>
                      <a:miter lim="800000"/>
                      <a:headEnd/>
                      <a:tailEnd/>
                    </a:ln>
                  </pic:spPr>
                </pic:pic>
              </a:graphicData>
            </a:graphic>
          </wp:inline>
        </w:drawing>
      </w:r>
      <w:r>
        <w:rPr>
          <w:rFonts w:ascii="Arial" w:hAnsi="Arial" w:cs="Arial"/>
          <w:color w:val="000000"/>
          <w:sz w:val="17"/>
          <w:szCs w:val="17"/>
          <w:shd w:val="clear" w:color="auto" w:fill="FFFFFF"/>
        </w:rPr>
        <w:t>,</w:t>
      </w:r>
    </w:p>
    <w:p w:rsidR="00DC0CEB" w:rsidRDefault="00DC0CEB" w:rsidP="005F097C">
      <w:pPr>
        <w:spacing w:line="240" w:lineRule="auto"/>
        <w:contextualSpacing/>
        <w:rPr>
          <w:rFonts w:ascii="Arial" w:hAnsi="Arial" w:cs="Arial"/>
          <w:color w:val="000000"/>
          <w:sz w:val="17"/>
          <w:szCs w:val="17"/>
          <w:shd w:val="clear" w:color="auto" w:fill="FFFFFF"/>
        </w:rPr>
      </w:pPr>
    </w:p>
    <w:p w:rsidR="00DC0CEB" w:rsidRDefault="00DC0CEB" w:rsidP="005F097C">
      <w:pPr>
        <w:spacing w:line="240" w:lineRule="auto"/>
        <w:contextualSpacing/>
        <w:rPr>
          <w:b/>
          <w:u w:val="single"/>
        </w:rPr>
      </w:pPr>
      <w:r w:rsidRPr="00DC0CEB">
        <w:rPr>
          <w:b/>
          <w:u w:val="single"/>
        </w:rPr>
        <w:t>http://mathworld.wolfram.com/Logarithm.html</w:t>
      </w:r>
    </w:p>
    <w:p w:rsidR="007E7115" w:rsidRDefault="007E7115" w:rsidP="005F097C">
      <w:pPr>
        <w:spacing w:line="240" w:lineRule="auto"/>
        <w:contextualSpacing/>
        <w:rPr>
          <w:b/>
          <w:u w:val="single"/>
        </w:rPr>
      </w:pPr>
    </w:p>
    <w:p w:rsidR="007E7115" w:rsidRDefault="007E7115" w:rsidP="005F097C">
      <w:pPr>
        <w:spacing w:line="240" w:lineRule="auto"/>
        <w:contextualSpacing/>
        <w:rPr>
          <w:b/>
          <w:u w:val="single"/>
        </w:rPr>
      </w:pPr>
    </w:p>
    <w:p w:rsidR="00F81AB4" w:rsidRPr="00D94859" w:rsidRDefault="00F81AB4" w:rsidP="00F81AB4">
      <w:pPr>
        <w:rPr>
          <w:b/>
          <w:u w:val="single"/>
        </w:rPr>
      </w:pPr>
      <w:r w:rsidRPr="00D94859">
        <w:rPr>
          <w:b/>
          <w:u w:val="single"/>
        </w:rPr>
        <w:t xml:space="preserve">Analysis </w:t>
      </w:r>
    </w:p>
    <w:p w:rsidR="00F81AB4" w:rsidRDefault="00F81AB4" w:rsidP="00F81AB4">
      <w:r>
        <w:t>Census workforce data and NYCT workforce data were downloaded into R Studio via Read.csv and checked for missing values using na.omit.</w:t>
      </w:r>
    </w:p>
    <w:p w:rsidR="00F81AB4" w:rsidRDefault="00F81AB4" w:rsidP="00F81AB4">
      <w:r>
        <w:t>##Check for M</w:t>
      </w:r>
      <w:r w:rsidRPr="00993D6C">
        <w:t>issing Values</w:t>
      </w:r>
    </w:p>
    <w:p w:rsidR="00F81AB4" w:rsidRDefault="00F81AB4" w:rsidP="00F81AB4">
      <w:r w:rsidRPr="00993D6C">
        <w:t>#Join OCC codes to the Census data</w:t>
      </w:r>
    </w:p>
    <w:p w:rsidR="00F81AB4" w:rsidRDefault="00F81AB4" w:rsidP="00F81AB4">
      <w:r>
        <w:t xml:space="preserve">The utilization report will compare percentages of employees in each EEO-4 Job Category, cross classified by Race and Sex.  Therefore, EEO-4 Job Categories should be added to the Census data.  A table with Occupational Classification Code (OCC) that is mapped to EEO-4 Job Categories was read into R Studio.  Further, the Census data and the dataset that contains EEO-4 Job categories were joined by OCC. As a result of the join, a new column with EEO-4 data was appended to the Census data. </w:t>
      </w:r>
    </w:p>
    <w:p w:rsidR="00F81AB4" w:rsidRDefault="00F81AB4" w:rsidP="00F81AB4">
      <w:pPr>
        <w:spacing w:line="240" w:lineRule="auto"/>
        <w:contextualSpacing/>
      </w:pPr>
      <w:r>
        <w:t xml:space="preserve">## Select geographic data on the number of residence in NYC by Sex and Race  </w:t>
      </w:r>
    </w:p>
    <w:p w:rsidR="00F81AB4" w:rsidRDefault="00F81AB4" w:rsidP="00F81AB4">
      <w:pPr>
        <w:spacing w:line="240" w:lineRule="auto"/>
        <w:contextualSpacing/>
      </w:pPr>
      <w:r>
        <w:t>## Rename column headers</w:t>
      </w:r>
    </w:p>
    <w:p w:rsidR="00F81AB4" w:rsidRDefault="00F81AB4" w:rsidP="00F81AB4">
      <w:pPr>
        <w:spacing w:line="240" w:lineRule="auto"/>
        <w:contextualSpacing/>
      </w:pPr>
      <w:r w:rsidRPr="00BA60EF">
        <w:t>## Sort by EEO Job Category</w:t>
      </w:r>
    </w:p>
    <w:p w:rsidR="00F81AB4" w:rsidRDefault="00F81AB4" w:rsidP="00F81AB4">
      <w:pPr>
        <w:spacing w:line="240" w:lineRule="auto"/>
        <w:contextualSpacing/>
      </w:pPr>
      <w:r>
        <w:t>## Find the vertical summation for each Race and Sex category</w:t>
      </w:r>
    </w:p>
    <w:p w:rsidR="00F81AB4" w:rsidRDefault="00F81AB4" w:rsidP="00F81AB4">
      <w:pPr>
        <w:spacing w:line="240" w:lineRule="auto"/>
        <w:contextualSpacing/>
      </w:pPr>
    </w:p>
    <w:p w:rsidR="00F81AB4" w:rsidRDefault="00F81AB4" w:rsidP="00F81AB4">
      <w:pPr>
        <w:spacing w:line="240" w:lineRule="auto"/>
        <w:contextualSpacing/>
      </w:pPr>
      <w:r>
        <w:t xml:space="preserve">The Census data consists of multiple statistics (e.g., totals for Race for a county within NYC for both Sexes, Margin of Error for the number of residence by Race and Sex for a particular County within NYC, </w:t>
      </w:r>
      <w:r>
        <w:lastRenderedPageBreak/>
        <w:t xml:space="preserve">etc.).  The selected data is comprised of the number of residence in NYC by Race for one Sex (i.e., Male or Female).  Column headers were renamed to a naming convention that would allow Race and Sex to be later separated.  The following is an example of the naming convention - </w:t>
      </w:r>
      <w:r w:rsidRPr="005A3759">
        <w:t>White.alone_Male</w:t>
      </w:r>
      <w:r>
        <w:t xml:space="preserve">. </w:t>
      </w:r>
    </w:p>
    <w:p w:rsidR="00F81AB4" w:rsidRDefault="00F81AB4" w:rsidP="00F81AB4">
      <w:pPr>
        <w:spacing w:line="240" w:lineRule="auto"/>
        <w:contextualSpacing/>
      </w:pPr>
      <w:r>
        <w:t xml:space="preserve">The Census data was grouped by EEO-4 job Category and then summarized by the grouping selection.  The summarize function also took a vertical summation of all residence within the five boroughs by Race and Sex for each EEO-4 Job Category. </w:t>
      </w:r>
    </w:p>
    <w:p w:rsidR="00F81AB4" w:rsidRDefault="00F81AB4" w:rsidP="00F81AB4">
      <w:pPr>
        <w:spacing w:line="240" w:lineRule="auto"/>
        <w:contextualSpacing/>
      </w:pPr>
    </w:p>
    <w:p w:rsidR="00F81AB4" w:rsidRDefault="00F81AB4" w:rsidP="00F81AB4">
      <w:pPr>
        <w:spacing w:line="240" w:lineRule="auto"/>
        <w:contextualSpacing/>
      </w:pPr>
      <w:r>
        <w:t xml:space="preserve">The Column headers for Race and Sex were collapsed into rows using the Gather function. </w:t>
      </w:r>
    </w:p>
    <w:p w:rsidR="00F81AB4" w:rsidRDefault="00F81AB4" w:rsidP="00F81AB4">
      <w:pPr>
        <w:spacing w:line="240" w:lineRule="auto"/>
        <w:contextualSpacing/>
      </w:pPr>
    </w:p>
    <w:p w:rsidR="00F81AB4" w:rsidRDefault="00F81AB4" w:rsidP="00F81AB4">
      <w:pPr>
        <w:spacing w:line="240" w:lineRule="auto"/>
        <w:contextualSpacing/>
      </w:pPr>
      <w:r>
        <w:t>An extract of the census data before summarizing the data is provided below as Figure 2.</w:t>
      </w:r>
    </w:p>
    <w:p w:rsidR="00F81AB4" w:rsidRDefault="00F81AB4" w:rsidP="00F81AB4">
      <w:pPr>
        <w:spacing w:line="240" w:lineRule="auto"/>
        <w:contextualSpacing/>
      </w:pPr>
    </w:p>
    <w:p w:rsidR="00F81AB4" w:rsidRDefault="00F81AB4" w:rsidP="00F81AB4">
      <w:pPr>
        <w:spacing w:line="240" w:lineRule="auto"/>
        <w:contextualSpacing/>
      </w:pPr>
      <w:r>
        <w:t>Figure 2</w:t>
      </w:r>
    </w:p>
    <w:p w:rsidR="00F81AB4" w:rsidRDefault="00F81AB4" w:rsidP="00F81AB4">
      <w:pPr>
        <w:spacing w:line="240" w:lineRule="auto"/>
        <w:contextualSpacing/>
      </w:pPr>
    </w:p>
    <w:tbl>
      <w:tblPr>
        <w:tblW w:w="5260" w:type="dxa"/>
        <w:tblInd w:w="93" w:type="dxa"/>
        <w:tblLook w:val="04A0"/>
      </w:tblPr>
      <w:tblGrid>
        <w:gridCol w:w="576"/>
        <w:gridCol w:w="2603"/>
        <w:gridCol w:w="2081"/>
      </w:tblGrid>
      <w:tr w:rsidR="00F81AB4" w:rsidRPr="00D47CD3" w:rsidTr="00216997">
        <w:trPr>
          <w:trHeight w:val="795"/>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1AB4" w:rsidRPr="00D47CD3" w:rsidRDefault="00F81AB4" w:rsidP="00216997">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OCC</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rsidR="00F81AB4" w:rsidRPr="00D47CD3" w:rsidRDefault="00F81AB4" w:rsidP="00216997">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occ.group</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rsidR="00F81AB4" w:rsidRPr="00D47CD3" w:rsidRDefault="00F81AB4" w:rsidP="00216997">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EEO.Job.Group</w:t>
            </w:r>
          </w:p>
        </w:tc>
      </w:tr>
      <w:tr w:rsidR="00F81AB4" w:rsidRPr="00D47CD3" w:rsidTr="00216997">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20</w:t>
            </w:r>
          </w:p>
        </w:tc>
        <w:tc>
          <w:tcPr>
            <w:tcW w:w="264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General and operations managers 0020 (SOC 11-1021)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F81AB4" w:rsidRPr="00D47CD3" w:rsidTr="00216997">
        <w:trPr>
          <w:trHeight w:val="465"/>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60</w:t>
            </w:r>
          </w:p>
        </w:tc>
        <w:tc>
          <w:tcPr>
            <w:tcW w:w="2640" w:type="dxa"/>
            <w:tcBorders>
              <w:top w:val="nil"/>
              <w:left w:val="nil"/>
              <w:bottom w:val="single" w:sz="4" w:space="0" w:color="auto"/>
              <w:right w:val="single" w:sz="4" w:space="0" w:color="auto"/>
            </w:tcBorders>
            <w:shd w:val="clear" w:color="000000" w:fill="FDFDFD"/>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Public relations and fundraising managers 0060 (SOC 11-2031)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F81AB4" w:rsidRPr="00D47CD3" w:rsidTr="00216997">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100</w:t>
            </w:r>
          </w:p>
        </w:tc>
        <w:tc>
          <w:tcPr>
            <w:tcW w:w="264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Administrative services managers 0100 (SOC 11-3011)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F81AB4" w:rsidRPr="00D47CD3" w:rsidTr="00216997">
        <w:trPr>
          <w:trHeight w:val="690"/>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110</w:t>
            </w:r>
          </w:p>
        </w:tc>
        <w:tc>
          <w:tcPr>
            <w:tcW w:w="2640" w:type="dxa"/>
            <w:tcBorders>
              <w:top w:val="nil"/>
              <w:left w:val="nil"/>
              <w:bottom w:val="single" w:sz="4" w:space="0" w:color="auto"/>
              <w:right w:val="single" w:sz="4" w:space="0" w:color="auto"/>
            </w:tcBorders>
            <w:shd w:val="clear" w:color="000000" w:fill="FDFDFD"/>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Computer and information systems managers 0110 (SOC 11-3021)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F81AB4" w:rsidRPr="00D47CD3" w:rsidTr="00216997">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120</w:t>
            </w:r>
          </w:p>
        </w:tc>
        <w:tc>
          <w:tcPr>
            <w:tcW w:w="264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Financial managers 0120 (SOC 11-3031)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F81AB4" w:rsidRPr="00D47CD3" w:rsidTr="00216997">
        <w:trPr>
          <w:trHeight w:val="465"/>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F81AB4" w:rsidRPr="00D47CD3" w:rsidRDefault="00F81AB4" w:rsidP="00216997">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150</w:t>
            </w:r>
          </w:p>
        </w:tc>
        <w:tc>
          <w:tcPr>
            <w:tcW w:w="2640" w:type="dxa"/>
            <w:tcBorders>
              <w:top w:val="nil"/>
              <w:left w:val="nil"/>
              <w:bottom w:val="single" w:sz="4" w:space="0" w:color="auto"/>
              <w:right w:val="single" w:sz="4" w:space="0" w:color="auto"/>
            </w:tcBorders>
            <w:shd w:val="clear" w:color="000000" w:fill="FDFDFD"/>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Purchasing managers 0150 (SOC 11-3061)</w:t>
            </w:r>
          </w:p>
        </w:tc>
        <w:tc>
          <w:tcPr>
            <w:tcW w:w="2050" w:type="dxa"/>
            <w:tcBorders>
              <w:top w:val="nil"/>
              <w:left w:val="nil"/>
              <w:bottom w:val="single" w:sz="4" w:space="0" w:color="auto"/>
              <w:right w:val="single" w:sz="4" w:space="0" w:color="auto"/>
            </w:tcBorders>
            <w:shd w:val="clear" w:color="000000" w:fill="FFFFFF"/>
            <w:vAlign w:val="bottom"/>
            <w:hideMark/>
          </w:tcPr>
          <w:p w:rsidR="00F81AB4" w:rsidRPr="00D47CD3" w:rsidRDefault="00F81AB4" w:rsidP="00216997">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bl>
    <w:p w:rsidR="00F81AB4" w:rsidRDefault="00F81AB4" w:rsidP="00F81AB4">
      <w:pPr>
        <w:spacing w:line="240" w:lineRule="auto"/>
        <w:contextualSpacing/>
      </w:pPr>
    </w:p>
    <w:p w:rsidR="008F6017" w:rsidRDefault="008F6017" w:rsidP="00F81AB4">
      <w:pPr>
        <w:spacing w:line="240" w:lineRule="auto"/>
        <w:contextualSpacing/>
        <w:rPr>
          <w:b/>
          <w:u w:val="single"/>
        </w:rPr>
      </w:pPr>
    </w:p>
    <w:p w:rsidR="00C304F1" w:rsidRDefault="008F6017" w:rsidP="00F81AB4">
      <w:pPr>
        <w:spacing w:line="240" w:lineRule="auto"/>
        <w:contextualSpacing/>
        <w:rPr>
          <w:b/>
          <w:u w:val="single"/>
        </w:rPr>
      </w:pPr>
      <w:r>
        <w:rPr>
          <w:b/>
          <w:u w:val="single"/>
        </w:rPr>
        <w:t xml:space="preserve"> </w:t>
      </w:r>
      <w:r w:rsidR="00F81AB4">
        <w:rPr>
          <w:b/>
          <w:u w:val="single"/>
        </w:rPr>
        <w:t>Workforce Utilization R</w:t>
      </w:r>
      <w:r w:rsidR="00F81AB4" w:rsidRPr="003D667F">
        <w:rPr>
          <w:b/>
          <w:u w:val="single"/>
        </w:rPr>
        <w:t>eport</w:t>
      </w:r>
      <w:r w:rsidR="00F81AB4">
        <w:rPr>
          <w:b/>
          <w:u w:val="single"/>
        </w:rPr>
        <w:t xml:space="preserve"> Results</w:t>
      </w:r>
      <w:r w:rsidR="00F81AB4" w:rsidRPr="003D667F">
        <w:rPr>
          <w:b/>
          <w:u w:val="single"/>
        </w:rPr>
        <w:t xml:space="preserve"> </w:t>
      </w:r>
    </w:p>
    <w:p w:rsidR="00F81AB4" w:rsidRDefault="00F81AB4" w:rsidP="00F81AB4">
      <w:pPr>
        <w:spacing w:line="240" w:lineRule="auto"/>
        <w:contextualSpacing/>
        <w:rPr>
          <w:b/>
          <w:u w:val="single"/>
        </w:rPr>
      </w:pPr>
    </w:p>
    <w:p w:rsidR="00F81AB4" w:rsidRPr="009263F6" w:rsidRDefault="00F81AB4" w:rsidP="00F81AB4">
      <w:pPr>
        <w:spacing w:line="240" w:lineRule="auto"/>
        <w:contextualSpacing/>
      </w:pPr>
      <w:r>
        <w:t xml:space="preserve">Under the job category Technicians, underutilization exists for American Indian/Alaskan Natives. Under the job category Skilled Craft, underutilization exists for American Indian/Alaskan Natives and Hispanics. Under the job category Service Maintenance, underutilization exists for Asians. Under the job category Professionals, underutilization exists for Females. Under the job category Officials/administrators, underutilization exists for Native Hawaiian, Other Pacific Islander and Females.  Under the job category Office/Clerical, underutilization exists for Females. </w:t>
      </w:r>
    </w:p>
    <w:p w:rsidR="00D47CD3" w:rsidRDefault="00D47CD3" w:rsidP="005F097C">
      <w:pPr>
        <w:spacing w:line="240" w:lineRule="auto"/>
        <w:contextualSpacing/>
      </w:pPr>
    </w:p>
    <w:p w:rsidR="00D47CD3" w:rsidRDefault="00C304F1" w:rsidP="005F097C">
      <w:pPr>
        <w:spacing w:line="240" w:lineRule="auto"/>
        <w:contextualSpacing/>
      </w:pPr>
      <w:r>
        <w:rPr>
          <w:noProof/>
        </w:rPr>
        <w:lastRenderedPageBreak/>
        <w:drawing>
          <wp:inline distT="0" distB="0" distL="0" distR="0">
            <wp:extent cx="5943600" cy="677004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6770047"/>
                    </a:xfrm>
                    <a:prstGeom prst="rect">
                      <a:avLst/>
                    </a:prstGeom>
                    <a:noFill/>
                    <a:ln w="9525">
                      <a:noFill/>
                      <a:miter lim="800000"/>
                      <a:headEnd/>
                      <a:tailEnd/>
                    </a:ln>
                  </pic:spPr>
                </pic:pic>
              </a:graphicData>
            </a:graphic>
          </wp:inline>
        </w:drawing>
      </w:r>
    </w:p>
    <w:p w:rsidR="00D47CD3" w:rsidRDefault="00D47CD3" w:rsidP="005F097C">
      <w:pPr>
        <w:spacing w:line="240" w:lineRule="auto"/>
        <w:contextualSpacing/>
      </w:pPr>
    </w:p>
    <w:p w:rsidR="00D47CD3" w:rsidRDefault="00D47CD3" w:rsidP="005F097C">
      <w:pPr>
        <w:spacing w:line="240" w:lineRule="auto"/>
        <w:contextualSpacing/>
      </w:pPr>
    </w:p>
    <w:p w:rsidR="00D47CD3" w:rsidRDefault="00D47CD3" w:rsidP="005F097C">
      <w:pPr>
        <w:spacing w:line="240" w:lineRule="auto"/>
        <w:contextualSpacing/>
      </w:pPr>
    </w:p>
    <w:p w:rsidR="00D47CD3" w:rsidRDefault="00D47CD3" w:rsidP="005F097C">
      <w:pPr>
        <w:spacing w:line="240" w:lineRule="auto"/>
        <w:contextualSpacing/>
      </w:pPr>
    </w:p>
    <w:p w:rsidR="001039F0" w:rsidRDefault="001039F0" w:rsidP="005F097C">
      <w:pPr>
        <w:spacing w:line="240" w:lineRule="auto"/>
        <w:contextualSpacing/>
      </w:pPr>
    </w:p>
    <w:p w:rsidR="001039F0" w:rsidRDefault="001039F0" w:rsidP="001039F0">
      <w:r>
        <w:t xml:space="preserve">sex.  The NYCT data consists of information on all employees working at NYCT by Sex, Ethnicity, and Standard Occupational Classification. The job category column in the </w:t>
      </w:r>
      <w:r w:rsidRPr="00A636AB">
        <w:rPr>
          <w:highlight w:val="yellow"/>
        </w:rPr>
        <w:t>NYCT data set is one or more positions having similar requirements, content, wage rates and opportunities for</w:t>
      </w:r>
      <w:r>
        <w:t xml:space="preserve"> </w:t>
      </w:r>
      <w:r w:rsidRPr="00A636AB">
        <w:rPr>
          <w:highlight w:val="yellow"/>
        </w:rPr>
        <w:t>advancement.</w:t>
      </w:r>
      <w:r>
        <w:t xml:space="preserve">  </w:t>
      </w:r>
    </w:p>
    <w:p w:rsidR="001039F0" w:rsidRDefault="001039F0" w:rsidP="001039F0">
      <w:r>
        <w:lastRenderedPageBreak/>
        <w:t>Census Dataset</w:t>
      </w:r>
    </w:p>
    <w:p w:rsidR="001039F0" w:rsidRDefault="001039F0" w:rsidP="001039F0">
      <w:r>
        <w:t xml:space="preserve">The EEO Tabulation data can be found in the American Fact Finder page at: </w:t>
      </w:r>
      <w:hyperlink r:id="rId15" w:history="1">
        <w:r w:rsidRPr="00AE5A6C">
          <w:rPr>
            <w:rStyle w:val="Hyperlink"/>
          </w:rPr>
          <w:t>http://factfinder.census.gov/faces/nav/jsf/pages/searchresults.xhtml</w:t>
        </w:r>
      </w:hyperlink>
      <w:r w:rsidRPr="00801C81">
        <w:t>.</w:t>
      </w:r>
      <w:r>
        <w:t xml:space="preserve"> To obtain the relevant labor market statistics for NYC, first select the EEO Occupation Codes option (at the bottom of the page) and then select the SOC codes applicable to NYCT. Next, click on the Geographies option, select the geographic type “County - 050”, select the state NYS, choose the five counties of NYC (i.e., Kings, Queens, New York, Richmond, and Bronx).  On the search result page, select the dataset named “</w:t>
      </w:r>
      <w:hyperlink r:id="rId16" w:history="1">
        <w:r w:rsidRPr="00A247D7">
          <w:t>EEO 2r. Detailed Census Occupation by Sex, and Race/Ethnicity for Residence Geography, Total Population</w:t>
        </w:r>
      </w:hyperlink>
      <w:r>
        <w:t xml:space="preserve">”.  The subsequent generated table includes the number of eligible people in the relevant labor market in each of the eight EEO-4 Job categories. Finally, download the dataset to a CSV file. </w:t>
      </w:r>
    </w:p>
    <w:p w:rsidR="001039F0" w:rsidRDefault="001039F0" w:rsidP="001039F0">
      <w:r>
        <w:t>NYCT Dataset</w:t>
      </w:r>
    </w:p>
    <w:p w:rsidR="001039F0" w:rsidRDefault="001039F0" w:rsidP="001039F0">
      <w:r>
        <w:t xml:space="preserve">The NYCT data can be found in the Human Capital Database . </w:t>
      </w:r>
    </w:p>
    <w:p w:rsidR="001039F0" w:rsidRPr="00D94859" w:rsidRDefault="001039F0" w:rsidP="001039F0">
      <w:pPr>
        <w:rPr>
          <w:b/>
          <w:u w:val="single"/>
        </w:rPr>
      </w:pPr>
      <w:r w:rsidRPr="00D94859">
        <w:rPr>
          <w:b/>
          <w:u w:val="single"/>
        </w:rPr>
        <w:t xml:space="preserve">Analysis </w:t>
      </w:r>
    </w:p>
    <w:p w:rsidR="001039F0" w:rsidRDefault="001039F0" w:rsidP="001039F0">
      <w:r>
        <w:t>##Check for M</w:t>
      </w:r>
      <w:r w:rsidRPr="00993D6C">
        <w:t>issing Values</w:t>
      </w:r>
    </w:p>
    <w:p w:rsidR="001039F0" w:rsidRDefault="001039F0" w:rsidP="001039F0">
      <w:r>
        <w:t>Data was downloaded into R Studio via Read.csv and checked for missing values using na.omit.</w:t>
      </w:r>
    </w:p>
    <w:p w:rsidR="001039F0" w:rsidRDefault="001039F0" w:rsidP="001039F0">
      <w:r w:rsidRPr="00993D6C">
        <w:t>#Join OCC codes to the Census data</w:t>
      </w:r>
    </w:p>
    <w:p w:rsidR="001039F0" w:rsidRDefault="001039F0" w:rsidP="001039F0">
      <w:r>
        <w:t xml:space="preserve">The utilization report will compare percentages of employees in each EEO-4 Job Category, cross classified by Race and Sex.  Therefore, EEO-4 Job Categories should be added to the Census data.  A table with Occupational Classification Code (OCC) that is mapped to EEO-4 Job Categories was read into R Studio.  Further, the Census data and the dataset that contains EEO-4 Job categories were joined by OCC. As a result of the join, a new column with EEO-4 data was appended to the Census data. </w:t>
      </w:r>
    </w:p>
    <w:p w:rsidR="001039F0" w:rsidRDefault="001039F0" w:rsidP="001039F0">
      <w:pPr>
        <w:spacing w:line="240" w:lineRule="auto"/>
        <w:contextualSpacing/>
      </w:pPr>
      <w:r>
        <w:t xml:space="preserve">## Select geographic data on the number of residence in NYC by Sex and Race  </w:t>
      </w:r>
    </w:p>
    <w:p w:rsidR="001039F0" w:rsidRDefault="001039F0" w:rsidP="001039F0">
      <w:pPr>
        <w:spacing w:line="240" w:lineRule="auto"/>
        <w:contextualSpacing/>
      </w:pPr>
      <w:r>
        <w:t>## Rename column headers</w:t>
      </w:r>
    </w:p>
    <w:p w:rsidR="001039F0" w:rsidRDefault="001039F0" w:rsidP="001039F0">
      <w:pPr>
        <w:spacing w:line="240" w:lineRule="auto"/>
        <w:contextualSpacing/>
      </w:pPr>
      <w:r w:rsidRPr="00BA60EF">
        <w:t>## Sort by EEO Job Category</w:t>
      </w:r>
    </w:p>
    <w:p w:rsidR="001039F0" w:rsidRDefault="001039F0" w:rsidP="001039F0">
      <w:pPr>
        <w:spacing w:line="240" w:lineRule="auto"/>
        <w:contextualSpacing/>
      </w:pPr>
      <w:r>
        <w:t>## Find the vertical summation for each Race and Sex category</w:t>
      </w:r>
    </w:p>
    <w:p w:rsidR="001039F0" w:rsidRDefault="001039F0" w:rsidP="001039F0">
      <w:pPr>
        <w:spacing w:line="240" w:lineRule="auto"/>
        <w:contextualSpacing/>
      </w:pPr>
    </w:p>
    <w:p w:rsidR="001039F0" w:rsidRDefault="001039F0" w:rsidP="001039F0">
      <w:pPr>
        <w:spacing w:line="240" w:lineRule="auto"/>
        <w:contextualSpacing/>
      </w:pPr>
      <w:r>
        <w:t xml:space="preserve">The Census data consists of multiple statistics (e.g., totals for Race for a county within NYC for both sexes, Margin of Error for the number of residence by Race and Sex for a particular County within NYC, etc.).  The selected data is comprised of the number of residence in NYC by Race and one Sex (i.e., Male or Female).  Column headers were renamed to a naming convention that would allow Race and Sex to be later separated.  The following is an example of the naming convention - </w:t>
      </w:r>
      <w:r w:rsidRPr="005A3759">
        <w:t>White.alone_Male</w:t>
      </w:r>
      <w:r>
        <w:t xml:space="preserve">. </w:t>
      </w:r>
    </w:p>
    <w:p w:rsidR="001039F0" w:rsidRDefault="001039F0" w:rsidP="001039F0">
      <w:pPr>
        <w:spacing w:line="240" w:lineRule="auto"/>
        <w:contextualSpacing/>
      </w:pPr>
      <w:r>
        <w:t xml:space="preserve">The data was grouped by EEO-4 job Category and the summarized by the grouping selection.  The summarization also took a vertical summation of all residence within the five boroughs by Race and Sex for each EEO-4 Job Category. </w:t>
      </w:r>
    </w:p>
    <w:p w:rsidR="001039F0" w:rsidRDefault="001039F0" w:rsidP="001039F0">
      <w:pPr>
        <w:spacing w:line="240" w:lineRule="auto"/>
        <w:contextualSpacing/>
      </w:pPr>
    </w:p>
    <w:p w:rsidR="00D47CD3" w:rsidRDefault="00D47CD3"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1039F0" w:rsidRPr="003D667F" w:rsidRDefault="003D667F" w:rsidP="001039F0">
      <w:pPr>
        <w:spacing w:line="240" w:lineRule="auto"/>
        <w:contextualSpacing/>
        <w:rPr>
          <w:b/>
          <w:u w:val="single"/>
        </w:rPr>
      </w:pPr>
      <w:r w:rsidRPr="003D667F">
        <w:rPr>
          <w:b/>
          <w:u w:val="single"/>
        </w:rPr>
        <w:t xml:space="preserve">Workforce Utilization report </w:t>
      </w:r>
    </w:p>
    <w:p w:rsidR="001039F0" w:rsidRDefault="001039F0" w:rsidP="001039F0">
      <w:pPr>
        <w:spacing w:line="240" w:lineRule="auto"/>
        <w:contextualSpacing/>
      </w:pPr>
    </w:p>
    <w:p w:rsidR="00081892" w:rsidRDefault="00081892" w:rsidP="001039F0">
      <w:pPr>
        <w:spacing w:line="240" w:lineRule="auto"/>
        <w:contextualSpacing/>
      </w:pPr>
    </w:p>
    <w:p w:rsidR="00081892" w:rsidRDefault="00081892" w:rsidP="001039F0">
      <w:pPr>
        <w:spacing w:line="240" w:lineRule="auto"/>
        <w:contextualSpacing/>
      </w:pPr>
    </w:p>
    <w:p w:rsidR="001039F0" w:rsidRDefault="001039F0" w:rsidP="001039F0">
      <w:pPr>
        <w:spacing w:line="240" w:lineRule="auto"/>
        <w:contextualSpacing/>
      </w:pPr>
    </w:p>
    <w:p w:rsidR="001039F0" w:rsidRDefault="001039F0" w:rsidP="001039F0">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1039F0" w:rsidRDefault="001039F0" w:rsidP="005F097C">
      <w:pPr>
        <w:spacing w:line="240" w:lineRule="auto"/>
        <w:contextualSpacing/>
      </w:pPr>
    </w:p>
    <w:p w:rsidR="005A3759" w:rsidRDefault="005A3759" w:rsidP="005F097C">
      <w:pPr>
        <w:spacing w:line="240" w:lineRule="auto"/>
        <w:contextualSpacing/>
      </w:pPr>
    </w:p>
    <w:p w:rsidR="00DD2415" w:rsidRDefault="00DD2415" w:rsidP="005F097C">
      <w:pPr>
        <w:spacing w:line="240" w:lineRule="auto"/>
        <w:contextualSpacing/>
      </w:pPr>
    </w:p>
    <w:p w:rsidR="00DD2415" w:rsidRDefault="00DD2415" w:rsidP="005F097C">
      <w:pPr>
        <w:spacing w:line="240" w:lineRule="auto"/>
        <w:contextualSpacing/>
      </w:pPr>
    </w:p>
    <w:p w:rsidR="005F097C" w:rsidRDefault="005F097C" w:rsidP="005F097C">
      <w:pPr>
        <w:spacing w:line="240" w:lineRule="auto"/>
        <w:contextualSpacing/>
      </w:pPr>
    </w:p>
    <w:p w:rsidR="004719A9" w:rsidRDefault="00C37AA3">
      <w:r>
        <w:t xml:space="preserve">Analysis </w:t>
      </w:r>
    </w:p>
    <w:p w:rsidR="004719A9" w:rsidRDefault="00627E14">
      <w:r>
        <w:t xml:space="preserve">The Census data contains two headers. The first row contains descriptive data elements and the </w:t>
      </w:r>
      <w:r w:rsidR="004B1724">
        <w:t>second row has a naming convention that is a correlated with the descriptive data.  Prior to loading the data into R Studio</w:t>
      </w:r>
      <w:r w:rsidR="00D9224B">
        <w:t>, remove</w:t>
      </w:r>
      <w:r w:rsidR="004B1724">
        <w:t xml:space="preserve"> the first </w:t>
      </w:r>
      <w:r w:rsidR="00C37AA3">
        <w:t>row</w:t>
      </w:r>
      <w:r w:rsidR="00D9224B">
        <w:t xml:space="preserve"> of the dataset</w:t>
      </w:r>
      <w:r w:rsidR="004B1724">
        <w:t xml:space="preserve"> </w:t>
      </w:r>
      <w:r w:rsidR="004B1724" w:rsidRPr="004B1724">
        <w:rPr>
          <w:highlight w:val="yellow"/>
        </w:rPr>
        <w:t>so the data type</w:t>
      </w:r>
      <w:r w:rsidR="004B1724">
        <w:t xml:space="preserve"> of the </w:t>
      </w:r>
      <w:r w:rsidR="00C37AA3">
        <w:t>variables</w:t>
      </w:r>
      <w:r w:rsidR="004B1724">
        <w:t xml:space="preserve"> will be </w:t>
      </w:r>
      <w:r w:rsidR="00D9224B">
        <w:t xml:space="preserve">numeric. </w:t>
      </w:r>
    </w:p>
    <w:p w:rsidR="004719A9" w:rsidRDefault="004719A9"/>
    <w:p w:rsidR="000E10B0" w:rsidRDefault="00542819">
      <w:r>
        <w:lastRenderedPageBreak/>
        <w:t xml:space="preserve">the </w:t>
      </w:r>
      <w:r w:rsidRPr="00542819">
        <w:t>American</w:t>
      </w:r>
      <w:r>
        <w:t xml:space="preserve"> Community Survey (ACS) provided by the United States </w:t>
      </w:r>
      <w:r w:rsidR="00901D88">
        <w:t xml:space="preserve">Census Bureau and NYCT Human Capital </w:t>
      </w:r>
      <w:r w:rsidR="00441A32">
        <w:t xml:space="preserve">data </w:t>
      </w:r>
      <w:r w:rsidR="00901D88">
        <w:t xml:space="preserve">extracted from </w:t>
      </w:r>
      <w:r w:rsidR="00E56924">
        <w:t xml:space="preserve">the </w:t>
      </w:r>
      <w:r w:rsidR="00901D88">
        <w:t xml:space="preserve">PeopleSoft database.  </w:t>
      </w:r>
      <w:r w:rsidR="000E10B0">
        <w:t xml:space="preserve">The </w:t>
      </w:r>
      <w:r w:rsidR="002173F9">
        <w:t>ACS data</w:t>
      </w:r>
      <w:r w:rsidR="000E10B0">
        <w:t xml:space="preserve"> </w:t>
      </w:r>
      <w:r w:rsidR="00835FB0">
        <w:t xml:space="preserve">consists of </w:t>
      </w:r>
      <w:r w:rsidR="00A27E0C">
        <w:t>estimates</w:t>
      </w:r>
      <w:r w:rsidR="002173F9">
        <w:t xml:space="preserve"> on</w:t>
      </w:r>
      <w:r w:rsidR="00A27E0C">
        <w:t xml:space="preserve"> the population </w:t>
      </w:r>
      <w:r w:rsidR="005301F5">
        <w:t xml:space="preserve">that is 18 years or older </w:t>
      </w:r>
      <w:r w:rsidR="00A27E0C">
        <w:t xml:space="preserve">for the </w:t>
      </w:r>
      <w:r w:rsidR="002173F9">
        <w:t>five counties within NYC by Sex, Ethnicity and Education Attainment</w:t>
      </w:r>
      <w:r w:rsidR="004C5FEE">
        <w:t xml:space="preserve"> for the year of 2014</w:t>
      </w:r>
      <w:r w:rsidR="002173F9">
        <w:t>.</w:t>
      </w:r>
      <w:r w:rsidR="005301F5">
        <w:t xml:space="preserve"> The ACS data represents the available workforce within NYC. </w:t>
      </w:r>
      <w:r w:rsidR="004C5FEE">
        <w:t xml:space="preserve">The NYCT data consists of information on all employees working at NYCT by Sex, Ethnicity, </w:t>
      </w:r>
      <w:r w:rsidR="00CE609A">
        <w:t xml:space="preserve">and EEO-4 Job Category. </w:t>
      </w:r>
      <w:r w:rsidR="00A27E0C">
        <w:t>The job category</w:t>
      </w:r>
      <w:r w:rsidR="005301F5">
        <w:t xml:space="preserve"> column in the </w:t>
      </w:r>
      <w:r w:rsidR="005301F5" w:rsidRPr="00A636AB">
        <w:rPr>
          <w:highlight w:val="yellow"/>
        </w:rPr>
        <w:t>NYCT data set</w:t>
      </w:r>
      <w:r w:rsidR="00A27E0C" w:rsidRPr="00A636AB">
        <w:rPr>
          <w:highlight w:val="yellow"/>
        </w:rPr>
        <w:t xml:space="preserve"> is one or more </w:t>
      </w:r>
      <w:r w:rsidR="005301F5" w:rsidRPr="00A636AB">
        <w:rPr>
          <w:highlight w:val="yellow"/>
        </w:rPr>
        <w:t>positions having similar requirements, content, wage rates and opportunities for</w:t>
      </w:r>
      <w:r w:rsidR="005301F5">
        <w:t xml:space="preserve"> </w:t>
      </w:r>
      <w:r w:rsidR="005301F5" w:rsidRPr="00A636AB">
        <w:rPr>
          <w:highlight w:val="yellow"/>
        </w:rPr>
        <w:t>advancement.</w:t>
      </w:r>
      <w:r w:rsidR="005301F5">
        <w:t xml:space="preserve"> </w:t>
      </w:r>
      <w:r w:rsidR="00A636AB">
        <w:t xml:space="preserve"> Each Occupational group </w:t>
      </w:r>
    </w:p>
    <w:tbl>
      <w:tblPr>
        <w:tblW w:w="5260" w:type="dxa"/>
        <w:tblInd w:w="93" w:type="dxa"/>
        <w:tblLook w:val="04A0"/>
      </w:tblPr>
      <w:tblGrid>
        <w:gridCol w:w="576"/>
        <w:gridCol w:w="2603"/>
        <w:gridCol w:w="2081"/>
      </w:tblGrid>
      <w:tr w:rsidR="00D47CD3" w:rsidRPr="00D47CD3" w:rsidTr="00D47CD3">
        <w:trPr>
          <w:trHeight w:val="795"/>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7CD3" w:rsidRPr="00D47CD3" w:rsidRDefault="00D47CD3" w:rsidP="00D47CD3">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OCC</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rsidR="00D47CD3" w:rsidRPr="00D47CD3" w:rsidRDefault="00D47CD3" w:rsidP="00D47CD3">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occ.group</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rsidR="00D47CD3" w:rsidRPr="00D47CD3" w:rsidRDefault="00D47CD3" w:rsidP="00D47CD3">
            <w:pPr>
              <w:spacing w:after="0" w:line="240" w:lineRule="auto"/>
              <w:rPr>
                <w:rFonts w:ascii="Lucida Sans" w:eastAsia="Times New Roman" w:hAnsi="Lucida Sans" w:cs="Times New Roman"/>
                <w:b/>
                <w:bCs/>
                <w:color w:val="555555"/>
                <w:sz w:val="16"/>
                <w:szCs w:val="16"/>
              </w:rPr>
            </w:pPr>
            <w:r w:rsidRPr="00D47CD3">
              <w:rPr>
                <w:rFonts w:ascii="Lucida Sans" w:eastAsia="Times New Roman" w:hAnsi="Lucida Sans" w:cs="Times New Roman"/>
                <w:b/>
                <w:bCs/>
                <w:color w:val="555555"/>
                <w:sz w:val="16"/>
                <w:szCs w:val="16"/>
              </w:rPr>
              <w:t>EEO.Job.Group</w:t>
            </w:r>
          </w:p>
        </w:tc>
      </w:tr>
      <w:tr w:rsidR="00D47CD3" w:rsidRPr="00D47CD3" w:rsidTr="00D47CD3">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20</w:t>
            </w:r>
          </w:p>
        </w:tc>
        <w:tc>
          <w:tcPr>
            <w:tcW w:w="264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General and operations managers 0020 (SOC 11-1021)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D47CD3" w:rsidRPr="00D47CD3" w:rsidTr="00D47CD3">
        <w:trPr>
          <w:trHeight w:val="465"/>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60</w:t>
            </w:r>
          </w:p>
        </w:tc>
        <w:tc>
          <w:tcPr>
            <w:tcW w:w="2640" w:type="dxa"/>
            <w:tcBorders>
              <w:top w:val="nil"/>
              <w:left w:val="nil"/>
              <w:bottom w:val="single" w:sz="4" w:space="0" w:color="auto"/>
              <w:right w:val="single" w:sz="4" w:space="0" w:color="auto"/>
            </w:tcBorders>
            <w:shd w:val="clear" w:color="000000" w:fill="FDFDFD"/>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Public relations and fundraising managers 0060 (SOC 11-2031)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D47CD3" w:rsidRPr="00D47CD3" w:rsidTr="00D47CD3">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100</w:t>
            </w:r>
          </w:p>
        </w:tc>
        <w:tc>
          <w:tcPr>
            <w:tcW w:w="264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Administrative services managers 0100 (SOC 11-3011)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D47CD3" w:rsidRPr="00D47CD3" w:rsidTr="00D47CD3">
        <w:trPr>
          <w:trHeight w:val="690"/>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110</w:t>
            </w:r>
          </w:p>
        </w:tc>
        <w:tc>
          <w:tcPr>
            <w:tcW w:w="2640" w:type="dxa"/>
            <w:tcBorders>
              <w:top w:val="nil"/>
              <w:left w:val="nil"/>
              <w:bottom w:val="single" w:sz="4" w:space="0" w:color="auto"/>
              <w:right w:val="single" w:sz="4" w:space="0" w:color="auto"/>
            </w:tcBorders>
            <w:shd w:val="clear" w:color="000000" w:fill="FDFDFD"/>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Computer and information systems managers 0110 (SOC 11-3021)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D47CD3" w:rsidRPr="00D47CD3" w:rsidTr="00D47CD3">
        <w:trPr>
          <w:trHeight w:val="465"/>
        </w:trPr>
        <w:tc>
          <w:tcPr>
            <w:tcW w:w="570" w:type="dxa"/>
            <w:tcBorders>
              <w:top w:val="nil"/>
              <w:left w:val="single" w:sz="4" w:space="0" w:color="auto"/>
              <w:bottom w:val="single" w:sz="4" w:space="0" w:color="auto"/>
              <w:right w:val="single" w:sz="4" w:space="0" w:color="auto"/>
            </w:tcBorders>
            <w:shd w:val="clear" w:color="000000" w:fill="FFFFFF"/>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120</w:t>
            </w:r>
          </w:p>
        </w:tc>
        <w:tc>
          <w:tcPr>
            <w:tcW w:w="264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Financial managers 0120 (SOC 11-3031)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r w:rsidR="00D47CD3" w:rsidRPr="00D47CD3" w:rsidTr="00D47CD3">
        <w:trPr>
          <w:trHeight w:val="465"/>
        </w:trPr>
        <w:tc>
          <w:tcPr>
            <w:tcW w:w="570" w:type="dxa"/>
            <w:tcBorders>
              <w:top w:val="nil"/>
              <w:left w:val="single" w:sz="4" w:space="0" w:color="auto"/>
              <w:bottom w:val="single" w:sz="4" w:space="0" w:color="auto"/>
              <w:right w:val="single" w:sz="4" w:space="0" w:color="auto"/>
            </w:tcBorders>
            <w:shd w:val="clear" w:color="000000" w:fill="FDFDFD"/>
            <w:noWrap/>
            <w:vAlign w:val="bottom"/>
            <w:hideMark/>
          </w:tcPr>
          <w:p w:rsidR="00D47CD3" w:rsidRPr="00D47CD3" w:rsidRDefault="00D47CD3" w:rsidP="00D47CD3">
            <w:pPr>
              <w:spacing w:after="0" w:line="240" w:lineRule="auto"/>
              <w:jc w:val="center"/>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150</w:t>
            </w:r>
          </w:p>
        </w:tc>
        <w:tc>
          <w:tcPr>
            <w:tcW w:w="2640" w:type="dxa"/>
            <w:tcBorders>
              <w:top w:val="nil"/>
              <w:left w:val="nil"/>
              <w:bottom w:val="single" w:sz="4" w:space="0" w:color="auto"/>
              <w:right w:val="single" w:sz="4" w:space="0" w:color="auto"/>
            </w:tcBorders>
            <w:shd w:val="clear" w:color="000000" w:fill="FDFDFD"/>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Purchasing managers 0150 (SOC 11-3061)</w:t>
            </w:r>
          </w:p>
        </w:tc>
        <w:tc>
          <w:tcPr>
            <w:tcW w:w="2050" w:type="dxa"/>
            <w:tcBorders>
              <w:top w:val="nil"/>
              <w:left w:val="nil"/>
              <w:bottom w:val="single" w:sz="4" w:space="0" w:color="auto"/>
              <w:right w:val="single" w:sz="4" w:space="0" w:color="auto"/>
            </w:tcBorders>
            <w:shd w:val="clear" w:color="000000" w:fill="FFFFFF"/>
            <w:vAlign w:val="bottom"/>
            <w:hideMark/>
          </w:tcPr>
          <w:p w:rsidR="00D47CD3" w:rsidRPr="00D47CD3" w:rsidRDefault="00D47CD3" w:rsidP="00D47CD3">
            <w:pPr>
              <w:spacing w:after="0" w:line="240" w:lineRule="auto"/>
              <w:rPr>
                <w:rFonts w:ascii="Lucida Sans" w:eastAsia="Times New Roman" w:hAnsi="Lucida Sans" w:cs="Times New Roman"/>
                <w:color w:val="000000"/>
                <w:sz w:val="16"/>
                <w:szCs w:val="16"/>
              </w:rPr>
            </w:pPr>
            <w:r w:rsidRPr="00D47CD3">
              <w:rPr>
                <w:rFonts w:ascii="Lucida Sans" w:eastAsia="Times New Roman" w:hAnsi="Lucida Sans" w:cs="Times New Roman"/>
                <w:color w:val="000000"/>
                <w:sz w:val="16"/>
                <w:szCs w:val="16"/>
              </w:rPr>
              <w:t>Officials/Administrators</w:t>
            </w:r>
          </w:p>
        </w:tc>
      </w:tr>
    </w:tbl>
    <w:p w:rsidR="001039F0" w:rsidRPr="00D47CD3" w:rsidRDefault="00B90E62" w:rsidP="00D47CD3">
      <w:r>
        <w:t xml:space="preserve">  </w:t>
      </w:r>
    </w:p>
    <w:p w:rsidR="000E10B0" w:rsidRDefault="000E10B0"/>
    <w:p w:rsidR="000E10B0" w:rsidRDefault="000E10B0"/>
    <w:p w:rsidR="000E10B0" w:rsidRDefault="000E10B0"/>
    <w:p w:rsidR="00542819" w:rsidRPr="00542819" w:rsidRDefault="00901D88">
      <w:r>
        <w:t xml:space="preserve">The ACS data </w:t>
      </w:r>
      <w:r w:rsidR="00E36899">
        <w:t xml:space="preserve">set </w:t>
      </w:r>
      <w:r w:rsidR="00E56924">
        <w:t>was installed</w:t>
      </w:r>
      <w:r w:rsidR="005859AE">
        <w:t xml:space="preserve"> </w:t>
      </w:r>
      <w:r w:rsidR="00E36899">
        <w:t xml:space="preserve">and downloaded into R Studio. Moreover, </w:t>
      </w:r>
      <w:r w:rsidR="005859AE">
        <w:t xml:space="preserve">an </w:t>
      </w:r>
      <w:r w:rsidR="00E56924">
        <w:t xml:space="preserve">API key was requested and </w:t>
      </w:r>
      <w:r w:rsidR="00E36899">
        <w:t xml:space="preserve">downloaded so that </w:t>
      </w:r>
      <w:r w:rsidR="00E56924">
        <w:t>the acs.fetch function</w:t>
      </w:r>
      <w:r w:rsidR="00E36899">
        <w:t xml:space="preserve"> can be utilized.  </w:t>
      </w:r>
      <w:r w:rsidR="002D346F">
        <w:t xml:space="preserve">The geo.lookup function was used to identify the five counties within New York City (Kings, Bronx, New York, </w:t>
      </w:r>
      <w:r w:rsidR="001B1A19">
        <w:t>Richmond, and Queens).</w:t>
      </w:r>
      <w:r w:rsidR="002D346F">
        <w:t xml:space="preserve"> </w:t>
      </w:r>
      <w:r w:rsidR="001B1A19">
        <w:t xml:space="preserve"> The acs.fetch function was used to pull</w:t>
      </w:r>
      <w:r w:rsidR="00904209">
        <w:t xml:space="preserve"> data</w:t>
      </w:r>
      <w:r w:rsidR="001B1A19">
        <w:t xml:space="preserve"> </w:t>
      </w:r>
      <w:r w:rsidR="00904209">
        <w:t>o</w:t>
      </w:r>
      <w:r w:rsidR="001B1A19">
        <w:t>n</w:t>
      </w:r>
      <w:r w:rsidR="00904209">
        <w:t xml:space="preserve"> the NYC</w:t>
      </w:r>
      <w:r w:rsidR="001B1A19">
        <w:t xml:space="preserve"> labor force data by sex, ethnicity, age, and education attainment.  </w:t>
      </w:r>
      <w:r w:rsidR="00904209">
        <w:t xml:space="preserve">In addition to,  the  NYC labor </w:t>
      </w:r>
    </w:p>
    <w:p w:rsidR="006E0111" w:rsidRDefault="006E0111">
      <w:pPr>
        <w:rPr>
          <w:rFonts w:ascii="Arial" w:hAnsi="Arial" w:cs="Arial"/>
          <w:color w:val="4E5358"/>
          <w:sz w:val="18"/>
          <w:szCs w:val="18"/>
          <w:shd w:val="clear" w:color="auto" w:fill="FFFFFF"/>
        </w:rPr>
      </w:pPr>
    </w:p>
    <w:p w:rsidR="0076560E" w:rsidRDefault="00C74F89">
      <w:pPr>
        <w:rPr>
          <w:rFonts w:ascii="Arial" w:hAnsi="Arial" w:cs="Arial"/>
          <w:color w:val="4E5358"/>
          <w:sz w:val="18"/>
          <w:szCs w:val="18"/>
          <w:shd w:val="clear" w:color="auto" w:fill="FFFFFF"/>
        </w:rPr>
      </w:pPr>
      <w:r>
        <w:rPr>
          <w:rFonts w:ascii="Arial" w:hAnsi="Arial" w:cs="Arial"/>
          <w:color w:val="4E5358"/>
          <w:sz w:val="18"/>
          <w:szCs w:val="18"/>
          <w:shd w:val="clear" w:color="auto" w:fill="FFFFFF"/>
        </w:rPr>
        <w:t xml:space="preserve"> determine whether the percentage of their "protected" employees is equivalent to the percentages reflective of the company´s local labor market. </w:t>
      </w:r>
      <w:r w:rsidR="00FD66CE">
        <w:rPr>
          <w:rFonts w:ascii="Arial" w:hAnsi="Arial" w:cs="Arial"/>
          <w:color w:val="4E5358"/>
          <w:sz w:val="18"/>
          <w:szCs w:val="18"/>
          <w:shd w:val="clear" w:color="auto" w:fill="FFFFFF"/>
        </w:rPr>
        <w:t>m</w:t>
      </w:r>
    </w:p>
    <w:p w:rsidR="00227ACF" w:rsidRDefault="00227ACF">
      <w:pPr>
        <w:rPr>
          <w:rFonts w:ascii="Arial" w:hAnsi="Arial" w:cs="Arial"/>
          <w:color w:val="4E5358"/>
          <w:sz w:val="18"/>
          <w:szCs w:val="18"/>
          <w:shd w:val="clear" w:color="auto" w:fill="FFFFFF"/>
        </w:rPr>
      </w:pPr>
    </w:p>
    <w:p w:rsidR="00227ACF" w:rsidRDefault="00227ACF">
      <w:r>
        <w:t xml:space="preserve">The utilization analysis is a comparative analysis in which the female and minority availability for each EEO subgroup, as determined in the previous section, is compared to the current workforce representation of females and minorities. As stated earlier, the current workforce should mirror the representation of females and minorities in the job market. When subgroups have less than the percentage that is available in the job market, the group is further examined to determine whether </w:t>
      </w:r>
      <w:r>
        <w:lastRenderedPageBreak/>
        <w:t>underutilization exists. If the group is determined to be underutilized in females and/or minorities, appropriate goals are set to eliminate the underutilization</w:t>
      </w:r>
    </w:p>
    <w:p w:rsidR="00AA79C7" w:rsidRDefault="00AA79C7"/>
    <w:p w:rsidR="00AA79C7" w:rsidRDefault="00AA79C7"/>
    <w:p w:rsidR="00AA79C7" w:rsidRPr="00AA79C7" w:rsidRDefault="00AA79C7" w:rsidP="00AA79C7">
      <w:pPr>
        <w:spacing w:before="100" w:beforeAutospacing="1" w:after="100" w:afterAutospacing="1" w:line="240" w:lineRule="auto"/>
        <w:rPr>
          <w:rFonts w:ascii="Verdana" w:eastAsia="Times New Roman" w:hAnsi="Verdana" w:cs="Times New Roman"/>
          <w:color w:val="000000"/>
          <w:sz w:val="19"/>
          <w:szCs w:val="19"/>
        </w:rPr>
      </w:pPr>
      <w:r w:rsidRPr="00AA79C7">
        <w:rPr>
          <w:rFonts w:ascii="Verdana" w:eastAsia="Times New Roman" w:hAnsi="Verdana" w:cs="Times New Roman"/>
          <w:color w:val="000000"/>
          <w:sz w:val="19"/>
          <w:szCs w:val="19"/>
        </w:rPr>
        <w:t>Under-utilization" is defined as "having fewer minorities or women in a particular job group than what would be reasonably expected by their availability in the relevant job market." The OFCCP and the courts currently recognize three tests to determine under-utilization:</w:t>
      </w:r>
    </w:p>
    <w:p w:rsidR="00AA79C7" w:rsidRPr="00AA79C7" w:rsidRDefault="00AA79C7" w:rsidP="00AA79C7">
      <w:pPr>
        <w:numPr>
          <w:ilvl w:val="0"/>
          <w:numId w:val="1"/>
        </w:numPr>
        <w:spacing w:before="100" w:beforeAutospacing="1" w:after="240" w:line="240" w:lineRule="auto"/>
        <w:rPr>
          <w:rFonts w:ascii="Verdana" w:eastAsia="Times New Roman" w:hAnsi="Verdana" w:cs="Times New Roman"/>
          <w:color w:val="000000"/>
          <w:sz w:val="19"/>
          <w:szCs w:val="19"/>
        </w:rPr>
      </w:pPr>
      <w:r w:rsidRPr="00AA79C7">
        <w:rPr>
          <w:rFonts w:ascii="Verdana" w:eastAsia="Times New Roman" w:hAnsi="Verdana" w:cs="Times New Roman"/>
          <w:color w:val="000000"/>
          <w:sz w:val="19"/>
          <w:u w:val="single"/>
        </w:rPr>
        <w:t>Any Difference Rule</w:t>
      </w:r>
      <w:r w:rsidRPr="00AA79C7">
        <w:rPr>
          <w:rFonts w:ascii="Verdana" w:eastAsia="Times New Roman" w:hAnsi="Verdana" w:cs="Times New Roman"/>
          <w:color w:val="000000"/>
          <w:sz w:val="19"/>
          <w:szCs w:val="19"/>
        </w:rPr>
        <w:t>, in which underutilization exists if there is any difference between the availability of women or minorities compared to their percentages in the employer's actual workforce;</w:t>
      </w:r>
    </w:p>
    <w:p w:rsidR="00AA79C7" w:rsidRPr="00AA79C7" w:rsidRDefault="00AA79C7" w:rsidP="00AA79C7">
      <w:pPr>
        <w:numPr>
          <w:ilvl w:val="0"/>
          <w:numId w:val="1"/>
        </w:numPr>
        <w:spacing w:before="100" w:beforeAutospacing="1" w:after="240" w:line="240" w:lineRule="auto"/>
        <w:rPr>
          <w:rFonts w:ascii="Verdana" w:eastAsia="Times New Roman" w:hAnsi="Verdana" w:cs="Times New Roman"/>
          <w:color w:val="000000"/>
          <w:sz w:val="19"/>
          <w:szCs w:val="19"/>
        </w:rPr>
      </w:pPr>
      <w:r w:rsidRPr="00AA79C7">
        <w:rPr>
          <w:rFonts w:ascii="Verdana" w:eastAsia="Times New Roman" w:hAnsi="Verdana" w:cs="Times New Roman"/>
          <w:color w:val="000000"/>
          <w:sz w:val="19"/>
          <w:u w:val="single"/>
        </w:rPr>
        <w:t>Two-Standard Deviation Rule</w:t>
      </w:r>
      <w:r w:rsidRPr="00AA79C7">
        <w:rPr>
          <w:rFonts w:ascii="Verdana" w:eastAsia="Times New Roman" w:hAnsi="Verdana" w:cs="Times New Roman"/>
          <w:color w:val="000000"/>
          <w:sz w:val="19"/>
          <w:szCs w:val="19"/>
        </w:rPr>
        <w:t>, in which the current workforce percentage of a protected class cannot vary from the availability analysis percentage by more than two standard deviations;</w:t>
      </w:r>
    </w:p>
    <w:p w:rsidR="00AA79C7" w:rsidRPr="00AA79C7" w:rsidRDefault="00AA79C7" w:rsidP="00AA79C7">
      <w:pPr>
        <w:numPr>
          <w:ilvl w:val="0"/>
          <w:numId w:val="1"/>
        </w:numPr>
        <w:spacing w:before="100" w:beforeAutospacing="1" w:after="240" w:line="240" w:lineRule="auto"/>
        <w:rPr>
          <w:rFonts w:ascii="Verdana" w:eastAsia="Times New Roman" w:hAnsi="Verdana" w:cs="Times New Roman"/>
          <w:color w:val="000000"/>
          <w:sz w:val="19"/>
          <w:szCs w:val="19"/>
        </w:rPr>
      </w:pPr>
      <w:r w:rsidRPr="00AA79C7">
        <w:rPr>
          <w:rFonts w:ascii="Verdana" w:eastAsia="Times New Roman" w:hAnsi="Verdana" w:cs="Times New Roman"/>
          <w:color w:val="000000"/>
          <w:sz w:val="19"/>
          <w:u w:val="single"/>
        </w:rPr>
        <w:t>80% Rule</w:t>
      </w:r>
      <w:r w:rsidRPr="00AA79C7">
        <w:rPr>
          <w:rFonts w:ascii="Verdana" w:eastAsia="Times New Roman" w:hAnsi="Verdana" w:cs="Times New Roman"/>
          <w:color w:val="000000"/>
          <w:sz w:val="19"/>
          <w:szCs w:val="19"/>
        </w:rPr>
        <w:t>, in which underutilization exists if the percentage of females and/or minorities in a particular job group is less than 80% of the final availability percentage.</w:t>
      </w:r>
    </w:p>
    <w:p w:rsidR="00AA79C7" w:rsidRPr="00AA79C7" w:rsidRDefault="00AA79C7" w:rsidP="00AA79C7">
      <w:pPr>
        <w:spacing w:before="100" w:beforeAutospacing="1" w:after="100" w:afterAutospacing="1" w:line="240" w:lineRule="auto"/>
        <w:rPr>
          <w:rFonts w:ascii="Verdana" w:eastAsia="Times New Roman" w:hAnsi="Verdana" w:cs="Times New Roman"/>
          <w:color w:val="000000"/>
          <w:sz w:val="19"/>
          <w:szCs w:val="19"/>
        </w:rPr>
      </w:pPr>
      <w:r w:rsidRPr="00AA79C7">
        <w:rPr>
          <w:rFonts w:ascii="Verdana" w:eastAsia="Times New Roman" w:hAnsi="Verdana" w:cs="Times New Roman"/>
          <w:color w:val="000000"/>
          <w:sz w:val="19"/>
          <w:szCs w:val="19"/>
        </w:rPr>
        <w:t>In determining under-utilization, most employers elect to use the 80% Rule. The ratio of workforce to availability is calculated as: Ratio = (W/A) x 100.</w:t>
      </w:r>
    </w:p>
    <w:p w:rsidR="0095668E" w:rsidRDefault="0095668E" w:rsidP="0095668E">
      <w:r>
        <w:t xml:space="preserve">According to the Bureau of Labor and statistics, </w:t>
      </w:r>
      <w:r>
        <w:rPr>
          <w:rFonts w:ascii="Tahoma" w:hAnsi="Tahoma" w:cs="Tahoma"/>
          <w:color w:val="333333"/>
          <w:sz w:val="20"/>
          <w:szCs w:val="20"/>
          <w:shd w:val="clear" w:color="auto" w:fill="FFFFFF"/>
        </w:rPr>
        <w:t>the “Standard Occupational Classification (SOC) system is used by Federal statistical agencies to classify workers into occupational categories for the purpose of collecting, calculating, or disseminating data.”</w:t>
      </w:r>
    </w:p>
    <w:p w:rsidR="0095668E" w:rsidRDefault="0095668E" w:rsidP="0095668E">
      <w:pPr>
        <w:rPr>
          <w:rFonts w:ascii="Arial" w:hAnsi="Arial" w:cs="Arial"/>
          <w:color w:val="4E5358"/>
          <w:sz w:val="18"/>
          <w:szCs w:val="18"/>
          <w:shd w:val="clear" w:color="auto" w:fill="FFFFFF"/>
        </w:rPr>
      </w:pPr>
      <w:r>
        <w:rPr>
          <w:rFonts w:ascii="Arial" w:hAnsi="Arial" w:cs="Arial"/>
          <w:color w:val="4E5358"/>
          <w:sz w:val="18"/>
          <w:szCs w:val="18"/>
          <w:shd w:val="clear" w:color="auto" w:fill="FFFFFF"/>
        </w:rPr>
        <w:t>In order to be in compliance with Equal Employment Opportunity regulations NYCT compliance A utilization analysis is intended to calculate levels of "under-utilization" of minority groups across a company´s workforce for Equal Employment Opportunity</w:t>
      </w:r>
    </w:p>
    <w:p w:rsidR="00AA79C7" w:rsidRDefault="00B30A4C">
      <w:r>
        <w:t xml:space="preserve">EEO </w:t>
      </w:r>
    </w:p>
    <w:p w:rsidR="00B30A4C" w:rsidRDefault="00B30A4C"/>
    <w:p w:rsidR="006A5AD2" w:rsidRDefault="006A5AD2" w:rsidP="006A5AD2"/>
    <w:p w:rsidR="006A5AD2" w:rsidRPr="001647FD" w:rsidRDefault="006A5AD2" w:rsidP="006A5AD2">
      <w:r>
        <w:t xml:space="preserve">is required to NYCT is aAs committed to </w:t>
      </w:r>
      <w:r w:rsidRPr="001647FD">
        <w:t xml:space="preserve">Employee </w:t>
      </w:r>
      <w:r>
        <w:t xml:space="preserve"> discrimination is </w:t>
      </w:r>
    </w:p>
    <w:p w:rsidR="006A5AD2" w:rsidRDefault="006A5AD2" w:rsidP="006A5AD2">
      <w:pPr>
        <w:rPr>
          <w:rFonts w:ascii="Arial" w:hAnsi="Arial" w:cs="Arial"/>
          <w:color w:val="4E5358"/>
          <w:sz w:val="18"/>
          <w:szCs w:val="18"/>
          <w:shd w:val="clear" w:color="auto" w:fill="FFFFFF"/>
        </w:rPr>
      </w:pPr>
      <w:r>
        <w:rPr>
          <w:rStyle w:val="apple-converted-space"/>
          <w:rFonts w:ascii="Arial" w:hAnsi="Arial" w:cs="Arial"/>
          <w:color w:val="4E5358"/>
          <w:sz w:val="18"/>
          <w:szCs w:val="18"/>
          <w:shd w:val="clear" w:color="auto" w:fill="FFFFFF"/>
        </w:rPr>
        <w:t> </w:t>
      </w:r>
      <w:r w:rsidRPr="00D43469">
        <w:rPr>
          <w:rFonts w:ascii="Arial" w:hAnsi="Arial" w:cs="Arial"/>
          <w:color w:val="4E5358"/>
          <w:sz w:val="18"/>
          <w:szCs w:val="18"/>
          <w:shd w:val="clear" w:color="auto" w:fill="FFFFFF"/>
        </w:rPr>
        <w:t xml:space="preserve">The Utilization Analysis </w:t>
      </w:r>
      <w:r>
        <w:rPr>
          <w:rFonts w:ascii="Arial" w:hAnsi="Arial" w:cs="Arial"/>
          <w:color w:val="4E5358"/>
          <w:sz w:val="18"/>
          <w:szCs w:val="18"/>
          <w:shd w:val="clear" w:color="auto" w:fill="FFFFFF"/>
        </w:rPr>
        <w:t xml:space="preserve">is a comparative analysis of the availability of females and minorities for each Equal Employment Opportunity (EEO) subgroup within the five boroughs of New York City (NYC) to New York City Transit’s (NYCT) current workforce representation of females and minorities. The purpose of the utilization analysis is to </w:t>
      </w:r>
      <w:r w:rsidRPr="0045058E">
        <w:rPr>
          <w:rFonts w:ascii="Arial" w:hAnsi="Arial" w:cs="Arial"/>
          <w:color w:val="4E5358"/>
          <w:sz w:val="18"/>
          <w:szCs w:val="18"/>
          <w:highlight w:val="yellow"/>
          <w:shd w:val="clear" w:color="auto" w:fill="FFFFFF"/>
        </w:rPr>
        <w:t xml:space="preserve">determine </w:t>
      </w:r>
      <w:r>
        <w:rPr>
          <w:rFonts w:ascii="Arial" w:hAnsi="Arial" w:cs="Arial"/>
          <w:color w:val="4E5358"/>
          <w:sz w:val="18"/>
          <w:szCs w:val="18"/>
          <w:highlight w:val="yellow"/>
          <w:shd w:val="clear" w:color="auto" w:fill="FFFFFF"/>
        </w:rPr>
        <w:t>whether underutilization exists. Underutilization is present if</w:t>
      </w:r>
      <w:r w:rsidRPr="0045058E">
        <w:rPr>
          <w:rFonts w:ascii="Arial" w:hAnsi="Arial" w:cs="Arial"/>
          <w:color w:val="4E5358"/>
          <w:sz w:val="18"/>
          <w:szCs w:val="18"/>
          <w:highlight w:val="yellow"/>
          <w:shd w:val="clear" w:color="auto" w:fill="FFFFFF"/>
        </w:rPr>
        <w:t xml:space="preserve"> NYCT’s current workforce has fewer females or minorities than would be reasonably expected by their availability in the relevant job market.</w:t>
      </w:r>
      <w:r>
        <w:rPr>
          <w:rFonts w:ascii="Arial" w:hAnsi="Arial" w:cs="Arial"/>
          <w:color w:val="4E5358"/>
          <w:sz w:val="18"/>
          <w:szCs w:val="18"/>
          <w:shd w:val="clear" w:color="auto" w:fill="FFFFFF"/>
        </w:rPr>
        <w:t xml:space="preserve"> When a subgroup is deemed to be underutilized, appropriate goals should be established to increase the number of females and/or minorities. </w:t>
      </w:r>
    </w:p>
    <w:p w:rsidR="006A5AD2" w:rsidRDefault="006A5AD2" w:rsidP="006A5AD2">
      <w:pPr>
        <w:rPr>
          <w:rFonts w:ascii="Arial" w:hAnsi="Arial" w:cs="Arial"/>
          <w:color w:val="4E5358"/>
          <w:sz w:val="18"/>
          <w:szCs w:val="18"/>
          <w:shd w:val="clear" w:color="auto" w:fill="FFFFFF"/>
        </w:rPr>
      </w:pPr>
      <w:r>
        <w:rPr>
          <w:rFonts w:ascii="Arial" w:hAnsi="Arial" w:cs="Arial"/>
          <w:color w:val="4E5358"/>
          <w:sz w:val="18"/>
          <w:szCs w:val="18"/>
          <w:shd w:val="clear" w:color="auto" w:fill="FFFFFF"/>
        </w:rPr>
        <w:t>Utilization Analysis are</w:t>
      </w:r>
    </w:p>
    <w:p w:rsidR="006A5AD2" w:rsidRDefault="006A5AD2" w:rsidP="006A5AD2">
      <w:pPr>
        <w:rPr>
          <w:rFonts w:ascii="Tahoma" w:hAnsi="Tahoma" w:cs="Tahoma"/>
          <w:color w:val="333333"/>
          <w:sz w:val="20"/>
          <w:szCs w:val="20"/>
          <w:shd w:val="clear" w:color="auto" w:fill="FFFFFF"/>
        </w:rPr>
      </w:pPr>
      <w:r w:rsidRPr="005F7162">
        <w:rPr>
          <w:rFonts w:ascii="Arial" w:hAnsi="Arial" w:cs="Arial"/>
          <w:color w:val="4E5358"/>
          <w:sz w:val="18"/>
          <w:szCs w:val="18"/>
          <w:shd w:val="clear" w:color="auto" w:fill="FFFFFF"/>
        </w:rPr>
        <w:t>According to the Bureau of Labor and statistics, the “Standard Occupational Classification (SOC) system is used by Federal statistical agencies to classify workers into occupational categories for the purpose of collecting, calculating, or disseminating data</w:t>
      </w:r>
      <w:r>
        <w:rPr>
          <w:rFonts w:ascii="Tahoma" w:hAnsi="Tahoma" w:cs="Tahoma"/>
          <w:color w:val="333333"/>
          <w:sz w:val="20"/>
          <w:szCs w:val="20"/>
          <w:shd w:val="clear" w:color="auto" w:fill="FFFFFF"/>
        </w:rPr>
        <w:t>.”</w:t>
      </w:r>
    </w:p>
    <w:p w:rsidR="006A5AD2" w:rsidRDefault="006A5AD2" w:rsidP="006A5AD2">
      <w:pPr>
        <w:rPr>
          <w:rFonts w:ascii="Tahoma" w:hAnsi="Tahoma" w:cs="Tahoma"/>
          <w:color w:val="333333"/>
          <w:sz w:val="20"/>
          <w:szCs w:val="20"/>
          <w:shd w:val="clear" w:color="auto" w:fill="FFFFFF"/>
        </w:rPr>
      </w:pPr>
    </w:p>
    <w:p w:rsidR="006A5AD2" w:rsidRPr="0095668E" w:rsidRDefault="006A5AD2" w:rsidP="006A5AD2">
      <w:pPr>
        <w:rPr>
          <w:u w:val="single"/>
        </w:rPr>
      </w:pPr>
      <w:r>
        <w:rPr>
          <w:rStyle w:val="apple-converted-space"/>
          <w:rFonts w:ascii="Arial" w:hAnsi="Arial" w:cs="Arial"/>
          <w:color w:val="252525"/>
          <w:sz w:val="21"/>
          <w:szCs w:val="21"/>
          <w:shd w:val="clear" w:color="auto" w:fill="FFFFFF"/>
        </w:rPr>
        <w:lastRenderedPageBreak/>
        <w:t> </w:t>
      </w:r>
      <w:r>
        <w:rPr>
          <w:rFonts w:ascii="Arial" w:hAnsi="Arial" w:cs="Arial"/>
          <w:color w:val="252525"/>
          <w:sz w:val="21"/>
          <w:szCs w:val="21"/>
          <w:shd w:val="clear" w:color="auto" w:fill="FFFFFF"/>
        </w:rPr>
        <w:t>Each broad occupation includes detailed occupation(s) requiring similar job duties, skills,</w:t>
      </w:r>
      <w:r>
        <w:rPr>
          <w:rStyle w:val="apple-converted-space"/>
          <w:rFonts w:ascii="Arial" w:hAnsi="Arial" w:cs="Arial"/>
          <w:color w:val="252525"/>
          <w:sz w:val="21"/>
          <w:szCs w:val="21"/>
          <w:shd w:val="clear" w:color="auto" w:fill="FFFFFF"/>
        </w:rPr>
        <w:t> </w:t>
      </w:r>
      <w:hyperlink r:id="rId17" w:tooltip="Education" w:history="1">
        <w:r>
          <w:rPr>
            <w:rStyle w:val="Hyperlink"/>
            <w:rFonts w:ascii="Arial" w:hAnsi="Arial" w:cs="Arial"/>
            <w:color w:val="0B0080"/>
            <w:sz w:val="21"/>
            <w:szCs w:val="21"/>
            <w:shd w:val="clear" w:color="auto" w:fill="FFFFFF"/>
          </w:rPr>
          <w:t>education</w:t>
        </w:r>
      </w:hyperlink>
      <w:r>
        <w:rPr>
          <w:rFonts w:ascii="Arial" w:hAnsi="Arial" w:cs="Arial"/>
          <w:color w:val="252525"/>
          <w:sz w:val="21"/>
          <w:szCs w:val="21"/>
          <w:shd w:val="clear" w:color="auto" w:fill="FFFFFF"/>
        </w:rPr>
        <w:t>, or experience.</w:t>
      </w:r>
    </w:p>
    <w:p w:rsidR="006A5AD2" w:rsidRPr="0095668E" w:rsidRDefault="006A5AD2" w:rsidP="006A5AD2">
      <w:pPr>
        <w:rPr>
          <w:u w:val="single"/>
        </w:rPr>
      </w:pPr>
      <w:r w:rsidRPr="0095668E">
        <w:rPr>
          <w:u w:val="single"/>
        </w:rPr>
        <w:t xml:space="preserve">The Census and NYCT data set </w:t>
      </w:r>
    </w:p>
    <w:p w:rsidR="006A5AD2" w:rsidRDefault="006A5AD2" w:rsidP="006A5AD2">
      <w:pPr>
        <w:rPr>
          <w:rFonts w:ascii="Arial" w:hAnsi="Arial" w:cs="Arial"/>
          <w:color w:val="4E5358"/>
          <w:sz w:val="18"/>
          <w:szCs w:val="18"/>
          <w:shd w:val="clear" w:color="auto" w:fill="FFFFFF"/>
        </w:rPr>
      </w:pPr>
    </w:p>
    <w:p w:rsidR="006A5AD2" w:rsidRPr="006F2084" w:rsidRDefault="006A5AD2" w:rsidP="006A5AD2">
      <w:pPr>
        <w:spacing w:before="100" w:beforeAutospacing="1" w:after="100" w:afterAutospacing="1" w:line="240" w:lineRule="auto"/>
        <w:outlineLvl w:val="0"/>
        <w:rPr>
          <w:rFonts w:ascii="Verdana" w:eastAsia="Times New Roman" w:hAnsi="Verdana" w:cs="Times New Roman"/>
          <w:b/>
          <w:bCs/>
          <w:color w:val="000000"/>
          <w:kern w:val="36"/>
          <w:sz w:val="19"/>
          <w:szCs w:val="19"/>
        </w:rPr>
      </w:pPr>
    </w:p>
    <w:p w:rsidR="006A5AD2" w:rsidRPr="006F2084" w:rsidRDefault="006A5AD2" w:rsidP="006A5AD2">
      <w:pPr>
        <w:spacing w:before="100" w:beforeAutospacing="1" w:after="100" w:afterAutospacing="1" w:line="240" w:lineRule="auto"/>
        <w:rPr>
          <w:rFonts w:ascii="Verdana" w:eastAsia="Times New Roman" w:hAnsi="Verdana" w:cs="Times New Roman"/>
          <w:color w:val="000000"/>
          <w:sz w:val="19"/>
          <w:szCs w:val="19"/>
        </w:rPr>
      </w:pPr>
      <w:r w:rsidRPr="006F2084">
        <w:rPr>
          <w:rFonts w:ascii="Verdana" w:eastAsia="Times New Roman" w:hAnsi="Verdana" w:cs="Times New Roman"/>
          <w:color w:val="000000"/>
          <w:sz w:val="19"/>
          <w:szCs w:val="19"/>
        </w:rPr>
        <w:t>When underutilization is found, placement goals should be established to increase the numbers of minorities and/or women, as needed.</w:t>
      </w:r>
    </w:p>
    <w:p w:rsidR="006A5AD2" w:rsidRPr="0095668E" w:rsidRDefault="006A5AD2" w:rsidP="006A5AD2">
      <w:pPr>
        <w:rPr>
          <w:u w:val="single"/>
        </w:rPr>
      </w:pPr>
      <w:r w:rsidRPr="0095668E">
        <w:rPr>
          <w:u w:val="single"/>
        </w:rPr>
        <w:t xml:space="preserve"> Initial Data Wrangling </w:t>
      </w: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p>
    <w:p w:rsidR="006A5AD2" w:rsidRDefault="006A5AD2" w:rsidP="006A5AD2">
      <w:pPr>
        <w:rPr>
          <w:rFonts w:ascii="Arial" w:hAnsi="Arial" w:cs="Arial"/>
          <w:color w:val="4E5358"/>
          <w:sz w:val="18"/>
          <w:szCs w:val="18"/>
          <w:shd w:val="clear" w:color="auto" w:fill="FFFFFF"/>
        </w:rPr>
      </w:pPr>
      <w:r>
        <w:rPr>
          <w:rFonts w:ascii="Arial" w:hAnsi="Arial" w:cs="Arial"/>
          <w:color w:val="4E5358"/>
          <w:sz w:val="18"/>
          <w:szCs w:val="18"/>
          <w:shd w:val="clear" w:color="auto" w:fill="FFFFFF"/>
        </w:rPr>
        <w:t xml:space="preserve"> If subgroups have less than the percentage that is available in the job marketUnder-utilization occurs when there are fewer females or minorities in a particular job group</w:t>
      </w:r>
    </w:p>
    <w:p w:rsidR="006A5AD2" w:rsidRDefault="006A5AD2" w:rsidP="006A5AD2">
      <w:pPr>
        <w:rPr>
          <w:u w:val="single"/>
        </w:rPr>
      </w:pPr>
    </w:p>
    <w:p w:rsidR="00B30A4C" w:rsidRDefault="00B30A4C"/>
    <w:p w:rsidR="00B30A4C" w:rsidRDefault="00895235">
      <w:hyperlink r:id="rId18" w:history="1">
        <w:r w:rsidR="00CE0C97" w:rsidRPr="002E1088">
          <w:rPr>
            <w:rStyle w:val="Hyperlink"/>
          </w:rPr>
          <w:t>https://www.eeoc.gov/laws/statutes/titlevii.cfm</w:t>
        </w:r>
      </w:hyperlink>
    </w:p>
    <w:p w:rsidR="00CE0C97" w:rsidRDefault="00CE0C97"/>
    <w:tbl>
      <w:tblPr>
        <w:tblW w:w="19315" w:type="dxa"/>
        <w:tblCellSpacing w:w="0" w:type="dxa"/>
        <w:shd w:val="clear" w:color="auto" w:fill="FFFFFF"/>
        <w:tblCellMar>
          <w:left w:w="83" w:type="dxa"/>
          <w:bottom w:w="111" w:type="dxa"/>
          <w:right w:w="0" w:type="dxa"/>
        </w:tblCellMar>
        <w:tblLook w:val="04A0"/>
      </w:tblPr>
      <w:tblGrid>
        <w:gridCol w:w="19315"/>
      </w:tblGrid>
      <w:tr w:rsidR="00CE0C97" w:rsidRPr="00CE0C97" w:rsidTr="00FC1FB2">
        <w:trPr>
          <w:tblCellSpacing w:w="0" w:type="dxa"/>
        </w:trPr>
        <w:tc>
          <w:tcPr>
            <w:tcW w:w="0" w:type="auto"/>
            <w:shd w:val="clear" w:color="auto" w:fill="FFFFFF"/>
            <w:hideMark/>
          </w:tcPr>
          <w:p w:rsidR="00CE0C97" w:rsidRPr="00CE0C97" w:rsidRDefault="00CE0C97" w:rsidP="00CE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Pr>
                <w:rFonts w:ascii="Lucida Console" w:eastAsia="Times New Roman" w:hAnsi="Lucida Console" w:cs="Courier New"/>
                <w:color w:val="C5060B"/>
                <w:sz w:val="20"/>
                <w:szCs w:val="20"/>
              </w:rPr>
              <w:t>E</w:t>
            </w:r>
            <w:r w:rsidRPr="00CE0C97">
              <w:rPr>
                <w:rFonts w:ascii="Lucida Console" w:eastAsia="Times New Roman" w:hAnsi="Lucida Console" w:cs="Courier New"/>
                <w:color w:val="C5060B"/>
                <w:sz w:val="20"/>
                <w:szCs w:val="20"/>
              </w:rPr>
              <w:t xml:space="preserve">rror in if (length(unique(intervals)) &gt; 1 &amp; any(diff(scale(intervals)) &lt;  : </w:t>
            </w:r>
          </w:p>
          <w:p w:rsidR="00CE0C97" w:rsidRPr="00CE0C97" w:rsidRDefault="00CE0C97" w:rsidP="00CE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CE0C97">
              <w:rPr>
                <w:rFonts w:ascii="Lucida Console" w:eastAsia="Times New Roman" w:hAnsi="Lucida Console" w:cs="Courier New"/>
                <w:color w:val="C5060B"/>
                <w:sz w:val="20"/>
                <w:szCs w:val="20"/>
              </w:rPr>
              <w:t xml:space="preserve">  missing value where TRUE/FALSE needed</w:t>
            </w:r>
          </w:p>
        </w:tc>
      </w:tr>
      <w:tr w:rsidR="00CE0C97" w:rsidRPr="00CE0C97" w:rsidTr="00FC1FB2">
        <w:trPr>
          <w:tblCellSpacing w:w="0" w:type="dxa"/>
        </w:trPr>
        <w:tc>
          <w:tcPr>
            <w:tcW w:w="0" w:type="auto"/>
            <w:shd w:val="clear" w:color="auto" w:fill="FFFFFF"/>
            <w:hideMark/>
          </w:tcPr>
          <w:p w:rsidR="00CE0C97" w:rsidRPr="00CE0C97" w:rsidRDefault="00CE0C97" w:rsidP="00CE0C97">
            <w:pPr>
              <w:spacing w:after="0" w:line="240" w:lineRule="auto"/>
              <w:rPr>
                <w:rFonts w:ascii="Lucida Console" w:eastAsia="Times New Roman" w:hAnsi="Lucida Console" w:cs="Times New Roman"/>
                <w:color w:val="000000"/>
                <w:sz w:val="24"/>
                <w:szCs w:val="24"/>
              </w:rPr>
            </w:pPr>
          </w:p>
        </w:tc>
      </w:tr>
      <w:tr w:rsidR="00CE0C97" w:rsidRPr="00CE0C97" w:rsidTr="00FC1FB2">
        <w:trPr>
          <w:tblCellSpacing w:w="0" w:type="dxa"/>
        </w:trPr>
        <w:tc>
          <w:tcPr>
            <w:tcW w:w="0" w:type="auto"/>
            <w:shd w:val="clear" w:color="auto" w:fill="FFFFFF"/>
            <w:hideMark/>
          </w:tcPr>
          <w:tbl>
            <w:tblPr>
              <w:tblW w:w="19232" w:type="dxa"/>
              <w:tblCellSpacing w:w="0" w:type="dxa"/>
              <w:tblCellMar>
                <w:left w:w="0" w:type="dxa"/>
                <w:right w:w="0" w:type="dxa"/>
              </w:tblCellMar>
              <w:tblLook w:val="04A0"/>
            </w:tblPr>
            <w:tblGrid>
              <w:gridCol w:w="19232"/>
            </w:tblGrid>
            <w:tr w:rsidR="00CE0C97" w:rsidRPr="00CE0C97">
              <w:trPr>
                <w:tblCellSpacing w:w="0" w:type="dxa"/>
              </w:trPr>
              <w:tc>
                <w:tcPr>
                  <w:tcW w:w="15" w:type="dxa"/>
                  <w:hideMark/>
                </w:tcPr>
                <w:p w:rsidR="00CE0C97" w:rsidRPr="00CE0C97" w:rsidRDefault="00CE0C97" w:rsidP="00CE0C97">
                  <w:pPr>
                    <w:spacing w:after="0" w:line="0" w:lineRule="atLeast"/>
                    <w:rPr>
                      <w:rFonts w:ascii="Lucida Console" w:eastAsia="Times New Roman" w:hAnsi="Lucida Console" w:cs="Times New Roman"/>
                      <w:color w:val="0000FF"/>
                      <w:sz w:val="24"/>
                      <w:szCs w:val="24"/>
                    </w:rPr>
                  </w:pPr>
                  <w:r w:rsidRPr="00CE0C97">
                    <w:rPr>
                      <w:rFonts w:ascii="Lucida Console" w:eastAsia="Times New Roman" w:hAnsi="Lucida Console" w:cs="Times New Roman"/>
                      <w:color w:val="0000FF"/>
                      <w:sz w:val="24"/>
                      <w:szCs w:val="24"/>
                    </w:rPr>
                    <w:t xml:space="preserve">&gt; </w:t>
                  </w:r>
                </w:p>
              </w:tc>
            </w:tr>
          </w:tbl>
          <w:p w:rsidR="00CE0C97" w:rsidRPr="00CE0C97" w:rsidRDefault="00CE0C97" w:rsidP="00CE0C97">
            <w:pPr>
              <w:spacing w:after="0" w:line="240" w:lineRule="auto"/>
              <w:rPr>
                <w:rFonts w:ascii="Lucida Console" w:eastAsia="Times New Roman" w:hAnsi="Lucida Console" w:cs="Times New Roman"/>
                <w:color w:val="000000"/>
                <w:sz w:val="24"/>
                <w:szCs w:val="24"/>
              </w:rPr>
            </w:pPr>
          </w:p>
        </w:tc>
      </w:tr>
    </w:tbl>
    <w:p w:rsidR="00FC1FB2" w:rsidRDefault="00FC1FB2" w:rsidP="00FC1FB2">
      <w:pPr>
        <w:pStyle w:val="HTMLPreformatted"/>
        <w:shd w:val="clear" w:color="auto" w:fill="FFFFFF"/>
        <w:wordWrap w:val="0"/>
        <w:spacing w:line="208" w:lineRule="atLeast"/>
        <w:rPr>
          <w:rFonts w:ascii="Lucida Console" w:hAnsi="Lucida Console"/>
          <w:color w:val="000000"/>
        </w:rPr>
      </w:pPr>
      <w:r>
        <w:rPr>
          <w:rStyle w:val="gem3dmtcpfb"/>
          <w:rFonts w:ascii="Lucida Console" w:hAnsi="Lucida Console"/>
          <w:color w:val="C5060B"/>
        </w:rPr>
        <w:t>Error: ggplot2 doesn't know how to deal with data of class numeric</w:t>
      </w:r>
    </w:p>
    <w:p w:rsidR="00CE0C97" w:rsidRDefault="00CE0C97"/>
    <w:sectPr w:rsidR="00CE0C97" w:rsidSect="00C83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4BE6"/>
    <w:multiLevelType w:val="multilevel"/>
    <w:tmpl w:val="AEA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E3C14"/>
    <w:multiLevelType w:val="multilevel"/>
    <w:tmpl w:val="3378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D81C12"/>
    <w:multiLevelType w:val="hybridMultilevel"/>
    <w:tmpl w:val="2312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6560E"/>
    <w:rsid w:val="00003597"/>
    <w:rsid w:val="00005966"/>
    <w:rsid w:val="00022C98"/>
    <w:rsid w:val="00063D10"/>
    <w:rsid w:val="000728AC"/>
    <w:rsid w:val="00081892"/>
    <w:rsid w:val="000A0495"/>
    <w:rsid w:val="000C6F4D"/>
    <w:rsid w:val="000E10B0"/>
    <w:rsid w:val="000E4EFC"/>
    <w:rsid w:val="000E786B"/>
    <w:rsid w:val="001039F0"/>
    <w:rsid w:val="001070D0"/>
    <w:rsid w:val="001210EC"/>
    <w:rsid w:val="001316E1"/>
    <w:rsid w:val="00146F1D"/>
    <w:rsid w:val="00155639"/>
    <w:rsid w:val="00157741"/>
    <w:rsid w:val="001647FD"/>
    <w:rsid w:val="00166541"/>
    <w:rsid w:val="00172852"/>
    <w:rsid w:val="001B1A19"/>
    <w:rsid w:val="001C1D77"/>
    <w:rsid w:val="001F0C29"/>
    <w:rsid w:val="002173F9"/>
    <w:rsid w:val="00227ACF"/>
    <w:rsid w:val="0023448A"/>
    <w:rsid w:val="002365DC"/>
    <w:rsid w:val="002414A1"/>
    <w:rsid w:val="00242130"/>
    <w:rsid w:val="00266AEA"/>
    <w:rsid w:val="00281AFA"/>
    <w:rsid w:val="002833E5"/>
    <w:rsid w:val="002920A2"/>
    <w:rsid w:val="002A007D"/>
    <w:rsid w:val="002A12A5"/>
    <w:rsid w:val="002A500C"/>
    <w:rsid w:val="002B23E0"/>
    <w:rsid w:val="002C44A8"/>
    <w:rsid w:val="002C4C37"/>
    <w:rsid w:val="002D346F"/>
    <w:rsid w:val="002F1676"/>
    <w:rsid w:val="0031436D"/>
    <w:rsid w:val="003301C6"/>
    <w:rsid w:val="0034235F"/>
    <w:rsid w:val="003652E3"/>
    <w:rsid w:val="003C51F3"/>
    <w:rsid w:val="003D667F"/>
    <w:rsid w:val="004062F1"/>
    <w:rsid w:val="00410CE0"/>
    <w:rsid w:val="00414972"/>
    <w:rsid w:val="00440B41"/>
    <w:rsid w:val="00441A32"/>
    <w:rsid w:val="004459F6"/>
    <w:rsid w:val="0045058E"/>
    <w:rsid w:val="0045247B"/>
    <w:rsid w:val="0046039E"/>
    <w:rsid w:val="00463405"/>
    <w:rsid w:val="00470800"/>
    <w:rsid w:val="004719A9"/>
    <w:rsid w:val="00483526"/>
    <w:rsid w:val="004860EE"/>
    <w:rsid w:val="004B1724"/>
    <w:rsid w:val="004B24D9"/>
    <w:rsid w:val="004C2B1A"/>
    <w:rsid w:val="004C5FEE"/>
    <w:rsid w:val="004D1D50"/>
    <w:rsid w:val="004F14A7"/>
    <w:rsid w:val="004F483F"/>
    <w:rsid w:val="00525936"/>
    <w:rsid w:val="00525A5C"/>
    <w:rsid w:val="005301F5"/>
    <w:rsid w:val="00542819"/>
    <w:rsid w:val="0057041B"/>
    <w:rsid w:val="005859AE"/>
    <w:rsid w:val="00594FB1"/>
    <w:rsid w:val="005A2434"/>
    <w:rsid w:val="005A31AE"/>
    <w:rsid w:val="005A3759"/>
    <w:rsid w:val="005B4E35"/>
    <w:rsid w:val="005E4ADA"/>
    <w:rsid w:val="005F097C"/>
    <w:rsid w:val="005F7162"/>
    <w:rsid w:val="006106D5"/>
    <w:rsid w:val="00622DE5"/>
    <w:rsid w:val="00627E14"/>
    <w:rsid w:val="00630E63"/>
    <w:rsid w:val="0063387B"/>
    <w:rsid w:val="00650E2E"/>
    <w:rsid w:val="00672381"/>
    <w:rsid w:val="00681851"/>
    <w:rsid w:val="006A5AD2"/>
    <w:rsid w:val="006B10D4"/>
    <w:rsid w:val="006C31C0"/>
    <w:rsid w:val="006E0111"/>
    <w:rsid w:val="006F2084"/>
    <w:rsid w:val="006F46E8"/>
    <w:rsid w:val="00714285"/>
    <w:rsid w:val="00717131"/>
    <w:rsid w:val="0072595F"/>
    <w:rsid w:val="00733319"/>
    <w:rsid w:val="00735D8C"/>
    <w:rsid w:val="0076560E"/>
    <w:rsid w:val="00784DC6"/>
    <w:rsid w:val="007A3918"/>
    <w:rsid w:val="007D11A6"/>
    <w:rsid w:val="007E3C3A"/>
    <w:rsid w:val="007E7115"/>
    <w:rsid w:val="007F008D"/>
    <w:rsid w:val="007F0604"/>
    <w:rsid w:val="00801C81"/>
    <w:rsid w:val="008152B6"/>
    <w:rsid w:val="00835FB0"/>
    <w:rsid w:val="0083745D"/>
    <w:rsid w:val="00841208"/>
    <w:rsid w:val="00846252"/>
    <w:rsid w:val="00850A8D"/>
    <w:rsid w:val="00895235"/>
    <w:rsid w:val="008A56DE"/>
    <w:rsid w:val="008E0C67"/>
    <w:rsid w:val="008F2AD7"/>
    <w:rsid w:val="008F6017"/>
    <w:rsid w:val="00901D88"/>
    <w:rsid w:val="00904209"/>
    <w:rsid w:val="009263F6"/>
    <w:rsid w:val="009348E3"/>
    <w:rsid w:val="0095668E"/>
    <w:rsid w:val="009577A5"/>
    <w:rsid w:val="00977727"/>
    <w:rsid w:val="00993D6C"/>
    <w:rsid w:val="009A64AA"/>
    <w:rsid w:val="009A6A9C"/>
    <w:rsid w:val="009D490C"/>
    <w:rsid w:val="009F4A49"/>
    <w:rsid w:val="00A171C3"/>
    <w:rsid w:val="00A17C6E"/>
    <w:rsid w:val="00A247D7"/>
    <w:rsid w:val="00A25003"/>
    <w:rsid w:val="00A27E0C"/>
    <w:rsid w:val="00A30B5F"/>
    <w:rsid w:val="00A46132"/>
    <w:rsid w:val="00A51727"/>
    <w:rsid w:val="00A636AB"/>
    <w:rsid w:val="00A64052"/>
    <w:rsid w:val="00A839F4"/>
    <w:rsid w:val="00A85AF7"/>
    <w:rsid w:val="00AA0E80"/>
    <w:rsid w:val="00AA581D"/>
    <w:rsid w:val="00AA79C7"/>
    <w:rsid w:val="00AE7205"/>
    <w:rsid w:val="00AF2B40"/>
    <w:rsid w:val="00B043A2"/>
    <w:rsid w:val="00B30A4C"/>
    <w:rsid w:val="00B52EDC"/>
    <w:rsid w:val="00B65E00"/>
    <w:rsid w:val="00B90E62"/>
    <w:rsid w:val="00BA60EF"/>
    <w:rsid w:val="00BB5095"/>
    <w:rsid w:val="00BE26C6"/>
    <w:rsid w:val="00BE282B"/>
    <w:rsid w:val="00BF6E77"/>
    <w:rsid w:val="00C20D9F"/>
    <w:rsid w:val="00C23749"/>
    <w:rsid w:val="00C304F1"/>
    <w:rsid w:val="00C37AA3"/>
    <w:rsid w:val="00C7043B"/>
    <w:rsid w:val="00C70469"/>
    <w:rsid w:val="00C74F89"/>
    <w:rsid w:val="00C8303F"/>
    <w:rsid w:val="00C941EC"/>
    <w:rsid w:val="00CB3693"/>
    <w:rsid w:val="00CD69D3"/>
    <w:rsid w:val="00CE0C97"/>
    <w:rsid w:val="00CE609A"/>
    <w:rsid w:val="00CF36CC"/>
    <w:rsid w:val="00D15344"/>
    <w:rsid w:val="00D22199"/>
    <w:rsid w:val="00D26C64"/>
    <w:rsid w:val="00D43469"/>
    <w:rsid w:val="00D47CD3"/>
    <w:rsid w:val="00D66615"/>
    <w:rsid w:val="00D9224B"/>
    <w:rsid w:val="00D94859"/>
    <w:rsid w:val="00DC0CEB"/>
    <w:rsid w:val="00DC3A1B"/>
    <w:rsid w:val="00DD2415"/>
    <w:rsid w:val="00DD5172"/>
    <w:rsid w:val="00DF2906"/>
    <w:rsid w:val="00E36899"/>
    <w:rsid w:val="00E428C4"/>
    <w:rsid w:val="00E56924"/>
    <w:rsid w:val="00E73A62"/>
    <w:rsid w:val="00E748A9"/>
    <w:rsid w:val="00E81873"/>
    <w:rsid w:val="00E81D0D"/>
    <w:rsid w:val="00E92425"/>
    <w:rsid w:val="00EA0755"/>
    <w:rsid w:val="00EA2D53"/>
    <w:rsid w:val="00EC3896"/>
    <w:rsid w:val="00EF5663"/>
    <w:rsid w:val="00F13B55"/>
    <w:rsid w:val="00F35CA3"/>
    <w:rsid w:val="00F545F8"/>
    <w:rsid w:val="00F65B7A"/>
    <w:rsid w:val="00F81AB4"/>
    <w:rsid w:val="00F86E8D"/>
    <w:rsid w:val="00F9609F"/>
    <w:rsid w:val="00FA1F3C"/>
    <w:rsid w:val="00FC1FB2"/>
    <w:rsid w:val="00FC4249"/>
    <w:rsid w:val="00FD66CE"/>
    <w:rsid w:val="00FD7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3F"/>
  </w:style>
  <w:style w:type="paragraph" w:styleId="Heading1">
    <w:name w:val="heading 1"/>
    <w:basedOn w:val="Normal"/>
    <w:link w:val="Heading1Char"/>
    <w:uiPriority w:val="9"/>
    <w:qFormat/>
    <w:rsid w:val="006F2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A5C"/>
  </w:style>
  <w:style w:type="paragraph" w:styleId="NormalWeb">
    <w:name w:val="Normal (Web)"/>
    <w:basedOn w:val="Normal"/>
    <w:uiPriority w:val="99"/>
    <w:semiHidden/>
    <w:unhideWhenUsed/>
    <w:rsid w:val="00AA7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A79C7"/>
  </w:style>
  <w:style w:type="character" w:customStyle="1" w:styleId="Heading1Char">
    <w:name w:val="Heading 1 Char"/>
    <w:basedOn w:val="DefaultParagraphFont"/>
    <w:link w:val="Heading1"/>
    <w:uiPriority w:val="9"/>
    <w:rsid w:val="006F208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3745D"/>
    <w:rPr>
      <w:color w:val="0000FF"/>
      <w:u w:val="single"/>
    </w:rPr>
  </w:style>
  <w:style w:type="character" w:styleId="Emphasis">
    <w:name w:val="Emphasis"/>
    <w:basedOn w:val="DefaultParagraphFont"/>
    <w:uiPriority w:val="20"/>
    <w:qFormat/>
    <w:rsid w:val="00E428C4"/>
    <w:rPr>
      <w:i/>
      <w:iCs/>
    </w:rPr>
  </w:style>
  <w:style w:type="paragraph" w:styleId="ListParagraph">
    <w:name w:val="List Paragraph"/>
    <w:basedOn w:val="Normal"/>
    <w:uiPriority w:val="34"/>
    <w:qFormat/>
    <w:rsid w:val="00BE282B"/>
    <w:pPr>
      <w:ind w:left="720"/>
      <w:contextualSpacing/>
    </w:pPr>
  </w:style>
  <w:style w:type="paragraph" w:styleId="HTMLPreformatted">
    <w:name w:val="HTML Preformatted"/>
    <w:basedOn w:val="Normal"/>
    <w:link w:val="HTMLPreformattedChar"/>
    <w:uiPriority w:val="99"/>
    <w:unhideWhenUsed/>
    <w:rsid w:val="00CE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0C97"/>
    <w:rPr>
      <w:rFonts w:ascii="Courier New" w:eastAsia="Times New Roman" w:hAnsi="Courier New" w:cs="Courier New"/>
      <w:sz w:val="20"/>
      <w:szCs w:val="20"/>
    </w:rPr>
  </w:style>
  <w:style w:type="character" w:customStyle="1" w:styleId="gem3dmtcpfb">
    <w:name w:val="gem3dmtcpfb"/>
    <w:basedOn w:val="DefaultParagraphFont"/>
    <w:rsid w:val="00CE0C97"/>
  </w:style>
  <w:style w:type="paragraph" w:styleId="BalloonText">
    <w:name w:val="Balloon Text"/>
    <w:basedOn w:val="Normal"/>
    <w:link w:val="BalloonTextChar"/>
    <w:uiPriority w:val="99"/>
    <w:semiHidden/>
    <w:unhideWhenUsed/>
    <w:rsid w:val="0008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4540">
      <w:marLeft w:val="0"/>
      <w:marRight w:val="0"/>
      <w:marTop w:val="0"/>
      <w:marBottom w:val="0"/>
      <w:divBdr>
        <w:top w:val="none" w:sz="0" w:space="0" w:color="auto"/>
        <w:left w:val="none" w:sz="0" w:space="0" w:color="auto"/>
        <w:bottom w:val="none" w:sz="0" w:space="0" w:color="auto"/>
        <w:right w:val="none" w:sz="0" w:space="0" w:color="auto"/>
      </w:divBdr>
    </w:div>
    <w:div w:id="8678236">
      <w:bodyDiv w:val="1"/>
      <w:marLeft w:val="0"/>
      <w:marRight w:val="0"/>
      <w:marTop w:val="0"/>
      <w:marBottom w:val="0"/>
      <w:divBdr>
        <w:top w:val="none" w:sz="0" w:space="0" w:color="auto"/>
        <w:left w:val="none" w:sz="0" w:space="0" w:color="auto"/>
        <w:bottom w:val="none" w:sz="0" w:space="0" w:color="auto"/>
        <w:right w:val="none" w:sz="0" w:space="0" w:color="auto"/>
      </w:divBdr>
    </w:div>
    <w:div w:id="18241643">
      <w:marLeft w:val="0"/>
      <w:marRight w:val="180"/>
      <w:marTop w:val="0"/>
      <w:marBottom w:val="0"/>
      <w:divBdr>
        <w:top w:val="none" w:sz="0" w:space="0" w:color="auto"/>
        <w:left w:val="none" w:sz="0" w:space="0" w:color="auto"/>
        <w:bottom w:val="none" w:sz="0" w:space="0" w:color="auto"/>
        <w:right w:val="none" w:sz="0" w:space="0" w:color="auto"/>
      </w:divBdr>
    </w:div>
    <w:div w:id="29427343">
      <w:marLeft w:val="0"/>
      <w:marRight w:val="0"/>
      <w:marTop w:val="0"/>
      <w:marBottom w:val="0"/>
      <w:divBdr>
        <w:top w:val="none" w:sz="0" w:space="0" w:color="auto"/>
        <w:left w:val="none" w:sz="0" w:space="0" w:color="auto"/>
        <w:bottom w:val="none" w:sz="0" w:space="0" w:color="auto"/>
        <w:right w:val="none" w:sz="0" w:space="0" w:color="auto"/>
      </w:divBdr>
    </w:div>
    <w:div w:id="34814384">
      <w:marLeft w:val="0"/>
      <w:marRight w:val="180"/>
      <w:marTop w:val="0"/>
      <w:marBottom w:val="0"/>
      <w:divBdr>
        <w:top w:val="none" w:sz="0" w:space="0" w:color="auto"/>
        <w:left w:val="none" w:sz="0" w:space="0" w:color="auto"/>
        <w:bottom w:val="none" w:sz="0" w:space="0" w:color="auto"/>
        <w:right w:val="none" w:sz="0" w:space="0" w:color="auto"/>
      </w:divBdr>
    </w:div>
    <w:div w:id="52121005">
      <w:marLeft w:val="0"/>
      <w:marRight w:val="0"/>
      <w:marTop w:val="0"/>
      <w:marBottom w:val="0"/>
      <w:divBdr>
        <w:top w:val="none" w:sz="0" w:space="0" w:color="auto"/>
        <w:left w:val="none" w:sz="0" w:space="0" w:color="auto"/>
        <w:bottom w:val="none" w:sz="0" w:space="0" w:color="auto"/>
        <w:right w:val="none" w:sz="0" w:space="0" w:color="auto"/>
      </w:divBdr>
    </w:div>
    <w:div w:id="57671943">
      <w:marLeft w:val="0"/>
      <w:marRight w:val="0"/>
      <w:marTop w:val="0"/>
      <w:marBottom w:val="0"/>
      <w:divBdr>
        <w:top w:val="none" w:sz="0" w:space="0" w:color="auto"/>
        <w:left w:val="none" w:sz="0" w:space="0" w:color="auto"/>
        <w:bottom w:val="none" w:sz="0" w:space="0" w:color="auto"/>
        <w:right w:val="none" w:sz="0" w:space="0" w:color="auto"/>
      </w:divBdr>
    </w:div>
    <w:div w:id="134376654">
      <w:marLeft w:val="0"/>
      <w:marRight w:val="0"/>
      <w:marTop w:val="0"/>
      <w:marBottom w:val="0"/>
      <w:divBdr>
        <w:top w:val="none" w:sz="0" w:space="0" w:color="auto"/>
        <w:left w:val="none" w:sz="0" w:space="0" w:color="auto"/>
        <w:bottom w:val="none" w:sz="0" w:space="0" w:color="auto"/>
        <w:right w:val="none" w:sz="0" w:space="0" w:color="auto"/>
      </w:divBdr>
    </w:div>
    <w:div w:id="138544360">
      <w:marLeft w:val="0"/>
      <w:marRight w:val="0"/>
      <w:marTop w:val="0"/>
      <w:marBottom w:val="0"/>
      <w:divBdr>
        <w:top w:val="none" w:sz="0" w:space="0" w:color="auto"/>
        <w:left w:val="none" w:sz="0" w:space="0" w:color="auto"/>
        <w:bottom w:val="none" w:sz="0" w:space="0" w:color="auto"/>
        <w:right w:val="none" w:sz="0" w:space="0" w:color="auto"/>
      </w:divBdr>
    </w:div>
    <w:div w:id="178129880">
      <w:marLeft w:val="0"/>
      <w:marRight w:val="0"/>
      <w:marTop w:val="0"/>
      <w:marBottom w:val="0"/>
      <w:divBdr>
        <w:top w:val="none" w:sz="0" w:space="0" w:color="auto"/>
        <w:left w:val="none" w:sz="0" w:space="0" w:color="auto"/>
        <w:bottom w:val="none" w:sz="0" w:space="0" w:color="auto"/>
        <w:right w:val="none" w:sz="0" w:space="0" w:color="auto"/>
      </w:divBdr>
    </w:div>
    <w:div w:id="195050617">
      <w:marLeft w:val="0"/>
      <w:marRight w:val="0"/>
      <w:marTop w:val="0"/>
      <w:marBottom w:val="0"/>
      <w:divBdr>
        <w:top w:val="none" w:sz="0" w:space="0" w:color="auto"/>
        <w:left w:val="none" w:sz="0" w:space="0" w:color="auto"/>
        <w:bottom w:val="none" w:sz="0" w:space="0" w:color="auto"/>
        <w:right w:val="none" w:sz="0" w:space="0" w:color="auto"/>
      </w:divBdr>
    </w:div>
    <w:div w:id="210922164">
      <w:marLeft w:val="0"/>
      <w:marRight w:val="0"/>
      <w:marTop w:val="0"/>
      <w:marBottom w:val="0"/>
      <w:divBdr>
        <w:top w:val="none" w:sz="0" w:space="0" w:color="auto"/>
        <w:left w:val="none" w:sz="0" w:space="0" w:color="auto"/>
        <w:bottom w:val="none" w:sz="0" w:space="0" w:color="auto"/>
        <w:right w:val="none" w:sz="0" w:space="0" w:color="auto"/>
      </w:divBdr>
    </w:div>
    <w:div w:id="219905470">
      <w:marLeft w:val="0"/>
      <w:marRight w:val="0"/>
      <w:marTop w:val="0"/>
      <w:marBottom w:val="0"/>
      <w:divBdr>
        <w:top w:val="none" w:sz="0" w:space="0" w:color="auto"/>
        <w:left w:val="none" w:sz="0" w:space="0" w:color="auto"/>
        <w:bottom w:val="none" w:sz="0" w:space="0" w:color="auto"/>
        <w:right w:val="none" w:sz="0" w:space="0" w:color="auto"/>
      </w:divBdr>
    </w:div>
    <w:div w:id="256212488">
      <w:marLeft w:val="0"/>
      <w:marRight w:val="0"/>
      <w:marTop w:val="0"/>
      <w:marBottom w:val="0"/>
      <w:divBdr>
        <w:top w:val="none" w:sz="0" w:space="0" w:color="auto"/>
        <w:left w:val="none" w:sz="0" w:space="0" w:color="auto"/>
        <w:bottom w:val="none" w:sz="0" w:space="0" w:color="auto"/>
        <w:right w:val="none" w:sz="0" w:space="0" w:color="auto"/>
      </w:divBdr>
    </w:div>
    <w:div w:id="311712777">
      <w:marLeft w:val="0"/>
      <w:marRight w:val="0"/>
      <w:marTop w:val="0"/>
      <w:marBottom w:val="0"/>
      <w:divBdr>
        <w:top w:val="none" w:sz="0" w:space="0" w:color="auto"/>
        <w:left w:val="none" w:sz="0" w:space="0" w:color="auto"/>
        <w:bottom w:val="none" w:sz="0" w:space="0" w:color="auto"/>
        <w:right w:val="none" w:sz="0" w:space="0" w:color="auto"/>
      </w:divBdr>
    </w:div>
    <w:div w:id="319582980">
      <w:marLeft w:val="0"/>
      <w:marRight w:val="0"/>
      <w:marTop w:val="0"/>
      <w:marBottom w:val="0"/>
      <w:divBdr>
        <w:top w:val="none" w:sz="0" w:space="0" w:color="auto"/>
        <w:left w:val="none" w:sz="0" w:space="0" w:color="auto"/>
        <w:bottom w:val="none" w:sz="0" w:space="0" w:color="auto"/>
        <w:right w:val="none" w:sz="0" w:space="0" w:color="auto"/>
      </w:divBdr>
    </w:div>
    <w:div w:id="349379553">
      <w:marLeft w:val="0"/>
      <w:marRight w:val="0"/>
      <w:marTop w:val="0"/>
      <w:marBottom w:val="0"/>
      <w:divBdr>
        <w:top w:val="none" w:sz="0" w:space="0" w:color="auto"/>
        <w:left w:val="none" w:sz="0" w:space="0" w:color="auto"/>
        <w:bottom w:val="none" w:sz="0" w:space="0" w:color="auto"/>
        <w:right w:val="none" w:sz="0" w:space="0" w:color="auto"/>
      </w:divBdr>
    </w:div>
    <w:div w:id="411589755">
      <w:marLeft w:val="0"/>
      <w:marRight w:val="0"/>
      <w:marTop w:val="0"/>
      <w:marBottom w:val="0"/>
      <w:divBdr>
        <w:top w:val="none" w:sz="0" w:space="0" w:color="auto"/>
        <w:left w:val="none" w:sz="0" w:space="0" w:color="auto"/>
        <w:bottom w:val="none" w:sz="0" w:space="0" w:color="auto"/>
        <w:right w:val="none" w:sz="0" w:space="0" w:color="auto"/>
      </w:divBdr>
    </w:div>
    <w:div w:id="442502397">
      <w:marLeft w:val="0"/>
      <w:marRight w:val="0"/>
      <w:marTop w:val="0"/>
      <w:marBottom w:val="0"/>
      <w:divBdr>
        <w:top w:val="none" w:sz="0" w:space="0" w:color="auto"/>
        <w:left w:val="none" w:sz="0" w:space="0" w:color="auto"/>
        <w:bottom w:val="none" w:sz="0" w:space="0" w:color="auto"/>
        <w:right w:val="none" w:sz="0" w:space="0" w:color="auto"/>
      </w:divBdr>
    </w:div>
    <w:div w:id="447700294">
      <w:bodyDiv w:val="1"/>
      <w:marLeft w:val="0"/>
      <w:marRight w:val="0"/>
      <w:marTop w:val="0"/>
      <w:marBottom w:val="0"/>
      <w:divBdr>
        <w:top w:val="none" w:sz="0" w:space="0" w:color="auto"/>
        <w:left w:val="none" w:sz="0" w:space="0" w:color="auto"/>
        <w:bottom w:val="none" w:sz="0" w:space="0" w:color="auto"/>
        <w:right w:val="none" w:sz="0" w:space="0" w:color="auto"/>
      </w:divBdr>
    </w:div>
    <w:div w:id="452864892">
      <w:marLeft w:val="0"/>
      <w:marRight w:val="0"/>
      <w:marTop w:val="0"/>
      <w:marBottom w:val="0"/>
      <w:divBdr>
        <w:top w:val="none" w:sz="0" w:space="0" w:color="auto"/>
        <w:left w:val="none" w:sz="0" w:space="0" w:color="auto"/>
        <w:bottom w:val="none" w:sz="0" w:space="0" w:color="auto"/>
        <w:right w:val="none" w:sz="0" w:space="0" w:color="auto"/>
      </w:divBdr>
    </w:div>
    <w:div w:id="453868354">
      <w:marLeft w:val="0"/>
      <w:marRight w:val="0"/>
      <w:marTop w:val="0"/>
      <w:marBottom w:val="0"/>
      <w:divBdr>
        <w:top w:val="none" w:sz="0" w:space="0" w:color="auto"/>
        <w:left w:val="none" w:sz="0" w:space="0" w:color="auto"/>
        <w:bottom w:val="none" w:sz="0" w:space="0" w:color="auto"/>
        <w:right w:val="none" w:sz="0" w:space="0" w:color="auto"/>
      </w:divBdr>
    </w:div>
    <w:div w:id="460540151">
      <w:marLeft w:val="0"/>
      <w:marRight w:val="0"/>
      <w:marTop w:val="0"/>
      <w:marBottom w:val="0"/>
      <w:divBdr>
        <w:top w:val="none" w:sz="0" w:space="0" w:color="auto"/>
        <w:left w:val="none" w:sz="0" w:space="0" w:color="auto"/>
        <w:bottom w:val="none" w:sz="0" w:space="0" w:color="auto"/>
        <w:right w:val="none" w:sz="0" w:space="0" w:color="auto"/>
      </w:divBdr>
    </w:div>
    <w:div w:id="468523455">
      <w:marLeft w:val="0"/>
      <w:marRight w:val="0"/>
      <w:marTop w:val="0"/>
      <w:marBottom w:val="0"/>
      <w:divBdr>
        <w:top w:val="none" w:sz="0" w:space="0" w:color="auto"/>
        <w:left w:val="none" w:sz="0" w:space="0" w:color="auto"/>
        <w:bottom w:val="none" w:sz="0" w:space="0" w:color="auto"/>
        <w:right w:val="none" w:sz="0" w:space="0" w:color="auto"/>
      </w:divBdr>
    </w:div>
    <w:div w:id="488250260">
      <w:marLeft w:val="0"/>
      <w:marRight w:val="0"/>
      <w:marTop w:val="0"/>
      <w:marBottom w:val="0"/>
      <w:divBdr>
        <w:top w:val="none" w:sz="0" w:space="0" w:color="auto"/>
        <w:left w:val="none" w:sz="0" w:space="0" w:color="auto"/>
        <w:bottom w:val="none" w:sz="0" w:space="0" w:color="auto"/>
        <w:right w:val="none" w:sz="0" w:space="0" w:color="auto"/>
      </w:divBdr>
    </w:div>
    <w:div w:id="501358184">
      <w:marLeft w:val="0"/>
      <w:marRight w:val="0"/>
      <w:marTop w:val="0"/>
      <w:marBottom w:val="0"/>
      <w:divBdr>
        <w:top w:val="none" w:sz="0" w:space="0" w:color="auto"/>
        <w:left w:val="none" w:sz="0" w:space="0" w:color="auto"/>
        <w:bottom w:val="none" w:sz="0" w:space="0" w:color="auto"/>
        <w:right w:val="none" w:sz="0" w:space="0" w:color="auto"/>
      </w:divBdr>
    </w:div>
    <w:div w:id="518276328">
      <w:marLeft w:val="0"/>
      <w:marRight w:val="0"/>
      <w:marTop w:val="0"/>
      <w:marBottom w:val="0"/>
      <w:divBdr>
        <w:top w:val="none" w:sz="0" w:space="0" w:color="auto"/>
        <w:left w:val="none" w:sz="0" w:space="0" w:color="auto"/>
        <w:bottom w:val="none" w:sz="0" w:space="0" w:color="auto"/>
        <w:right w:val="none" w:sz="0" w:space="0" w:color="auto"/>
      </w:divBdr>
    </w:div>
    <w:div w:id="523248491">
      <w:marLeft w:val="0"/>
      <w:marRight w:val="0"/>
      <w:marTop w:val="0"/>
      <w:marBottom w:val="0"/>
      <w:divBdr>
        <w:top w:val="none" w:sz="0" w:space="0" w:color="auto"/>
        <w:left w:val="none" w:sz="0" w:space="0" w:color="auto"/>
        <w:bottom w:val="none" w:sz="0" w:space="0" w:color="auto"/>
        <w:right w:val="none" w:sz="0" w:space="0" w:color="auto"/>
      </w:divBdr>
    </w:div>
    <w:div w:id="547574472">
      <w:marLeft w:val="0"/>
      <w:marRight w:val="0"/>
      <w:marTop w:val="0"/>
      <w:marBottom w:val="0"/>
      <w:divBdr>
        <w:top w:val="none" w:sz="0" w:space="0" w:color="auto"/>
        <w:left w:val="none" w:sz="0" w:space="0" w:color="auto"/>
        <w:bottom w:val="none" w:sz="0" w:space="0" w:color="auto"/>
        <w:right w:val="none" w:sz="0" w:space="0" w:color="auto"/>
      </w:divBdr>
    </w:div>
    <w:div w:id="552616101">
      <w:marLeft w:val="0"/>
      <w:marRight w:val="0"/>
      <w:marTop w:val="0"/>
      <w:marBottom w:val="0"/>
      <w:divBdr>
        <w:top w:val="none" w:sz="0" w:space="0" w:color="auto"/>
        <w:left w:val="none" w:sz="0" w:space="0" w:color="auto"/>
        <w:bottom w:val="none" w:sz="0" w:space="0" w:color="auto"/>
        <w:right w:val="none" w:sz="0" w:space="0" w:color="auto"/>
      </w:divBdr>
    </w:div>
    <w:div w:id="565727085">
      <w:marLeft w:val="0"/>
      <w:marRight w:val="0"/>
      <w:marTop w:val="0"/>
      <w:marBottom w:val="0"/>
      <w:divBdr>
        <w:top w:val="none" w:sz="0" w:space="0" w:color="auto"/>
        <w:left w:val="none" w:sz="0" w:space="0" w:color="auto"/>
        <w:bottom w:val="none" w:sz="0" w:space="0" w:color="auto"/>
        <w:right w:val="none" w:sz="0" w:space="0" w:color="auto"/>
      </w:divBdr>
    </w:div>
    <w:div w:id="623345528">
      <w:marLeft w:val="0"/>
      <w:marRight w:val="180"/>
      <w:marTop w:val="0"/>
      <w:marBottom w:val="0"/>
      <w:divBdr>
        <w:top w:val="none" w:sz="0" w:space="0" w:color="auto"/>
        <w:left w:val="none" w:sz="0" w:space="0" w:color="auto"/>
        <w:bottom w:val="none" w:sz="0" w:space="0" w:color="auto"/>
        <w:right w:val="none" w:sz="0" w:space="0" w:color="auto"/>
      </w:divBdr>
    </w:div>
    <w:div w:id="628902996">
      <w:marLeft w:val="0"/>
      <w:marRight w:val="0"/>
      <w:marTop w:val="0"/>
      <w:marBottom w:val="0"/>
      <w:divBdr>
        <w:top w:val="none" w:sz="0" w:space="0" w:color="auto"/>
        <w:left w:val="none" w:sz="0" w:space="0" w:color="auto"/>
        <w:bottom w:val="none" w:sz="0" w:space="0" w:color="auto"/>
        <w:right w:val="none" w:sz="0" w:space="0" w:color="auto"/>
      </w:divBdr>
    </w:div>
    <w:div w:id="631063234">
      <w:marLeft w:val="0"/>
      <w:marRight w:val="0"/>
      <w:marTop w:val="0"/>
      <w:marBottom w:val="0"/>
      <w:divBdr>
        <w:top w:val="none" w:sz="0" w:space="0" w:color="auto"/>
        <w:left w:val="none" w:sz="0" w:space="0" w:color="auto"/>
        <w:bottom w:val="none" w:sz="0" w:space="0" w:color="auto"/>
        <w:right w:val="none" w:sz="0" w:space="0" w:color="auto"/>
      </w:divBdr>
    </w:div>
    <w:div w:id="642857844">
      <w:marLeft w:val="0"/>
      <w:marRight w:val="0"/>
      <w:marTop w:val="0"/>
      <w:marBottom w:val="0"/>
      <w:divBdr>
        <w:top w:val="none" w:sz="0" w:space="0" w:color="auto"/>
        <w:left w:val="none" w:sz="0" w:space="0" w:color="auto"/>
        <w:bottom w:val="none" w:sz="0" w:space="0" w:color="auto"/>
        <w:right w:val="none" w:sz="0" w:space="0" w:color="auto"/>
      </w:divBdr>
    </w:div>
    <w:div w:id="668754502">
      <w:marLeft w:val="0"/>
      <w:marRight w:val="180"/>
      <w:marTop w:val="0"/>
      <w:marBottom w:val="0"/>
      <w:divBdr>
        <w:top w:val="none" w:sz="0" w:space="0" w:color="auto"/>
        <w:left w:val="none" w:sz="0" w:space="0" w:color="auto"/>
        <w:bottom w:val="none" w:sz="0" w:space="0" w:color="auto"/>
        <w:right w:val="none" w:sz="0" w:space="0" w:color="auto"/>
      </w:divBdr>
    </w:div>
    <w:div w:id="672608333">
      <w:marLeft w:val="0"/>
      <w:marRight w:val="0"/>
      <w:marTop w:val="0"/>
      <w:marBottom w:val="0"/>
      <w:divBdr>
        <w:top w:val="none" w:sz="0" w:space="0" w:color="auto"/>
        <w:left w:val="none" w:sz="0" w:space="0" w:color="auto"/>
        <w:bottom w:val="none" w:sz="0" w:space="0" w:color="auto"/>
        <w:right w:val="none" w:sz="0" w:space="0" w:color="auto"/>
      </w:divBdr>
    </w:div>
    <w:div w:id="675502650">
      <w:marLeft w:val="0"/>
      <w:marRight w:val="0"/>
      <w:marTop w:val="0"/>
      <w:marBottom w:val="0"/>
      <w:divBdr>
        <w:top w:val="none" w:sz="0" w:space="0" w:color="auto"/>
        <w:left w:val="none" w:sz="0" w:space="0" w:color="auto"/>
        <w:bottom w:val="none" w:sz="0" w:space="0" w:color="auto"/>
        <w:right w:val="none" w:sz="0" w:space="0" w:color="auto"/>
      </w:divBdr>
    </w:div>
    <w:div w:id="709770592">
      <w:marLeft w:val="0"/>
      <w:marRight w:val="0"/>
      <w:marTop w:val="0"/>
      <w:marBottom w:val="0"/>
      <w:divBdr>
        <w:top w:val="none" w:sz="0" w:space="0" w:color="auto"/>
        <w:left w:val="none" w:sz="0" w:space="0" w:color="auto"/>
        <w:bottom w:val="none" w:sz="0" w:space="0" w:color="auto"/>
        <w:right w:val="none" w:sz="0" w:space="0" w:color="auto"/>
      </w:divBdr>
    </w:div>
    <w:div w:id="760418047">
      <w:marLeft w:val="0"/>
      <w:marRight w:val="0"/>
      <w:marTop w:val="0"/>
      <w:marBottom w:val="0"/>
      <w:divBdr>
        <w:top w:val="none" w:sz="0" w:space="0" w:color="auto"/>
        <w:left w:val="none" w:sz="0" w:space="0" w:color="auto"/>
        <w:bottom w:val="none" w:sz="0" w:space="0" w:color="auto"/>
        <w:right w:val="none" w:sz="0" w:space="0" w:color="auto"/>
      </w:divBdr>
    </w:div>
    <w:div w:id="769351784">
      <w:marLeft w:val="0"/>
      <w:marRight w:val="0"/>
      <w:marTop w:val="0"/>
      <w:marBottom w:val="0"/>
      <w:divBdr>
        <w:top w:val="none" w:sz="0" w:space="0" w:color="auto"/>
        <w:left w:val="none" w:sz="0" w:space="0" w:color="auto"/>
        <w:bottom w:val="none" w:sz="0" w:space="0" w:color="auto"/>
        <w:right w:val="none" w:sz="0" w:space="0" w:color="auto"/>
      </w:divBdr>
    </w:div>
    <w:div w:id="800533351">
      <w:marLeft w:val="0"/>
      <w:marRight w:val="0"/>
      <w:marTop w:val="0"/>
      <w:marBottom w:val="0"/>
      <w:divBdr>
        <w:top w:val="none" w:sz="0" w:space="0" w:color="auto"/>
        <w:left w:val="none" w:sz="0" w:space="0" w:color="auto"/>
        <w:bottom w:val="none" w:sz="0" w:space="0" w:color="auto"/>
        <w:right w:val="none" w:sz="0" w:space="0" w:color="auto"/>
      </w:divBdr>
    </w:div>
    <w:div w:id="809984847">
      <w:marLeft w:val="0"/>
      <w:marRight w:val="0"/>
      <w:marTop w:val="0"/>
      <w:marBottom w:val="0"/>
      <w:divBdr>
        <w:top w:val="none" w:sz="0" w:space="0" w:color="auto"/>
        <w:left w:val="none" w:sz="0" w:space="0" w:color="auto"/>
        <w:bottom w:val="none" w:sz="0" w:space="0" w:color="auto"/>
        <w:right w:val="none" w:sz="0" w:space="0" w:color="auto"/>
      </w:divBdr>
    </w:div>
    <w:div w:id="837380145">
      <w:marLeft w:val="0"/>
      <w:marRight w:val="0"/>
      <w:marTop w:val="0"/>
      <w:marBottom w:val="0"/>
      <w:divBdr>
        <w:top w:val="none" w:sz="0" w:space="0" w:color="auto"/>
        <w:left w:val="none" w:sz="0" w:space="0" w:color="auto"/>
        <w:bottom w:val="none" w:sz="0" w:space="0" w:color="auto"/>
        <w:right w:val="none" w:sz="0" w:space="0" w:color="auto"/>
      </w:divBdr>
    </w:div>
    <w:div w:id="871651295">
      <w:bodyDiv w:val="1"/>
      <w:marLeft w:val="0"/>
      <w:marRight w:val="0"/>
      <w:marTop w:val="0"/>
      <w:marBottom w:val="0"/>
      <w:divBdr>
        <w:top w:val="none" w:sz="0" w:space="0" w:color="auto"/>
        <w:left w:val="none" w:sz="0" w:space="0" w:color="auto"/>
        <w:bottom w:val="none" w:sz="0" w:space="0" w:color="auto"/>
        <w:right w:val="none" w:sz="0" w:space="0" w:color="auto"/>
      </w:divBdr>
    </w:div>
    <w:div w:id="891115571">
      <w:bodyDiv w:val="1"/>
      <w:marLeft w:val="0"/>
      <w:marRight w:val="0"/>
      <w:marTop w:val="0"/>
      <w:marBottom w:val="0"/>
      <w:divBdr>
        <w:top w:val="none" w:sz="0" w:space="0" w:color="auto"/>
        <w:left w:val="none" w:sz="0" w:space="0" w:color="auto"/>
        <w:bottom w:val="none" w:sz="0" w:space="0" w:color="auto"/>
        <w:right w:val="none" w:sz="0" w:space="0" w:color="auto"/>
      </w:divBdr>
    </w:div>
    <w:div w:id="895505443">
      <w:marLeft w:val="0"/>
      <w:marRight w:val="0"/>
      <w:marTop w:val="0"/>
      <w:marBottom w:val="0"/>
      <w:divBdr>
        <w:top w:val="none" w:sz="0" w:space="0" w:color="auto"/>
        <w:left w:val="none" w:sz="0" w:space="0" w:color="auto"/>
        <w:bottom w:val="none" w:sz="0" w:space="0" w:color="auto"/>
        <w:right w:val="none" w:sz="0" w:space="0" w:color="auto"/>
      </w:divBdr>
      <w:divsChild>
        <w:div w:id="1296061454">
          <w:marLeft w:val="0"/>
          <w:marRight w:val="180"/>
          <w:marTop w:val="0"/>
          <w:marBottom w:val="0"/>
          <w:divBdr>
            <w:top w:val="none" w:sz="0" w:space="0" w:color="auto"/>
            <w:left w:val="none" w:sz="0" w:space="0" w:color="auto"/>
            <w:bottom w:val="none" w:sz="0" w:space="0" w:color="auto"/>
            <w:right w:val="none" w:sz="0" w:space="0" w:color="auto"/>
          </w:divBdr>
        </w:div>
      </w:divsChild>
    </w:div>
    <w:div w:id="946229803">
      <w:marLeft w:val="0"/>
      <w:marRight w:val="0"/>
      <w:marTop w:val="0"/>
      <w:marBottom w:val="0"/>
      <w:divBdr>
        <w:top w:val="none" w:sz="0" w:space="0" w:color="auto"/>
        <w:left w:val="none" w:sz="0" w:space="0" w:color="auto"/>
        <w:bottom w:val="none" w:sz="0" w:space="0" w:color="auto"/>
        <w:right w:val="none" w:sz="0" w:space="0" w:color="auto"/>
      </w:divBdr>
    </w:div>
    <w:div w:id="970746301">
      <w:marLeft w:val="0"/>
      <w:marRight w:val="0"/>
      <w:marTop w:val="0"/>
      <w:marBottom w:val="0"/>
      <w:divBdr>
        <w:top w:val="none" w:sz="0" w:space="0" w:color="auto"/>
        <w:left w:val="none" w:sz="0" w:space="0" w:color="auto"/>
        <w:bottom w:val="none" w:sz="0" w:space="0" w:color="auto"/>
        <w:right w:val="none" w:sz="0" w:space="0" w:color="auto"/>
      </w:divBdr>
    </w:div>
    <w:div w:id="983705338">
      <w:marLeft w:val="0"/>
      <w:marRight w:val="0"/>
      <w:marTop w:val="0"/>
      <w:marBottom w:val="0"/>
      <w:divBdr>
        <w:top w:val="none" w:sz="0" w:space="0" w:color="auto"/>
        <w:left w:val="none" w:sz="0" w:space="0" w:color="auto"/>
        <w:bottom w:val="none" w:sz="0" w:space="0" w:color="auto"/>
        <w:right w:val="none" w:sz="0" w:space="0" w:color="auto"/>
      </w:divBdr>
    </w:div>
    <w:div w:id="999575284">
      <w:marLeft w:val="0"/>
      <w:marRight w:val="0"/>
      <w:marTop w:val="0"/>
      <w:marBottom w:val="0"/>
      <w:divBdr>
        <w:top w:val="none" w:sz="0" w:space="0" w:color="auto"/>
        <w:left w:val="none" w:sz="0" w:space="0" w:color="auto"/>
        <w:bottom w:val="none" w:sz="0" w:space="0" w:color="auto"/>
        <w:right w:val="none" w:sz="0" w:space="0" w:color="auto"/>
      </w:divBdr>
    </w:div>
    <w:div w:id="1030646194">
      <w:marLeft w:val="0"/>
      <w:marRight w:val="180"/>
      <w:marTop w:val="0"/>
      <w:marBottom w:val="0"/>
      <w:divBdr>
        <w:top w:val="none" w:sz="0" w:space="0" w:color="auto"/>
        <w:left w:val="none" w:sz="0" w:space="0" w:color="auto"/>
        <w:bottom w:val="none" w:sz="0" w:space="0" w:color="auto"/>
        <w:right w:val="none" w:sz="0" w:space="0" w:color="auto"/>
      </w:divBdr>
    </w:div>
    <w:div w:id="1059982413">
      <w:marLeft w:val="0"/>
      <w:marRight w:val="0"/>
      <w:marTop w:val="0"/>
      <w:marBottom w:val="0"/>
      <w:divBdr>
        <w:top w:val="none" w:sz="0" w:space="0" w:color="auto"/>
        <w:left w:val="none" w:sz="0" w:space="0" w:color="auto"/>
        <w:bottom w:val="none" w:sz="0" w:space="0" w:color="auto"/>
        <w:right w:val="none" w:sz="0" w:space="0" w:color="auto"/>
      </w:divBdr>
    </w:div>
    <w:div w:id="1083258606">
      <w:marLeft w:val="0"/>
      <w:marRight w:val="0"/>
      <w:marTop w:val="0"/>
      <w:marBottom w:val="0"/>
      <w:divBdr>
        <w:top w:val="none" w:sz="0" w:space="0" w:color="auto"/>
        <w:left w:val="none" w:sz="0" w:space="0" w:color="auto"/>
        <w:bottom w:val="none" w:sz="0" w:space="0" w:color="auto"/>
        <w:right w:val="none" w:sz="0" w:space="0" w:color="auto"/>
      </w:divBdr>
    </w:div>
    <w:div w:id="1092437402">
      <w:marLeft w:val="0"/>
      <w:marRight w:val="0"/>
      <w:marTop w:val="0"/>
      <w:marBottom w:val="0"/>
      <w:divBdr>
        <w:top w:val="none" w:sz="0" w:space="0" w:color="auto"/>
        <w:left w:val="none" w:sz="0" w:space="0" w:color="auto"/>
        <w:bottom w:val="none" w:sz="0" w:space="0" w:color="auto"/>
        <w:right w:val="none" w:sz="0" w:space="0" w:color="auto"/>
      </w:divBdr>
    </w:div>
    <w:div w:id="1094471894">
      <w:marLeft w:val="0"/>
      <w:marRight w:val="0"/>
      <w:marTop w:val="0"/>
      <w:marBottom w:val="0"/>
      <w:divBdr>
        <w:top w:val="none" w:sz="0" w:space="0" w:color="auto"/>
        <w:left w:val="none" w:sz="0" w:space="0" w:color="auto"/>
        <w:bottom w:val="none" w:sz="0" w:space="0" w:color="auto"/>
        <w:right w:val="none" w:sz="0" w:space="0" w:color="auto"/>
      </w:divBdr>
    </w:div>
    <w:div w:id="1119834514">
      <w:marLeft w:val="0"/>
      <w:marRight w:val="0"/>
      <w:marTop w:val="0"/>
      <w:marBottom w:val="0"/>
      <w:divBdr>
        <w:top w:val="none" w:sz="0" w:space="0" w:color="auto"/>
        <w:left w:val="none" w:sz="0" w:space="0" w:color="auto"/>
        <w:bottom w:val="none" w:sz="0" w:space="0" w:color="auto"/>
        <w:right w:val="none" w:sz="0" w:space="0" w:color="auto"/>
      </w:divBdr>
    </w:div>
    <w:div w:id="1133789653">
      <w:marLeft w:val="0"/>
      <w:marRight w:val="180"/>
      <w:marTop w:val="0"/>
      <w:marBottom w:val="0"/>
      <w:divBdr>
        <w:top w:val="none" w:sz="0" w:space="0" w:color="auto"/>
        <w:left w:val="none" w:sz="0" w:space="0" w:color="auto"/>
        <w:bottom w:val="none" w:sz="0" w:space="0" w:color="auto"/>
        <w:right w:val="none" w:sz="0" w:space="0" w:color="auto"/>
      </w:divBdr>
    </w:div>
    <w:div w:id="1143158779">
      <w:marLeft w:val="0"/>
      <w:marRight w:val="0"/>
      <w:marTop w:val="0"/>
      <w:marBottom w:val="0"/>
      <w:divBdr>
        <w:top w:val="none" w:sz="0" w:space="0" w:color="auto"/>
        <w:left w:val="none" w:sz="0" w:space="0" w:color="auto"/>
        <w:bottom w:val="none" w:sz="0" w:space="0" w:color="auto"/>
        <w:right w:val="none" w:sz="0" w:space="0" w:color="auto"/>
      </w:divBdr>
    </w:div>
    <w:div w:id="1147626670">
      <w:bodyDiv w:val="1"/>
      <w:marLeft w:val="0"/>
      <w:marRight w:val="0"/>
      <w:marTop w:val="0"/>
      <w:marBottom w:val="0"/>
      <w:divBdr>
        <w:top w:val="none" w:sz="0" w:space="0" w:color="auto"/>
        <w:left w:val="none" w:sz="0" w:space="0" w:color="auto"/>
        <w:bottom w:val="none" w:sz="0" w:space="0" w:color="auto"/>
        <w:right w:val="none" w:sz="0" w:space="0" w:color="auto"/>
      </w:divBdr>
    </w:div>
    <w:div w:id="1157956898">
      <w:marLeft w:val="0"/>
      <w:marRight w:val="0"/>
      <w:marTop w:val="0"/>
      <w:marBottom w:val="0"/>
      <w:divBdr>
        <w:top w:val="none" w:sz="0" w:space="0" w:color="auto"/>
        <w:left w:val="none" w:sz="0" w:space="0" w:color="auto"/>
        <w:bottom w:val="none" w:sz="0" w:space="0" w:color="auto"/>
        <w:right w:val="none" w:sz="0" w:space="0" w:color="auto"/>
      </w:divBdr>
    </w:div>
    <w:div w:id="1161123509">
      <w:bodyDiv w:val="1"/>
      <w:marLeft w:val="0"/>
      <w:marRight w:val="0"/>
      <w:marTop w:val="0"/>
      <w:marBottom w:val="0"/>
      <w:divBdr>
        <w:top w:val="none" w:sz="0" w:space="0" w:color="auto"/>
        <w:left w:val="none" w:sz="0" w:space="0" w:color="auto"/>
        <w:bottom w:val="none" w:sz="0" w:space="0" w:color="auto"/>
        <w:right w:val="none" w:sz="0" w:space="0" w:color="auto"/>
      </w:divBdr>
    </w:div>
    <w:div w:id="1186361601">
      <w:marLeft w:val="0"/>
      <w:marRight w:val="0"/>
      <w:marTop w:val="0"/>
      <w:marBottom w:val="0"/>
      <w:divBdr>
        <w:top w:val="none" w:sz="0" w:space="0" w:color="auto"/>
        <w:left w:val="none" w:sz="0" w:space="0" w:color="auto"/>
        <w:bottom w:val="none" w:sz="0" w:space="0" w:color="auto"/>
        <w:right w:val="none" w:sz="0" w:space="0" w:color="auto"/>
      </w:divBdr>
    </w:div>
    <w:div w:id="1208686038">
      <w:marLeft w:val="0"/>
      <w:marRight w:val="180"/>
      <w:marTop w:val="0"/>
      <w:marBottom w:val="0"/>
      <w:divBdr>
        <w:top w:val="none" w:sz="0" w:space="0" w:color="auto"/>
        <w:left w:val="none" w:sz="0" w:space="0" w:color="auto"/>
        <w:bottom w:val="none" w:sz="0" w:space="0" w:color="auto"/>
        <w:right w:val="none" w:sz="0" w:space="0" w:color="auto"/>
      </w:divBdr>
    </w:div>
    <w:div w:id="1229800691">
      <w:bodyDiv w:val="1"/>
      <w:marLeft w:val="0"/>
      <w:marRight w:val="0"/>
      <w:marTop w:val="0"/>
      <w:marBottom w:val="0"/>
      <w:divBdr>
        <w:top w:val="none" w:sz="0" w:space="0" w:color="auto"/>
        <w:left w:val="none" w:sz="0" w:space="0" w:color="auto"/>
        <w:bottom w:val="none" w:sz="0" w:space="0" w:color="auto"/>
        <w:right w:val="none" w:sz="0" w:space="0" w:color="auto"/>
      </w:divBdr>
    </w:div>
    <w:div w:id="1259484837">
      <w:marLeft w:val="0"/>
      <w:marRight w:val="0"/>
      <w:marTop w:val="0"/>
      <w:marBottom w:val="0"/>
      <w:divBdr>
        <w:top w:val="none" w:sz="0" w:space="0" w:color="auto"/>
        <w:left w:val="none" w:sz="0" w:space="0" w:color="auto"/>
        <w:bottom w:val="none" w:sz="0" w:space="0" w:color="auto"/>
        <w:right w:val="none" w:sz="0" w:space="0" w:color="auto"/>
      </w:divBdr>
    </w:div>
    <w:div w:id="1265453039">
      <w:bodyDiv w:val="1"/>
      <w:marLeft w:val="0"/>
      <w:marRight w:val="0"/>
      <w:marTop w:val="0"/>
      <w:marBottom w:val="0"/>
      <w:divBdr>
        <w:top w:val="none" w:sz="0" w:space="0" w:color="auto"/>
        <w:left w:val="none" w:sz="0" w:space="0" w:color="auto"/>
        <w:bottom w:val="none" w:sz="0" w:space="0" w:color="auto"/>
        <w:right w:val="none" w:sz="0" w:space="0" w:color="auto"/>
      </w:divBdr>
    </w:div>
    <w:div w:id="1282804732">
      <w:marLeft w:val="0"/>
      <w:marRight w:val="0"/>
      <w:marTop w:val="0"/>
      <w:marBottom w:val="0"/>
      <w:divBdr>
        <w:top w:val="none" w:sz="0" w:space="0" w:color="auto"/>
        <w:left w:val="none" w:sz="0" w:space="0" w:color="auto"/>
        <w:bottom w:val="none" w:sz="0" w:space="0" w:color="auto"/>
        <w:right w:val="none" w:sz="0" w:space="0" w:color="auto"/>
      </w:divBdr>
    </w:div>
    <w:div w:id="1290278169">
      <w:marLeft w:val="0"/>
      <w:marRight w:val="0"/>
      <w:marTop w:val="0"/>
      <w:marBottom w:val="0"/>
      <w:divBdr>
        <w:top w:val="none" w:sz="0" w:space="0" w:color="auto"/>
        <w:left w:val="none" w:sz="0" w:space="0" w:color="auto"/>
        <w:bottom w:val="none" w:sz="0" w:space="0" w:color="auto"/>
        <w:right w:val="none" w:sz="0" w:space="0" w:color="auto"/>
      </w:divBdr>
    </w:div>
    <w:div w:id="1295066564">
      <w:marLeft w:val="0"/>
      <w:marRight w:val="0"/>
      <w:marTop w:val="0"/>
      <w:marBottom w:val="0"/>
      <w:divBdr>
        <w:top w:val="none" w:sz="0" w:space="0" w:color="auto"/>
        <w:left w:val="none" w:sz="0" w:space="0" w:color="auto"/>
        <w:bottom w:val="none" w:sz="0" w:space="0" w:color="auto"/>
        <w:right w:val="none" w:sz="0" w:space="0" w:color="auto"/>
      </w:divBdr>
      <w:divsChild>
        <w:div w:id="1596667433">
          <w:marLeft w:val="0"/>
          <w:marRight w:val="180"/>
          <w:marTop w:val="0"/>
          <w:marBottom w:val="0"/>
          <w:divBdr>
            <w:top w:val="none" w:sz="0" w:space="0" w:color="auto"/>
            <w:left w:val="none" w:sz="0" w:space="0" w:color="auto"/>
            <w:bottom w:val="none" w:sz="0" w:space="0" w:color="auto"/>
            <w:right w:val="none" w:sz="0" w:space="0" w:color="auto"/>
          </w:divBdr>
        </w:div>
      </w:divsChild>
    </w:div>
    <w:div w:id="1297027943">
      <w:marLeft w:val="0"/>
      <w:marRight w:val="180"/>
      <w:marTop w:val="0"/>
      <w:marBottom w:val="0"/>
      <w:divBdr>
        <w:top w:val="none" w:sz="0" w:space="0" w:color="auto"/>
        <w:left w:val="none" w:sz="0" w:space="0" w:color="auto"/>
        <w:bottom w:val="none" w:sz="0" w:space="0" w:color="auto"/>
        <w:right w:val="none" w:sz="0" w:space="0" w:color="auto"/>
      </w:divBdr>
    </w:div>
    <w:div w:id="1301377886">
      <w:marLeft w:val="0"/>
      <w:marRight w:val="0"/>
      <w:marTop w:val="0"/>
      <w:marBottom w:val="0"/>
      <w:divBdr>
        <w:top w:val="none" w:sz="0" w:space="0" w:color="auto"/>
        <w:left w:val="none" w:sz="0" w:space="0" w:color="auto"/>
        <w:bottom w:val="none" w:sz="0" w:space="0" w:color="auto"/>
        <w:right w:val="none" w:sz="0" w:space="0" w:color="auto"/>
      </w:divBdr>
    </w:div>
    <w:div w:id="1314093282">
      <w:marLeft w:val="0"/>
      <w:marRight w:val="0"/>
      <w:marTop w:val="0"/>
      <w:marBottom w:val="0"/>
      <w:divBdr>
        <w:top w:val="none" w:sz="0" w:space="0" w:color="auto"/>
        <w:left w:val="none" w:sz="0" w:space="0" w:color="auto"/>
        <w:bottom w:val="none" w:sz="0" w:space="0" w:color="auto"/>
        <w:right w:val="none" w:sz="0" w:space="0" w:color="auto"/>
      </w:divBdr>
    </w:div>
    <w:div w:id="1328053225">
      <w:marLeft w:val="0"/>
      <w:marRight w:val="0"/>
      <w:marTop w:val="0"/>
      <w:marBottom w:val="0"/>
      <w:divBdr>
        <w:top w:val="none" w:sz="0" w:space="0" w:color="auto"/>
        <w:left w:val="none" w:sz="0" w:space="0" w:color="auto"/>
        <w:bottom w:val="none" w:sz="0" w:space="0" w:color="auto"/>
        <w:right w:val="none" w:sz="0" w:space="0" w:color="auto"/>
      </w:divBdr>
      <w:divsChild>
        <w:div w:id="1233080051">
          <w:marLeft w:val="0"/>
          <w:marRight w:val="180"/>
          <w:marTop w:val="0"/>
          <w:marBottom w:val="0"/>
          <w:divBdr>
            <w:top w:val="none" w:sz="0" w:space="0" w:color="auto"/>
            <w:left w:val="none" w:sz="0" w:space="0" w:color="auto"/>
            <w:bottom w:val="none" w:sz="0" w:space="0" w:color="auto"/>
            <w:right w:val="none" w:sz="0" w:space="0" w:color="auto"/>
          </w:divBdr>
        </w:div>
      </w:divsChild>
    </w:div>
    <w:div w:id="1336692113">
      <w:marLeft w:val="0"/>
      <w:marRight w:val="0"/>
      <w:marTop w:val="0"/>
      <w:marBottom w:val="0"/>
      <w:divBdr>
        <w:top w:val="none" w:sz="0" w:space="0" w:color="auto"/>
        <w:left w:val="none" w:sz="0" w:space="0" w:color="auto"/>
        <w:bottom w:val="none" w:sz="0" w:space="0" w:color="auto"/>
        <w:right w:val="none" w:sz="0" w:space="0" w:color="auto"/>
      </w:divBdr>
    </w:div>
    <w:div w:id="1349678020">
      <w:marLeft w:val="0"/>
      <w:marRight w:val="180"/>
      <w:marTop w:val="0"/>
      <w:marBottom w:val="0"/>
      <w:divBdr>
        <w:top w:val="none" w:sz="0" w:space="0" w:color="auto"/>
        <w:left w:val="none" w:sz="0" w:space="0" w:color="auto"/>
        <w:bottom w:val="none" w:sz="0" w:space="0" w:color="auto"/>
        <w:right w:val="none" w:sz="0" w:space="0" w:color="auto"/>
      </w:divBdr>
    </w:div>
    <w:div w:id="1355157204">
      <w:bodyDiv w:val="1"/>
      <w:marLeft w:val="0"/>
      <w:marRight w:val="0"/>
      <w:marTop w:val="0"/>
      <w:marBottom w:val="0"/>
      <w:divBdr>
        <w:top w:val="none" w:sz="0" w:space="0" w:color="auto"/>
        <w:left w:val="none" w:sz="0" w:space="0" w:color="auto"/>
        <w:bottom w:val="none" w:sz="0" w:space="0" w:color="auto"/>
        <w:right w:val="none" w:sz="0" w:space="0" w:color="auto"/>
      </w:divBdr>
    </w:div>
    <w:div w:id="1360398293">
      <w:marLeft w:val="0"/>
      <w:marRight w:val="0"/>
      <w:marTop w:val="0"/>
      <w:marBottom w:val="0"/>
      <w:divBdr>
        <w:top w:val="none" w:sz="0" w:space="0" w:color="auto"/>
        <w:left w:val="none" w:sz="0" w:space="0" w:color="auto"/>
        <w:bottom w:val="none" w:sz="0" w:space="0" w:color="auto"/>
        <w:right w:val="none" w:sz="0" w:space="0" w:color="auto"/>
      </w:divBdr>
    </w:div>
    <w:div w:id="1406534973">
      <w:marLeft w:val="0"/>
      <w:marRight w:val="0"/>
      <w:marTop w:val="0"/>
      <w:marBottom w:val="0"/>
      <w:divBdr>
        <w:top w:val="none" w:sz="0" w:space="0" w:color="auto"/>
        <w:left w:val="none" w:sz="0" w:space="0" w:color="auto"/>
        <w:bottom w:val="none" w:sz="0" w:space="0" w:color="auto"/>
        <w:right w:val="none" w:sz="0" w:space="0" w:color="auto"/>
      </w:divBdr>
    </w:div>
    <w:div w:id="1455172050">
      <w:marLeft w:val="0"/>
      <w:marRight w:val="0"/>
      <w:marTop w:val="0"/>
      <w:marBottom w:val="0"/>
      <w:divBdr>
        <w:top w:val="none" w:sz="0" w:space="0" w:color="auto"/>
        <w:left w:val="none" w:sz="0" w:space="0" w:color="auto"/>
        <w:bottom w:val="none" w:sz="0" w:space="0" w:color="auto"/>
        <w:right w:val="none" w:sz="0" w:space="0" w:color="auto"/>
      </w:divBdr>
    </w:div>
    <w:div w:id="1485731346">
      <w:marLeft w:val="0"/>
      <w:marRight w:val="180"/>
      <w:marTop w:val="0"/>
      <w:marBottom w:val="0"/>
      <w:divBdr>
        <w:top w:val="none" w:sz="0" w:space="0" w:color="auto"/>
        <w:left w:val="none" w:sz="0" w:space="0" w:color="auto"/>
        <w:bottom w:val="none" w:sz="0" w:space="0" w:color="auto"/>
        <w:right w:val="none" w:sz="0" w:space="0" w:color="auto"/>
      </w:divBdr>
    </w:div>
    <w:div w:id="1487748482">
      <w:marLeft w:val="0"/>
      <w:marRight w:val="0"/>
      <w:marTop w:val="0"/>
      <w:marBottom w:val="0"/>
      <w:divBdr>
        <w:top w:val="none" w:sz="0" w:space="0" w:color="auto"/>
        <w:left w:val="none" w:sz="0" w:space="0" w:color="auto"/>
        <w:bottom w:val="none" w:sz="0" w:space="0" w:color="auto"/>
        <w:right w:val="none" w:sz="0" w:space="0" w:color="auto"/>
      </w:divBdr>
    </w:div>
    <w:div w:id="1491212506">
      <w:bodyDiv w:val="1"/>
      <w:marLeft w:val="0"/>
      <w:marRight w:val="0"/>
      <w:marTop w:val="0"/>
      <w:marBottom w:val="0"/>
      <w:divBdr>
        <w:top w:val="none" w:sz="0" w:space="0" w:color="auto"/>
        <w:left w:val="none" w:sz="0" w:space="0" w:color="auto"/>
        <w:bottom w:val="none" w:sz="0" w:space="0" w:color="auto"/>
        <w:right w:val="none" w:sz="0" w:space="0" w:color="auto"/>
      </w:divBdr>
      <w:divsChild>
        <w:div w:id="1532037209">
          <w:marLeft w:val="0"/>
          <w:marRight w:val="0"/>
          <w:marTop w:val="0"/>
          <w:marBottom w:val="0"/>
          <w:divBdr>
            <w:top w:val="none" w:sz="0" w:space="0" w:color="auto"/>
            <w:left w:val="none" w:sz="0" w:space="0" w:color="auto"/>
            <w:bottom w:val="none" w:sz="0" w:space="0" w:color="auto"/>
            <w:right w:val="none" w:sz="0" w:space="0" w:color="auto"/>
          </w:divBdr>
          <w:divsChild>
            <w:div w:id="1878395316">
              <w:marLeft w:val="0"/>
              <w:marRight w:val="0"/>
              <w:marTop w:val="0"/>
              <w:marBottom w:val="0"/>
              <w:divBdr>
                <w:top w:val="none" w:sz="0" w:space="0" w:color="auto"/>
                <w:left w:val="none" w:sz="0" w:space="0" w:color="auto"/>
                <w:bottom w:val="none" w:sz="0" w:space="0" w:color="auto"/>
                <w:right w:val="none" w:sz="0" w:space="0" w:color="auto"/>
              </w:divBdr>
              <w:divsChild>
                <w:div w:id="553007371">
                  <w:marLeft w:val="0"/>
                  <w:marRight w:val="180"/>
                  <w:marTop w:val="0"/>
                  <w:marBottom w:val="0"/>
                  <w:divBdr>
                    <w:top w:val="none" w:sz="0" w:space="0" w:color="auto"/>
                    <w:left w:val="none" w:sz="0" w:space="0" w:color="auto"/>
                    <w:bottom w:val="none" w:sz="0" w:space="0" w:color="auto"/>
                    <w:right w:val="none" w:sz="0" w:space="0" w:color="auto"/>
                  </w:divBdr>
                </w:div>
              </w:divsChild>
            </w:div>
            <w:div w:id="1363048556">
              <w:marLeft w:val="0"/>
              <w:marRight w:val="180"/>
              <w:marTop w:val="0"/>
              <w:marBottom w:val="0"/>
              <w:divBdr>
                <w:top w:val="none" w:sz="0" w:space="0" w:color="auto"/>
                <w:left w:val="none" w:sz="0" w:space="0" w:color="auto"/>
                <w:bottom w:val="none" w:sz="0" w:space="0" w:color="auto"/>
                <w:right w:val="none" w:sz="0" w:space="0" w:color="auto"/>
              </w:divBdr>
            </w:div>
            <w:div w:id="1825388946">
              <w:marLeft w:val="0"/>
              <w:marRight w:val="180"/>
              <w:marTop w:val="0"/>
              <w:marBottom w:val="0"/>
              <w:divBdr>
                <w:top w:val="none" w:sz="0" w:space="0" w:color="auto"/>
                <w:left w:val="none" w:sz="0" w:space="0" w:color="auto"/>
                <w:bottom w:val="none" w:sz="0" w:space="0" w:color="auto"/>
                <w:right w:val="none" w:sz="0" w:space="0" w:color="auto"/>
              </w:divBdr>
            </w:div>
            <w:div w:id="561059969">
              <w:marLeft w:val="0"/>
              <w:marRight w:val="0"/>
              <w:marTop w:val="0"/>
              <w:marBottom w:val="0"/>
              <w:divBdr>
                <w:top w:val="none" w:sz="0" w:space="0" w:color="auto"/>
                <w:left w:val="none" w:sz="0" w:space="0" w:color="auto"/>
                <w:bottom w:val="none" w:sz="0" w:space="0" w:color="auto"/>
                <w:right w:val="none" w:sz="0" w:space="0" w:color="auto"/>
              </w:divBdr>
            </w:div>
            <w:div w:id="294599956">
              <w:marLeft w:val="0"/>
              <w:marRight w:val="0"/>
              <w:marTop w:val="0"/>
              <w:marBottom w:val="0"/>
              <w:divBdr>
                <w:top w:val="none" w:sz="0" w:space="0" w:color="auto"/>
                <w:left w:val="none" w:sz="0" w:space="0" w:color="auto"/>
                <w:bottom w:val="none" w:sz="0" w:space="0" w:color="auto"/>
                <w:right w:val="none" w:sz="0" w:space="0" w:color="auto"/>
              </w:divBdr>
            </w:div>
            <w:div w:id="1235898721">
              <w:marLeft w:val="0"/>
              <w:marRight w:val="0"/>
              <w:marTop w:val="0"/>
              <w:marBottom w:val="0"/>
              <w:divBdr>
                <w:top w:val="none" w:sz="0" w:space="0" w:color="auto"/>
                <w:left w:val="none" w:sz="0" w:space="0" w:color="auto"/>
                <w:bottom w:val="none" w:sz="0" w:space="0" w:color="auto"/>
                <w:right w:val="none" w:sz="0" w:space="0" w:color="auto"/>
              </w:divBdr>
            </w:div>
            <w:div w:id="367490954">
              <w:marLeft w:val="0"/>
              <w:marRight w:val="0"/>
              <w:marTop w:val="0"/>
              <w:marBottom w:val="0"/>
              <w:divBdr>
                <w:top w:val="none" w:sz="0" w:space="0" w:color="auto"/>
                <w:left w:val="none" w:sz="0" w:space="0" w:color="auto"/>
                <w:bottom w:val="none" w:sz="0" w:space="0" w:color="auto"/>
                <w:right w:val="none" w:sz="0" w:space="0" w:color="auto"/>
              </w:divBdr>
            </w:div>
            <w:div w:id="316031507">
              <w:marLeft w:val="0"/>
              <w:marRight w:val="0"/>
              <w:marTop w:val="0"/>
              <w:marBottom w:val="0"/>
              <w:divBdr>
                <w:top w:val="none" w:sz="0" w:space="0" w:color="auto"/>
                <w:left w:val="none" w:sz="0" w:space="0" w:color="auto"/>
                <w:bottom w:val="none" w:sz="0" w:space="0" w:color="auto"/>
                <w:right w:val="none" w:sz="0" w:space="0" w:color="auto"/>
              </w:divBdr>
            </w:div>
            <w:div w:id="1939365964">
              <w:marLeft w:val="0"/>
              <w:marRight w:val="0"/>
              <w:marTop w:val="0"/>
              <w:marBottom w:val="0"/>
              <w:divBdr>
                <w:top w:val="none" w:sz="0" w:space="0" w:color="auto"/>
                <w:left w:val="none" w:sz="0" w:space="0" w:color="auto"/>
                <w:bottom w:val="none" w:sz="0" w:space="0" w:color="auto"/>
                <w:right w:val="none" w:sz="0" w:space="0" w:color="auto"/>
              </w:divBdr>
            </w:div>
            <w:div w:id="1700625827">
              <w:marLeft w:val="0"/>
              <w:marRight w:val="0"/>
              <w:marTop w:val="0"/>
              <w:marBottom w:val="0"/>
              <w:divBdr>
                <w:top w:val="none" w:sz="0" w:space="0" w:color="auto"/>
                <w:left w:val="none" w:sz="0" w:space="0" w:color="auto"/>
                <w:bottom w:val="none" w:sz="0" w:space="0" w:color="auto"/>
                <w:right w:val="none" w:sz="0" w:space="0" w:color="auto"/>
              </w:divBdr>
            </w:div>
            <w:div w:id="296223750">
              <w:marLeft w:val="0"/>
              <w:marRight w:val="0"/>
              <w:marTop w:val="0"/>
              <w:marBottom w:val="0"/>
              <w:divBdr>
                <w:top w:val="none" w:sz="0" w:space="0" w:color="auto"/>
                <w:left w:val="none" w:sz="0" w:space="0" w:color="auto"/>
                <w:bottom w:val="none" w:sz="0" w:space="0" w:color="auto"/>
                <w:right w:val="none" w:sz="0" w:space="0" w:color="auto"/>
              </w:divBdr>
            </w:div>
            <w:div w:id="1797988542">
              <w:marLeft w:val="0"/>
              <w:marRight w:val="0"/>
              <w:marTop w:val="0"/>
              <w:marBottom w:val="0"/>
              <w:divBdr>
                <w:top w:val="none" w:sz="0" w:space="0" w:color="auto"/>
                <w:left w:val="none" w:sz="0" w:space="0" w:color="auto"/>
                <w:bottom w:val="none" w:sz="0" w:space="0" w:color="auto"/>
                <w:right w:val="none" w:sz="0" w:space="0" w:color="auto"/>
              </w:divBdr>
            </w:div>
            <w:div w:id="400100986">
              <w:marLeft w:val="0"/>
              <w:marRight w:val="0"/>
              <w:marTop w:val="0"/>
              <w:marBottom w:val="0"/>
              <w:divBdr>
                <w:top w:val="none" w:sz="0" w:space="0" w:color="auto"/>
                <w:left w:val="none" w:sz="0" w:space="0" w:color="auto"/>
                <w:bottom w:val="none" w:sz="0" w:space="0" w:color="auto"/>
                <w:right w:val="none" w:sz="0" w:space="0" w:color="auto"/>
              </w:divBdr>
            </w:div>
            <w:div w:id="1568688185">
              <w:marLeft w:val="0"/>
              <w:marRight w:val="0"/>
              <w:marTop w:val="0"/>
              <w:marBottom w:val="0"/>
              <w:divBdr>
                <w:top w:val="none" w:sz="0" w:space="0" w:color="auto"/>
                <w:left w:val="none" w:sz="0" w:space="0" w:color="auto"/>
                <w:bottom w:val="none" w:sz="0" w:space="0" w:color="auto"/>
                <w:right w:val="none" w:sz="0" w:space="0" w:color="auto"/>
              </w:divBdr>
            </w:div>
            <w:div w:id="1577788322">
              <w:marLeft w:val="0"/>
              <w:marRight w:val="0"/>
              <w:marTop w:val="0"/>
              <w:marBottom w:val="0"/>
              <w:divBdr>
                <w:top w:val="none" w:sz="0" w:space="0" w:color="auto"/>
                <w:left w:val="none" w:sz="0" w:space="0" w:color="auto"/>
                <w:bottom w:val="none" w:sz="0" w:space="0" w:color="auto"/>
                <w:right w:val="none" w:sz="0" w:space="0" w:color="auto"/>
              </w:divBdr>
            </w:div>
            <w:div w:id="554584925">
              <w:marLeft w:val="0"/>
              <w:marRight w:val="0"/>
              <w:marTop w:val="0"/>
              <w:marBottom w:val="0"/>
              <w:divBdr>
                <w:top w:val="none" w:sz="0" w:space="0" w:color="auto"/>
                <w:left w:val="none" w:sz="0" w:space="0" w:color="auto"/>
                <w:bottom w:val="none" w:sz="0" w:space="0" w:color="auto"/>
                <w:right w:val="none" w:sz="0" w:space="0" w:color="auto"/>
              </w:divBdr>
            </w:div>
            <w:div w:id="1258513471">
              <w:marLeft w:val="0"/>
              <w:marRight w:val="0"/>
              <w:marTop w:val="0"/>
              <w:marBottom w:val="0"/>
              <w:divBdr>
                <w:top w:val="none" w:sz="0" w:space="0" w:color="auto"/>
                <w:left w:val="none" w:sz="0" w:space="0" w:color="auto"/>
                <w:bottom w:val="none" w:sz="0" w:space="0" w:color="auto"/>
                <w:right w:val="none" w:sz="0" w:space="0" w:color="auto"/>
              </w:divBdr>
            </w:div>
            <w:div w:id="1962612449">
              <w:marLeft w:val="0"/>
              <w:marRight w:val="0"/>
              <w:marTop w:val="0"/>
              <w:marBottom w:val="0"/>
              <w:divBdr>
                <w:top w:val="none" w:sz="0" w:space="0" w:color="auto"/>
                <w:left w:val="none" w:sz="0" w:space="0" w:color="auto"/>
                <w:bottom w:val="none" w:sz="0" w:space="0" w:color="auto"/>
                <w:right w:val="none" w:sz="0" w:space="0" w:color="auto"/>
              </w:divBdr>
            </w:div>
            <w:div w:id="896941744">
              <w:marLeft w:val="0"/>
              <w:marRight w:val="0"/>
              <w:marTop w:val="0"/>
              <w:marBottom w:val="0"/>
              <w:divBdr>
                <w:top w:val="none" w:sz="0" w:space="0" w:color="auto"/>
                <w:left w:val="none" w:sz="0" w:space="0" w:color="auto"/>
                <w:bottom w:val="none" w:sz="0" w:space="0" w:color="auto"/>
                <w:right w:val="none" w:sz="0" w:space="0" w:color="auto"/>
              </w:divBdr>
            </w:div>
            <w:div w:id="239801741">
              <w:marLeft w:val="0"/>
              <w:marRight w:val="0"/>
              <w:marTop w:val="0"/>
              <w:marBottom w:val="0"/>
              <w:divBdr>
                <w:top w:val="none" w:sz="0" w:space="0" w:color="auto"/>
                <w:left w:val="none" w:sz="0" w:space="0" w:color="auto"/>
                <w:bottom w:val="none" w:sz="0" w:space="0" w:color="auto"/>
                <w:right w:val="none" w:sz="0" w:space="0" w:color="auto"/>
              </w:divBdr>
            </w:div>
            <w:div w:id="1472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391">
      <w:marLeft w:val="0"/>
      <w:marRight w:val="0"/>
      <w:marTop w:val="0"/>
      <w:marBottom w:val="0"/>
      <w:divBdr>
        <w:top w:val="none" w:sz="0" w:space="0" w:color="auto"/>
        <w:left w:val="none" w:sz="0" w:space="0" w:color="auto"/>
        <w:bottom w:val="none" w:sz="0" w:space="0" w:color="auto"/>
        <w:right w:val="none" w:sz="0" w:space="0" w:color="auto"/>
      </w:divBdr>
    </w:div>
    <w:div w:id="1524828979">
      <w:bodyDiv w:val="1"/>
      <w:marLeft w:val="0"/>
      <w:marRight w:val="0"/>
      <w:marTop w:val="0"/>
      <w:marBottom w:val="0"/>
      <w:divBdr>
        <w:top w:val="none" w:sz="0" w:space="0" w:color="auto"/>
        <w:left w:val="none" w:sz="0" w:space="0" w:color="auto"/>
        <w:bottom w:val="none" w:sz="0" w:space="0" w:color="auto"/>
        <w:right w:val="none" w:sz="0" w:space="0" w:color="auto"/>
      </w:divBdr>
    </w:div>
    <w:div w:id="1540165129">
      <w:bodyDiv w:val="1"/>
      <w:marLeft w:val="0"/>
      <w:marRight w:val="0"/>
      <w:marTop w:val="0"/>
      <w:marBottom w:val="0"/>
      <w:divBdr>
        <w:top w:val="none" w:sz="0" w:space="0" w:color="auto"/>
        <w:left w:val="none" w:sz="0" w:space="0" w:color="auto"/>
        <w:bottom w:val="none" w:sz="0" w:space="0" w:color="auto"/>
        <w:right w:val="none" w:sz="0" w:space="0" w:color="auto"/>
      </w:divBdr>
      <w:divsChild>
        <w:div w:id="1422722511">
          <w:marLeft w:val="0"/>
          <w:marRight w:val="0"/>
          <w:marTop w:val="0"/>
          <w:marBottom w:val="0"/>
          <w:divBdr>
            <w:top w:val="none" w:sz="0" w:space="0" w:color="auto"/>
            <w:left w:val="none" w:sz="0" w:space="0" w:color="auto"/>
            <w:bottom w:val="none" w:sz="0" w:space="0" w:color="auto"/>
            <w:right w:val="none" w:sz="0" w:space="0" w:color="auto"/>
          </w:divBdr>
        </w:div>
      </w:divsChild>
    </w:div>
    <w:div w:id="1579747384">
      <w:marLeft w:val="0"/>
      <w:marRight w:val="0"/>
      <w:marTop w:val="0"/>
      <w:marBottom w:val="0"/>
      <w:divBdr>
        <w:top w:val="none" w:sz="0" w:space="0" w:color="auto"/>
        <w:left w:val="none" w:sz="0" w:space="0" w:color="auto"/>
        <w:bottom w:val="none" w:sz="0" w:space="0" w:color="auto"/>
        <w:right w:val="none" w:sz="0" w:space="0" w:color="auto"/>
      </w:divBdr>
    </w:div>
    <w:div w:id="1581015151">
      <w:marLeft w:val="0"/>
      <w:marRight w:val="0"/>
      <w:marTop w:val="0"/>
      <w:marBottom w:val="0"/>
      <w:divBdr>
        <w:top w:val="none" w:sz="0" w:space="0" w:color="auto"/>
        <w:left w:val="none" w:sz="0" w:space="0" w:color="auto"/>
        <w:bottom w:val="none" w:sz="0" w:space="0" w:color="auto"/>
        <w:right w:val="none" w:sz="0" w:space="0" w:color="auto"/>
      </w:divBdr>
    </w:div>
    <w:div w:id="1594630011">
      <w:bodyDiv w:val="1"/>
      <w:marLeft w:val="0"/>
      <w:marRight w:val="0"/>
      <w:marTop w:val="0"/>
      <w:marBottom w:val="0"/>
      <w:divBdr>
        <w:top w:val="none" w:sz="0" w:space="0" w:color="auto"/>
        <w:left w:val="none" w:sz="0" w:space="0" w:color="auto"/>
        <w:bottom w:val="none" w:sz="0" w:space="0" w:color="auto"/>
        <w:right w:val="none" w:sz="0" w:space="0" w:color="auto"/>
      </w:divBdr>
      <w:divsChild>
        <w:div w:id="128981560">
          <w:marLeft w:val="0"/>
          <w:marRight w:val="0"/>
          <w:marTop w:val="0"/>
          <w:marBottom w:val="0"/>
          <w:divBdr>
            <w:top w:val="none" w:sz="0" w:space="0" w:color="auto"/>
            <w:left w:val="none" w:sz="0" w:space="0" w:color="auto"/>
            <w:bottom w:val="none" w:sz="0" w:space="0" w:color="auto"/>
            <w:right w:val="none" w:sz="0" w:space="0" w:color="auto"/>
          </w:divBdr>
        </w:div>
      </w:divsChild>
    </w:div>
    <w:div w:id="1627348209">
      <w:marLeft w:val="0"/>
      <w:marRight w:val="0"/>
      <w:marTop w:val="0"/>
      <w:marBottom w:val="0"/>
      <w:divBdr>
        <w:top w:val="none" w:sz="0" w:space="0" w:color="auto"/>
        <w:left w:val="none" w:sz="0" w:space="0" w:color="auto"/>
        <w:bottom w:val="none" w:sz="0" w:space="0" w:color="auto"/>
        <w:right w:val="none" w:sz="0" w:space="0" w:color="auto"/>
      </w:divBdr>
    </w:div>
    <w:div w:id="1630471949">
      <w:bodyDiv w:val="1"/>
      <w:marLeft w:val="0"/>
      <w:marRight w:val="0"/>
      <w:marTop w:val="0"/>
      <w:marBottom w:val="0"/>
      <w:divBdr>
        <w:top w:val="none" w:sz="0" w:space="0" w:color="auto"/>
        <w:left w:val="none" w:sz="0" w:space="0" w:color="auto"/>
        <w:bottom w:val="none" w:sz="0" w:space="0" w:color="auto"/>
        <w:right w:val="none" w:sz="0" w:space="0" w:color="auto"/>
      </w:divBdr>
    </w:div>
    <w:div w:id="1635410475">
      <w:marLeft w:val="0"/>
      <w:marRight w:val="0"/>
      <w:marTop w:val="0"/>
      <w:marBottom w:val="0"/>
      <w:divBdr>
        <w:top w:val="none" w:sz="0" w:space="0" w:color="auto"/>
        <w:left w:val="none" w:sz="0" w:space="0" w:color="auto"/>
        <w:bottom w:val="none" w:sz="0" w:space="0" w:color="auto"/>
        <w:right w:val="none" w:sz="0" w:space="0" w:color="auto"/>
      </w:divBdr>
    </w:div>
    <w:div w:id="1664704482">
      <w:marLeft w:val="0"/>
      <w:marRight w:val="0"/>
      <w:marTop w:val="0"/>
      <w:marBottom w:val="0"/>
      <w:divBdr>
        <w:top w:val="none" w:sz="0" w:space="0" w:color="auto"/>
        <w:left w:val="none" w:sz="0" w:space="0" w:color="auto"/>
        <w:bottom w:val="none" w:sz="0" w:space="0" w:color="auto"/>
        <w:right w:val="none" w:sz="0" w:space="0" w:color="auto"/>
      </w:divBdr>
    </w:div>
    <w:div w:id="1671061023">
      <w:marLeft w:val="0"/>
      <w:marRight w:val="0"/>
      <w:marTop w:val="0"/>
      <w:marBottom w:val="0"/>
      <w:divBdr>
        <w:top w:val="none" w:sz="0" w:space="0" w:color="auto"/>
        <w:left w:val="none" w:sz="0" w:space="0" w:color="auto"/>
        <w:bottom w:val="none" w:sz="0" w:space="0" w:color="auto"/>
        <w:right w:val="none" w:sz="0" w:space="0" w:color="auto"/>
      </w:divBdr>
    </w:div>
    <w:div w:id="1675297994">
      <w:marLeft w:val="0"/>
      <w:marRight w:val="0"/>
      <w:marTop w:val="0"/>
      <w:marBottom w:val="0"/>
      <w:divBdr>
        <w:top w:val="none" w:sz="0" w:space="0" w:color="auto"/>
        <w:left w:val="none" w:sz="0" w:space="0" w:color="auto"/>
        <w:bottom w:val="none" w:sz="0" w:space="0" w:color="auto"/>
        <w:right w:val="none" w:sz="0" w:space="0" w:color="auto"/>
      </w:divBdr>
    </w:div>
    <w:div w:id="1686322401">
      <w:bodyDiv w:val="1"/>
      <w:marLeft w:val="0"/>
      <w:marRight w:val="0"/>
      <w:marTop w:val="0"/>
      <w:marBottom w:val="0"/>
      <w:divBdr>
        <w:top w:val="none" w:sz="0" w:space="0" w:color="auto"/>
        <w:left w:val="none" w:sz="0" w:space="0" w:color="auto"/>
        <w:bottom w:val="none" w:sz="0" w:space="0" w:color="auto"/>
        <w:right w:val="none" w:sz="0" w:space="0" w:color="auto"/>
      </w:divBdr>
      <w:divsChild>
        <w:div w:id="193270104">
          <w:marLeft w:val="0"/>
          <w:marRight w:val="0"/>
          <w:marTop w:val="0"/>
          <w:marBottom w:val="0"/>
          <w:divBdr>
            <w:top w:val="none" w:sz="0" w:space="0" w:color="auto"/>
            <w:left w:val="none" w:sz="0" w:space="0" w:color="auto"/>
            <w:bottom w:val="none" w:sz="0" w:space="0" w:color="auto"/>
            <w:right w:val="none" w:sz="0" w:space="0" w:color="auto"/>
          </w:divBdr>
          <w:divsChild>
            <w:div w:id="1272667999">
              <w:marLeft w:val="0"/>
              <w:marRight w:val="0"/>
              <w:marTop w:val="0"/>
              <w:marBottom w:val="0"/>
              <w:divBdr>
                <w:top w:val="none" w:sz="0" w:space="0" w:color="auto"/>
                <w:left w:val="none" w:sz="0" w:space="0" w:color="auto"/>
                <w:bottom w:val="none" w:sz="0" w:space="0" w:color="auto"/>
                <w:right w:val="none" w:sz="0" w:space="0" w:color="auto"/>
              </w:divBdr>
              <w:divsChild>
                <w:div w:id="934090992">
                  <w:marLeft w:val="0"/>
                  <w:marRight w:val="180"/>
                  <w:marTop w:val="0"/>
                  <w:marBottom w:val="0"/>
                  <w:divBdr>
                    <w:top w:val="none" w:sz="0" w:space="0" w:color="auto"/>
                    <w:left w:val="none" w:sz="0" w:space="0" w:color="auto"/>
                    <w:bottom w:val="none" w:sz="0" w:space="0" w:color="auto"/>
                    <w:right w:val="none" w:sz="0" w:space="0" w:color="auto"/>
                  </w:divBdr>
                </w:div>
              </w:divsChild>
            </w:div>
            <w:div w:id="1983927917">
              <w:marLeft w:val="0"/>
              <w:marRight w:val="180"/>
              <w:marTop w:val="0"/>
              <w:marBottom w:val="0"/>
              <w:divBdr>
                <w:top w:val="none" w:sz="0" w:space="0" w:color="auto"/>
                <w:left w:val="none" w:sz="0" w:space="0" w:color="auto"/>
                <w:bottom w:val="none" w:sz="0" w:space="0" w:color="auto"/>
                <w:right w:val="none" w:sz="0" w:space="0" w:color="auto"/>
              </w:divBdr>
            </w:div>
            <w:div w:id="1009797828">
              <w:marLeft w:val="0"/>
              <w:marRight w:val="180"/>
              <w:marTop w:val="0"/>
              <w:marBottom w:val="0"/>
              <w:divBdr>
                <w:top w:val="none" w:sz="0" w:space="0" w:color="auto"/>
                <w:left w:val="none" w:sz="0" w:space="0" w:color="auto"/>
                <w:bottom w:val="none" w:sz="0" w:space="0" w:color="auto"/>
                <w:right w:val="none" w:sz="0" w:space="0" w:color="auto"/>
              </w:divBdr>
            </w:div>
            <w:div w:id="1902327707">
              <w:marLeft w:val="0"/>
              <w:marRight w:val="180"/>
              <w:marTop w:val="0"/>
              <w:marBottom w:val="0"/>
              <w:divBdr>
                <w:top w:val="none" w:sz="0" w:space="0" w:color="auto"/>
                <w:left w:val="none" w:sz="0" w:space="0" w:color="auto"/>
                <w:bottom w:val="none" w:sz="0" w:space="0" w:color="auto"/>
                <w:right w:val="none" w:sz="0" w:space="0" w:color="auto"/>
              </w:divBdr>
            </w:div>
            <w:div w:id="1114710387">
              <w:marLeft w:val="0"/>
              <w:marRight w:val="0"/>
              <w:marTop w:val="0"/>
              <w:marBottom w:val="0"/>
              <w:divBdr>
                <w:top w:val="none" w:sz="0" w:space="0" w:color="auto"/>
                <w:left w:val="none" w:sz="0" w:space="0" w:color="auto"/>
                <w:bottom w:val="none" w:sz="0" w:space="0" w:color="auto"/>
                <w:right w:val="none" w:sz="0" w:space="0" w:color="auto"/>
              </w:divBdr>
            </w:div>
            <w:div w:id="1415274811">
              <w:marLeft w:val="0"/>
              <w:marRight w:val="0"/>
              <w:marTop w:val="0"/>
              <w:marBottom w:val="0"/>
              <w:divBdr>
                <w:top w:val="none" w:sz="0" w:space="0" w:color="auto"/>
                <w:left w:val="none" w:sz="0" w:space="0" w:color="auto"/>
                <w:bottom w:val="none" w:sz="0" w:space="0" w:color="auto"/>
                <w:right w:val="none" w:sz="0" w:space="0" w:color="auto"/>
              </w:divBdr>
            </w:div>
            <w:div w:id="766583593">
              <w:marLeft w:val="0"/>
              <w:marRight w:val="0"/>
              <w:marTop w:val="0"/>
              <w:marBottom w:val="0"/>
              <w:divBdr>
                <w:top w:val="none" w:sz="0" w:space="0" w:color="auto"/>
                <w:left w:val="none" w:sz="0" w:space="0" w:color="auto"/>
                <w:bottom w:val="none" w:sz="0" w:space="0" w:color="auto"/>
                <w:right w:val="none" w:sz="0" w:space="0" w:color="auto"/>
              </w:divBdr>
            </w:div>
            <w:div w:id="1679382737">
              <w:marLeft w:val="0"/>
              <w:marRight w:val="0"/>
              <w:marTop w:val="0"/>
              <w:marBottom w:val="0"/>
              <w:divBdr>
                <w:top w:val="none" w:sz="0" w:space="0" w:color="auto"/>
                <w:left w:val="none" w:sz="0" w:space="0" w:color="auto"/>
                <w:bottom w:val="none" w:sz="0" w:space="0" w:color="auto"/>
                <w:right w:val="none" w:sz="0" w:space="0" w:color="auto"/>
              </w:divBdr>
            </w:div>
            <w:div w:id="1610383056">
              <w:marLeft w:val="0"/>
              <w:marRight w:val="0"/>
              <w:marTop w:val="0"/>
              <w:marBottom w:val="0"/>
              <w:divBdr>
                <w:top w:val="none" w:sz="0" w:space="0" w:color="auto"/>
                <w:left w:val="none" w:sz="0" w:space="0" w:color="auto"/>
                <w:bottom w:val="none" w:sz="0" w:space="0" w:color="auto"/>
                <w:right w:val="none" w:sz="0" w:space="0" w:color="auto"/>
              </w:divBdr>
            </w:div>
            <w:div w:id="289165767">
              <w:marLeft w:val="0"/>
              <w:marRight w:val="0"/>
              <w:marTop w:val="0"/>
              <w:marBottom w:val="0"/>
              <w:divBdr>
                <w:top w:val="none" w:sz="0" w:space="0" w:color="auto"/>
                <w:left w:val="none" w:sz="0" w:space="0" w:color="auto"/>
                <w:bottom w:val="none" w:sz="0" w:space="0" w:color="auto"/>
                <w:right w:val="none" w:sz="0" w:space="0" w:color="auto"/>
              </w:divBdr>
            </w:div>
            <w:div w:id="1498954641">
              <w:marLeft w:val="0"/>
              <w:marRight w:val="0"/>
              <w:marTop w:val="0"/>
              <w:marBottom w:val="0"/>
              <w:divBdr>
                <w:top w:val="none" w:sz="0" w:space="0" w:color="auto"/>
                <w:left w:val="none" w:sz="0" w:space="0" w:color="auto"/>
                <w:bottom w:val="none" w:sz="0" w:space="0" w:color="auto"/>
                <w:right w:val="none" w:sz="0" w:space="0" w:color="auto"/>
              </w:divBdr>
            </w:div>
            <w:div w:id="1219509873">
              <w:marLeft w:val="0"/>
              <w:marRight w:val="0"/>
              <w:marTop w:val="0"/>
              <w:marBottom w:val="0"/>
              <w:divBdr>
                <w:top w:val="none" w:sz="0" w:space="0" w:color="auto"/>
                <w:left w:val="none" w:sz="0" w:space="0" w:color="auto"/>
                <w:bottom w:val="none" w:sz="0" w:space="0" w:color="auto"/>
                <w:right w:val="none" w:sz="0" w:space="0" w:color="auto"/>
              </w:divBdr>
            </w:div>
            <w:div w:id="169412889">
              <w:marLeft w:val="0"/>
              <w:marRight w:val="0"/>
              <w:marTop w:val="0"/>
              <w:marBottom w:val="0"/>
              <w:divBdr>
                <w:top w:val="none" w:sz="0" w:space="0" w:color="auto"/>
                <w:left w:val="none" w:sz="0" w:space="0" w:color="auto"/>
                <w:bottom w:val="none" w:sz="0" w:space="0" w:color="auto"/>
                <w:right w:val="none" w:sz="0" w:space="0" w:color="auto"/>
              </w:divBdr>
            </w:div>
            <w:div w:id="45690222">
              <w:marLeft w:val="0"/>
              <w:marRight w:val="0"/>
              <w:marTop w:val="0"/>
              <w:marBottom w:val="0"/>
              <w:divBdr>
                <w:top w:val="none" w:sz="0" w:space="0" w:color="auto"/>
                <w:left w:val="none" w:sz="0" w:space="0" w:color="auto"/>
                <w:bottom w:val="none" w:sz="0" w:space="0" w:color="auto"/>
                <w:right w:val="none" w:sz="0" w:space="0" w:color="auto"/>
              </w:divBdr>
            </w:div>
            <w:div w:id="1557010215">
              <w:marLeft w:val="0"/>
              <w:marRight w:val="0"/>
              <w:marTop w:val="0"/>
              <w:marBottom w:val="0"/>
              <w:divBdr>
                <w:top w:val="none" w:sz="0" w:space="0" w:color="auto"/>
                <w:left w:val="none" w:sz="0" w:space="0" w:color="auto"/>
                <w:bottom w:val="none" w:sz="0" w:space="0" w:color="auto"/>
                <w:right w:val="none" w:sz="0" w:space="0" w:color="auto"/>
              </w:divBdr>
            </w:div>
            <w:div w:id="1363895749">
              <w:marLeft w:val="0"/>
              <w:marRight w:val="0"/>
              <w:marTop w:val="0"/>
              <w:marBottom w:val="0"/>
              <w:divBdr>
                <w:top w:val="none" w:sz="0" w:space="0" w:color="auto"/>
                <w:left w:val="none" w:sz="0" w:space="0" w:color="auto"/>
                <w:bottom w:val="none" w:sz="0" w:space="0" w:color="auto"/>
                <w:right w:val="none" w:sz="0" w:space="0" w:color="auto"/>
              </w:divBdr>
            </w:div>
            <w:div w:id="1719082731">
              <w:marLeft w:val="0"/>
              <w:marRight w:val="0"/>
              <w:marTop w:val="0"/>
              <w:marBottom w:val="0"/>
              <w:divBdr>
                <w:top w:val="none" w:sz="0" w:space="0" w:color="auto"/>
                <w:left w:val="none" w:sz="0" w:space="0" w:color="auto"/>
                <w:bottom w:val="none" w:sz="0" w:space="0" w:color="auto"/>
                <w:right w:val="none" w:sz="0" w:space="0" w:color="auto"/>
              </w:divBdr>
            </w:div>
            <w:div w:id="951401081">
              <w:marLeft w:val="0"/>
              <w:marRight w:val="0"/>
              <w:marTop w:val="0"/>
              <w:marBottom w:val="0"/>
              <w:divBdr>
                <w:top w:val="none" w:sz="0" w:space="0" w:color="auto"/>
                <w:left w:val="none" w:sz="0" w:space="0" w:color="auto"/>
                <w:bottom w:val="none" w:sz="0" w:space="0" w:color="auto"/>
                <w:right w:val="none" w:sz="0" w:space="0" w:color="auto"/>
              </w:divBdr>
            </w:div>
            <w:div w:id="1377312515">
              <w:marLeft w:val="0"/>
              <w:marRight w:val="0"/>
              <w:marTop w:val="0"/>
              <w:marBottom w:val="0"/>
              <w:divBdr>
                <w:top w:val="none" w:sz="0" w:space="0" w:color="auto"/>
                <w:left w:val="none" w:sz="0" w:space="0" w:color="auto"/>
                <w:bottom w:val="none" w:sz="0" w:space="0" w:color="auto"/>
                <w:right w:val="none" w:sz="0" w:space="0" w:color="auto"/>
              </w:divBdr>
            </w:div>
            <w:div w:id="1091657893">
              <w:marLeft w:val="0"/>
              <w:marRight w:val="0"/>
              <w:marTop w:val="0"/>
              <w:marBottom w:val="0"/>
              <w:divBdr>
                <w:top w:val="none" w:sz="0" w:space="0" w:color="auto"/>
                <w:left w:val="none" w:sz="0" w:space="0" w:color="auto"/>
                <w:bottom w:val="none" w:sz="0" w:space="0" w:color="auto"/>
                <w:right w:val="none" w:sz="0" w:space="0" w:color="auto"/>
              </w:divBdr>
            </w:div>
            <w:div w:id="1246189336">
              <w:marLeft w:val="0"/>
              <w:marRight w:val="0"/>
              <w:marTop w:val="0"/>
              <w:marBottom w:val="0"/>
              <w:divBdr>
                <w:top w:val="none" w:sz="0" w:space="0" w:color="auto"/>
                <w:left w:val="none" w:sz="0" w:space="0" w:color="auto"/>
                <w:bottom w:val="none" w:sz="0" w:space="0" w:color="auto"/>
                <w:right w:val="none" w:sz="0" w:space="0" w:color="auto"/>
              </w:divBdr>
            </w:div>
            <w:div w:id="1143691104">
              <w:marLeft w:val="0"/>
              <w:marRight w:val="0"/>
              <w:marTop w:val="0"/>
              <w:marBottom w:val="0"/>
              <w:divBdr>
                <w:top w:val="none" w:sz="0" w:space="0" w:color="auto"/>
                <w:left w:val="none" w:sz="0" w:space="0" w:color="auto"/>
                <w:bottom w:val="none" w:sz="0" w:space="0" w:color="auto"/>
                <w:right w:val="none" w:sz="0" w:space="0" w:color="auto"/>
              </w:divBdr>
            </w:div>
            <w:div w:id="542210098">
              <w:marLeft w:val="0"/>
              <w:marRight w:val="0"/>
              <w:marTop w:val="0"/>
              <w:marBottom w:val="0"/>
              <w:divBdr>
                <w:top w:val="none" w:sz="0" w:space="0" w:color="auto"/>
                <w:left w:val="none" w:sz="0" w:space="0" w:color="auto"/>
                <w:bottom w:val="none" w:sz="0" w:space="0" w:color="auto"/>
                <w:right w:val="none" w:sz="0" w:space="0" w:color="auto"/>
              </w:divBdr>
            </w:div>
            <w:div w:id="1387216001">
              <w:marLeft w:val="0"/>
              <w:marRight w:val="0"/>
              <w:marTop w:val="0"/>
              <w:marBottom w:val="0"/>
              <w:divBdr>
                <w:top w:val="none" w:sz="0" w:space="0" w:color="auto"/>
                <w:left w:val="none" w:sz="0" w:space="0" w:color="auto"/>
                <w:bottom w:val="none" w:sz="0" w:space="0" w:color="auto"/>
                <w:right w:val="none" w:sz="0" w:space="0" w:color="auto"/>
              </w:divBdr>
            </w:div>
            <w:div w:id="806320833">
              <w:marLeft w:val="0"/>
              <w:marRight w:val="0"/>
              <w:marTop w:val="0"/>
              <w:marBottom w:val="0"/>
              <w:divBdr>
                <w:top w:val="none" w:sz="0" w:space="0" w:color="auto"/>
                <w:left w:val="none" w:sz="0" w:space="0" w:color="auto"/>
                <w:bottom w:val="none" w:sz="0" w:space="0" w:color="auto"/>
                <w:right w:val="none" w:sz="0" w:space="0" w:color="auto"/>
              </w:divBdr>
            </w:div>
            <w:div w:id="1954509772">
              <w:marLeft w:val="0"/>
              <w:marRight w:val="0"/>
              <w:marTop w:val="0"/>
              <w:marBottom w:val="0"/>
              <w:divBdr>
                <w:top w:val="none" w:sz="0" w:space="0" w:color="auto"/>
                <w:left w:val="none" w:sz="0" w:space="0" w:color="auto"/>
                <w:bottom w:val="none" w:sz="0" w:space="0" w:color="auto"/>
                <w:right w:val="none" w:sz="0" w:space="0" w:color="auto"/>
              </w:divBdr>
            </w:div>
            <w:div w:id="85926877">
              <w:marLeft w:val="0"/>
              <w:marRight w:val="0"/>
              <w:marTop w:val="0"/>
              <w:marBottom w:val="0"/>
              <w:divBdr>
                <w:top w:val="none" w:sz="0" w:space="0" w:color="auto"/>
                <w:left w:val="none" w:sz="0" w:space="0" w:color="auto"/>
                <w:bottom w:val="none" w:sz="0" w:space="0" w:color="auto"/>
                <w:right w:val="none" w:sz="0" w:space="0" w:color="auto"/>
              </w:divBdr>
            </w:div>
            <w:div w:id="15673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666">
      <w:marLeft w:val="0"/>
      <w:marRight w:val="0"/>
      <w:marTop w:val="0"/>
      <w:marBottom w:val="0"/>
      <w:divBdr>
        <w:top w:val="none" w:sz="0" w:space="0" w:color="auto"/>
        <w:left w:val="none" w:sz="0" w:space="0" w:color="auto"/>
        <w:bottom w:val="none" w:sz="0" w:space="0" w:color="auto"/>
        <w:right w:val="none" w:sz="0" w:space="0" w:color="auto"/>
      </w:divBdr>
    </w:div>
    <w:div w:id="1693073502">
      <w:marLeft w:val="0"/>
      <w:marRight w:val="0"/>
      <w:marTop w:val="0"/>
      <w:marBottom w:val="0"/>
      <w:divBdr>
        <w:top w:val="none" w:sz="0" w:space="0" w:color="auto"/>
        <w:left w:val="none" w:sz="0" w:space="0" w:color="auto"/>
        <w:bottom w:val="none" w:sz="0" w:space="0" w:color="auto"/>
        <w:right w:val="none" w:sz="0" w:space="0" w:color="auto"/>
      </w:divBdr>
    </w:div>
    <w:div w:id="1693604279">
      <w:marLeft w:val="0"/>
      <w:marRight w:val="180"/>
      <w:marTop w:val="0"/>
      <w:marBottom w:val="0"/>
      <w:divBdr>
        <w:top w:val="none" w:sz="0" w:space="0" w:color="auto"/>
        <w:left w:val="none" w:sz="0" w:space="0" w:color="auto"/>
        <w:bottom w:val="none" w:sz="0" w:space="0" w:color="auto"/>
        <w:right w:val="none" w:sz="0" w:space="0" w:color="auto"/>
      </w:divBdr>
    </w:div>
    <w:div w:id="1700886590">
      <w:marLeft w:val="0"/>
      <w:marRight w:val="0"/>
      <w:marTop w:val="0"/>
      <w:marBottom w:val="0"/>
      <w:divBdr>
        <w:top w:val="none" w:sz="0" w:space="0" w:color="auto"/>
        <w:left w:val="none" w:sz="0" w:space="0" w:color="auto"/>
        <w:bottom w:val="none" w:sz="0" w:space="0" w:color="auto"/>
        <w:right w:val="none" w:sz="0" w:space="0" w:color="auto"/>
      </w:divBdr>
    </w:div>
    <w:div w:id="1734348026">
      <w:marLeft w:val="0"/>
      <w:marRight w:val="0"/>
      <w:marTop w:val="0"/>
      <w:marBottom w:val="0"/>
      <w:divBdr>
        <w:top w:val="none" w:sz="0" w:space="0" w:color="auto"/>
        <w:left w:val="none" w:sz="0" w:space="0" w:color="auto"/>
        <w:bottom w:val="none" w:sz="0" w:space="0" w:color="auto"/>
        <w:right w:val="none" w:sz="0" w:space="0" w:color="auto"/>
      </w:divBdr>
    </w:div>
    <w:div w:id="1742870270">
      <w:marLeft w:val="0"/>
      <w:marRight w:val="0"/>
      <w:marTop w:val="0"/>
      <w:marBottom w:val="0"/>
      <w:divBdr>
        <w:top w:val="none" w:sz="0" w:space="0" w:color="auto"/>
        <w:left w:val="none" w:sz="0" w:space="0" w:color="auto"/>
        <w:bottom w:val="none" w:sz="0" w:space="0" w:color="auto"/>
        <w:right w:val="none" w:sz="0" w:space="0" w:color="auto"/>
      </w:divBdr>
    </w:div>
    <w:div w:id="1750076995">
      <w:bodyDiv w:val="1"/>
      <w:marLeft w:val="0"/>
      <w:marRight w:val="0"/>
      <w:marTop w:val="0"/>
      <w:marBottom w:val="0"/>
      <w:divBdr>
        <w:top w:val="none" w:sz="0" w:space="0" w:color="auto"/>
        <w:left w:val="none" w:sz="0" w:space="0" w:color="auto"/>
        <w:bottom w:val="none" w:sz="0" w:space="0" w:color="auto"/>
        <w:right w:val="none" w:sz="0" w:space="0" w:color="auto"/>
      </w:divBdr>
    </w:div>
    <w:div w:id="1753314320">
      <w:marLeft w:val="0"/>
      <w:marRight w:val="0"/>
      <w:marTop w:val="0"/>
      <w:marBottom w:val="0"/>
      <w:divBdr>
        <w:top w:val="none" w:sz="0" w:space="0" w:color="auto"/>
        <w:left w:val="none" w:sz="0" w:space="0" w:color="auto"/>
        <w:bottom w:val="none" w:sz="0" w:space="0" w:color="auto"/>
        <w:right w:val="none" w:sz="0" w:space="0" w:color="auto"/>
      </w:divBdr>
    </w:div>
    <w:div w:id="1792087202">
      <w:marLeft w:val="0"/>
      <w:marRight w:val="0"/>
      <w:marTop w:val="0"/>
      <w:marBottom w:val="0"/>
      <w:divBdr>
        <w:top w:val="none" w:sz="0" w:space="0" w:color="auto"/>
        <w:left w:val="none" w:sz="0" w:space="0" w:color="auto"/>
        <w:bottom w:val="none" w:sz="0" w:space="0" w:color="auto"/>
        <w:right w:val="none" w:sz="0" w:space="0" w:color="auto"/>
      </w:divBdr>
    </w:div>
    <w:div w:id="1867716726">
      <w:marLeft w:val="0"/>
      <w:marRight w:val="180"/>
      <w:marTop w:val="0"/>
      <w:marBottom w:val="0"/>
      <w:divBdr>
        <w:top w:val="none" w:sz="0" w:space="0" w:color="auto"/>
        <w:left w:val="none" w:sz="0" w:space="0" w:color="auto"/>
        <w:bottom w:val="none" w:sz="0" w:space="0" w:color="auto"/>
        <w:right w:val="none" w:sz="0" w:space="0" w:color="auto"/>
      </w:divBdr>
    </w:div>
    <w:div w:id="1881555648">
      <w:marLeft w:val="0"/>
      <w:marRight w:val="0"/>
      <w:marTop w:val="0"/>
      <w:marBottom w:val="0"/>
      <w:divBdr>
        <w:top w:val="none" w:sz="0" w:space="0" w:color="auto"/>
        <w:left w:val="none" w:sz="0" w:space="0" w:color="auto"/>
        <w:bottom w:val="none" w:sz="0" w:space="0" w:color="auto"/>
        <w:right w:val="none" w:sz="0" w:space="0" w:color="auto"/>
      </w:divBdr>
    </w:div>
    <w:div w:id="1892569651">
      <w:marLeft w:val="0"/>
      <w:marRight w:val="0"/>
      <w:marTop w:val="0"/>
      <w:marBottom w:val="0"/>
      <w:divBdr>
        <w:top w:val="none" w:sz="0" w:space="0" w:color="auto"/>
        <w:left w:val="none" w:sz="0" w:space="0" w:color="auto"/>
        <w:bottom w:val="none" w:sz="0" w:space="0" w:color="auto"/>
        <w:right w:val="none" w:sz="0" w:space="0" w:color="auto"/>
      </w:divBdr>
    </w:div>
    <w:div w:id="1931498543">
      <w:marLeft w:val="0"/>
      <w:marRight w:val="0"/>
      <w:marTop w:val="0"/>
      <w:marBottom w:val="0"/>
      <w:divBdr>
        <w:top w:val="none" w:sz="0" w:space="0" w:color="auto"/>
        <w:left w:val="none" w:sz="0" w:space="0" w:color="auto"/>
        <w:bottom w:val="none" w:sz="0" w:space="0" w:color="auto"/>
        <w:right w:val="none" w:sz="0" w:space="0" w:color="auto"/>
      </w:divBdr>
    </w:div>
    <w:div w:id="1937445665">
      <w:marLeft w:val="0"/>
      <w:marRight w:val="0"/>
      <w:marTop w:val="0"/>
      <w:marBottom w:val="0"/>
      <w:divBdr>
        <w:top w:val="none" w:sz="0" w:space="0" w:color="auto"/>
        <w:left w:val="none" w:sz="0" w:space="0" w:color="auto"/>
        <w:bottom w:val="none" w:sz="0" w:space="0" w:color="auto"/>
        <w:right w:val="none" w:sz="0" w:space="0" w:color="auto"/>
      </w:divBdr>
    </w:div>
    <w:div w:id="1938907473">
      <w:marLeft w:val="0"/>
      <w:marRight w:val="0"/>
      <w:marTop w:val="0"/>
      <w:marBottom w:val="0"/>
      <w:divBdr>
        <w:top w:val="none" w:sz="0" w:space="0" w:color="auto"/>
        <w:left w:val="none" w:sz="0" w:space="0" w:color="auto"/>
        <w:bottom w:val="none" w:sz="0" w:space="0" w:color="auto"/>
        <w:right w:val="none" w:sz="0" w:space="0" w:color="auto"/>
      </w:divBdr>
    </w:div>
    <w:div w:id="1977567614">
      <w:marLeft w:val="0"/>
      <w:marRight w:val="0"/>
      <w:marTop w:val="0"/>
      <w:marBottom w:val="0"/>
      <w:divBdr>
        <w:top w:val="none" w:sz="0" w:space="0" w:color="auto"/>
        <w:left w:val="none" w:sz="0" w:space="0" w:color="auto"/>
        <w:bottom w:val="none" w:sz="0" w:space="0" w:color="auto"/>
        <w:right w:val="none" w:sz="0" w:space="0" w:color="auto"/>
      </w:divBdr>
    </w:div>
    <w:div w:id="1978026481">
      <w:marLeft w:val="0"/>
      <w:marRight w:val="0"/>
      <w:marTop w:val="0"/>
      <w:marBottom w:val="0"/>
      <w:divBdr>
        <w:top w:val="none" w:sz="0" w:space="0" w:color="auto"/>
        <w:left w:val="none" w:sz="0" w:space="0" w:color="auto"/>
        <w:bottom w:val="none" w:sz="0" w:space="0" w:color="auto"/>
        <w:right w:val="none" w:sz="0" w:space="0" w:color="auto"/>
      </w:divBdr>
    </w:div>
    <w:div w:id="1978799063">
      <w:marLeft w:val="0"/>
      <w:marRight w:val="0"/>
      <w:marTop w:val="0"/>
      <w:marBottom w:val="0"/>
      <w:divBdr>
        <w:top w:val="none" w:sz="0" w:space="0" w:color="auto"/>
        <w:left w:val="none" w:sz="0" w:space="0" w:color="auto"/>
        <w:bottom w:val="none" w:sz="0" w:space="0" w:color="auto"/>
        <w:right w:val="none" w:sz="0" w:space="0" w:color="auto"/>
      </w:divBdr>
    </w:div>
    <w:div w:id="1996034211">
      <w:marLeft w:val="0"/>
      <w:marRight w:val="0"/>
      <w:marTop w:val="0"/>
      <w:marBottom w:val="0"/>
      <w:divBdr>
        <w:top w:val="none" w:sz="0" w:space="0" w:color="auto"/>
        <w:left w:val="none" w:sz="0" w:space="0" w:color="auto"/>
        <w:bottom w:val="none" w:sz="0" w:space="0" w:color="auto"/>
        <w:right w:val="none" w:sz="0" w:space="0" w:color="auto"/>
      </w:divBdr>
    </w:div>
    <w:div w:id="2010326435">
      <w:marLeft w:val="0"/>
      <w:marRight w:val="0"/>
      <w:marTop w:val="0"/>
      <w:marBottom w:val="0"/>
      <w:divBdr>
        <w:top w:val="none" w:sz="0" w:space="0" w:color="auto"/>
        <w:left w:val="none" w:sz="0" w:space="0" w:color="auto"/>
        <w:bottom w:val="none" w:sz="0" w:space="0" w:color="auto"/>
        <w:right w:val="none" w:sz="0" w:space="0" w:color="auto"/>
      </w:divBdr>
    </w:div>
    <w:div w:id="2012441179">
      <w:marLeft w:val="0"/>
      <w:marRight w:val="0"/>
      <w:marTop w:val="0"/>
      <w:marBottom w:val="0"/>
      <w:divBdr>
        <w:top w:val="none" w:sz="0" w:space="0" w:color="auto"/>
        <w:left w:val="none" w:sz="0" w:space="0" w:color="auto"/>
        <w:bottom w:val="none" w:sz="0" w:space="0" w:color="auto"/>
        <w:right w:val="none" w:sz="0" w:space="0" w:color="auto"/>
      </w:divBdr>
    </w:div>
    <w:div w:id="2013143022">
      <w:marLeft w:val="0"/>
      <w:marRight w:val="0"/>
      <w:marTop w:val="0"/>
      <w:marBottom w:val="0"/>
      <w:divBdr>
        <w:top w:val="none" w:sz="0" w:space="0" w:color="auto"/>
        <w:left w:val="none" w:sz="0" w:space="0" w:color="auto"/>
        <w:bottom w:val="none" w:sz="0" w:space="0" w:color="auto"/>
        <w:right w:val="none" w:sz="0" w:space="0" w:color="auto"/>
      </w:divBdr>
    </w:div>
    <w:div w:id="2017725223">
      <w:marLeft w:val="0"/>
      <w:marRight w:val="0"/>
      <w:marTop w:val="0"/>
      <w:marBottom w:val="0"/>
      <w:divBdr>
        <w:top w:val="none" w:sz="0" w:space="0" w:color="auto"/>
        <w:left w:val="none" w:sz="0" w:space="0" w:color="auto"/>
        <w:bottom w:val="none" w:sz="0" w:space="0" w:color="auto"/>
        <w:right w:val="none" w:sz="0" w:space="0" w:color="auto"/>
      </w:divBdr>
    </w:div>
    <w:div w:id="2030718288">
      <w:marLeft w:val="0"/>
      <w:marRight w:val="0"/>
      <w:marTop w:val="0"/>
      <w:marBottom w:val="0"/>
      <w:divBdr>
        <w:top w:val="none" w:sz="0" w:space="0" w:color="auto"/>
        <w:left w:val="none" w:sz="0" w:space="0" w:color="auto"/>
        <w:bottom w:val="none" w:sz="0" w:space="0" w:color="auto"/>
        <w:right w:val="none" w:sz="0" w:space="0" w:color="auto"/>
      </w:divBdr>
    </w:div>
    <w:div w:id="2076003053">
      <w:bodyDiv w:val="1"/>
      <w:marLeft w:val="0"/>
      <w:marRight w:val="0"/>
      <w:marTop w:val="0"/>
      <w:marBottom w:val="0"/>
      <w:divBdr>
        <w:top w:val="none" w:sz="0" w:space="0" w:color="auto"/>
        <w:left w:val="none" w:sz="0" w:space="0" w:color="auto"/>
        <w:bottom w:val="none" w:sz="0" w:space="0" w:color="auto"/>
        <w:right w:val="none" w:sz="0" w:space="0" w:color="auto"/>
      </w:divBdr>
    </w:div>
    <w:div w:id="2087339771">
      <w:bodyDiv w:val="1"/>
      <w:marLeft w:val="0"/>
      <w:marRight w:val="0"/>
      <w:marTop w:val="0"/>
      <w:marBottom w:val="0"/>
      <w:divBdr>
        <w:top w:val="none" w:sz="0" w:space="0" w:color="auto"/>
        <w:left w:val="none" w:sz="0" w:space="0" w:color="auto"/>
        <w:bottom w:val="none" w:sz="0" w:space="0" w:color="auto"/>
        <w:right w:val="none" w:sz="0" w:space="0" w:color="auto"/>
      </w:divBdr>
    </w:div>
    <w:div w:id="2090928497">
      <w:bodyDiv w:val="1"/>
      <w:marLeft w:val="0"/>
      <w:marRight w:val="0"/>
      <w:marTop w:val="0"/>
      <w:marBottom w:val="0"/>
      <w:divBdr>
        <w:top w:val="none" w:sz="0" w:space="0" w:color="auto"/>
        <w:left w:val="none" w:sz="0" w:space="0" w:color="auto"/>
        <w:bottom w:val="none" w:sz="0" w:space="0" w:color="auto"/>
        <w:right w:val="none" w:sz="0" w:space="0" w:color="auto"/>
      </w:divBdr>
    </w:div>
    <w:div w:id="21052276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Base.html" TargetMode="External"/><Relationship Id="rId13" Type="http://schemas.openxmlformats.org/officeDocument/2006/relationships/image" Target="media/image4.gif"/><Relationship Id="rId18" Type="http://schemas.openxmlformats.org/officeDocument/2006/relationships/hyperlink" Target="https://www.eeoc.gov/laws/statutes/titlevii.cf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mathworld.wolfram.com/Power.html" TargetMode="External"/><Relationship Id="rId17" Type="http://schemas.openxmlformats.org/officeDocument/2006/relationships/hyperlink" Target="https://en.wikipedia.org/wiki/Education"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athworld.wolfram.com/InverseFunction.html" TargetMode="External"/><Relationship Id="rId5" Type="http://schemas.openxmlformats.org/officeDocument/2006/relationships/hyperlink" Target="http://factfinder.census.gov/faces/nav/jsf/pages/searchresults.xhtml" TargetMode="External"/><Relationship Id="rId15" Type="http://schemas.openxmlformats.org/officeDocument/2006/relationships/hyperlink" Target="http://factfinder.census.gov/faces/nav/jsf/pages/searchresults.xhtml"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T</dc:creator>
  <cp:lastModifiedBy>cassandra T</cp:lastModifiedBy>
  <cp:revision>2</cp:revision>
  <dcterms:created xsi:type="dcterms:W3CDTF">2016-10-01T17:10:00Z</dcterms:created>
  <dcterms:modified xsi:type="dcterms:W3CDTF">2016-10-01T17:10:00Z</dcterms:modified>
</cp:coreProperties>
</file>