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/>
      </w:pPr>
      <w:r>
        <w:rPr/>
        <w:t>Inégalités éconmiques, précarité sociale et vote. Le cas de l'Aire métropolitaine marseillaise</w:t>
      </w:r>
    </w:p>
    <w:p>
      <w:pPr>
        <w:pStyle w:val="Author"/>
        <w:rPr/>
      </w:pPr>
      <w:r>
        <w:rPr/>
        <w:t>Joël Gombin (CURAPP-UPJV)</w:t>
      </w:r>
    </w:p>
    <w:p>
      <w:pPr>
        <w:pStyle w:val="Date"/>
        <w:rPr/>
      </w:pPr>
      <w:r>
        <w:rPr/>
        <w:t>2 juin 2015</w:t>
      </w:r>
    </w:p>
    <w:p>
      <w:pPr>
        <w:pStyle w:val="Normal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nk"/>
          </w:rPr>
          <w:t>http://rmarkdown.rstudio.com</w:t>
        </w:r>
      </w:hyperlink>
      <w:r>
        <w:rPr/>
        <w:t>.</w:t>
      </w:r>
    </w:p>
    <w:p>
      <w:pPr>
        <w:pStyle w:val="Normal"/>
        <w:rPr/>
      </w:pPr>
      <w:r>
        <w:rPr/>
        <w:t xml:space="preserve">When you click the </w:t>
      </w:r>
      <w:r>
        <w:rPr>
          <w:b/>
        </w:rPr>
        <w:t>Knit</w:t>
      </w:r>
      <w:r>
        <w:rPr>
          <w:rStyle w:val="Ancredenotedebasdepage"/>
          <w:b/>
        </w:rPr>
        <w:footnoteReference w:id="2"/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Normal"/>
        <w:rPr/>
      </w:pPr>
      <w:r>
        <w:rPr/>
        <w:t>You can also embed plots, for example: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180" w:after="180"/>
        <w:jc w:val="both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1800" w:right="1800" w:header="1440" w:top="2179" w:footer="1440" w:bottom="211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180" w:after="18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spacing w:before="181" w:after="181"/>
        <w:contextualSpacing/>
        <w:rPr/>
      </w:pPr>
      <w:r>
        <w:rPr/>
        <w:footnoteRef/>
        <w:tab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180" w:after="180"/>
      <w:jc w:val="center"/>
      <w:rPr/>
    </w:pPr>
    <w:r>
      <w:rPr/>
      <w:t>Congrès AFSP Aix 2015</w:t>
    </w:r>
  </w:p>
</w:hdr>
</file>

<file path=word/settings.xml><?xml version="1.0" encoding="utf-8"?>
<w:settings xmlns:w="http://schemas.openxmlformats.org/wordprocessingml/2006/main">
  <w:zoom w:percent="90"/>
  <w:embedSystemFonts/>
  <w:defaultTabStop w:val="643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both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fr-FR" w:eastAsia="en-US" w:bidi="ar-SA"/>
    </w:rPr>
  </w:style>
  <w:style w:type="paragraph" w:styleId="Titre1">
    <w:name w:val="Titre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i/>
      <w:color w:val="00000A" w:themeShade="b5"/>
      <w:sz w:val="24"/>
      <w:szCs w:val="32"/>
    </w:rPr>
  </w:style>
  <w:style w:type="paragraph" w:styleId="Titre2">
    <w:name w:val="Titre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i/>
      <w:color w:val="00000A"/>
      <w:sz w:val="24"/>
      <w:szCs w:val="32"/>
    </w:rPr>
  </w:style>
  <w:style w:type="paragraph" w:styleId="Titre3">
    <w:name w:val="Titre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4">
    <w:name w:val="Titre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5">
    <w:name w:val="Titre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/>
  </w:style>
  <w:style w:type="character" w:styleId="DataTypeTok" w:customStyle="1">
    <w:name w:val="DataTypeTok"/>
    <w:basedOn w:val="VerbatimChar"/>
    <w:qFormat/>
    <w:rPr/>
  </w:style>
  <w:style w:type="character" w:styleId="DecValTok" w:customStyle="1">
    <w:name w:val="DecValTok"/>
    <w:basedOn w:val="VerbatimChar"/>
    <w:qFormat/>
    <w:rPr/>
  </w:style>
  <w:style w:type="character" w:styleId="BaseNTok" w:customStyle="1">
    <w:name w:val="BaseNTok"/>
    <w:basedOn w:val="VerbatimChar"/>
    <w:qFormat/>
    <w:rPr/>
  </w:style>
  <w:style w:type="character" w:styleId="FloatTok" w:customStyle="1">
    <w:name w:val="FloatTok"/>
    <w:basedOn w:val="VerbatimChar"/>
    <w:qFormat/>
    <w:rPr/>
  </w:style>
  <w:style w:type="character" w:styleId="CharTok" w:customStyle="1">
    <w:name w:val="CharTok"/>
    <w:basedOn w:val="VerbatimChar"/>
    <w:qFormat/>
    <w:rPr/>
  </w:style>
  <w:style w:type="character" w:styleId="StringTok" w:customStyle="1">
    <w:name w:val="StringTok"/>
    <w:basedOn w:val="VerbatimChar"/>
    <w:qFormat/>
    <w:rPr/>
  </w:style>
  <w:style w:type="character" w:styleId="CommentTok" w:customStyle="1">
    <w:name w:val="CommentTok"/>
    <w:basedOn w:val="VerbatimChar"/>
    <w:qFormat/>
    <w:rPr/>
  </w:style>
  <w:style w:type="character" w:styleId="OtherTok" w:customStyle="1">
    <w:name w:val="OtherTok"/>
    <w:basedOn w:val="VerbatimChar"/>
    <w:qFormat/>
    <w:rPr/>
  </w:style>
  <w:style w:type="character" w:styleId="AlertTok" w:customStyle="1">
    <w:name w:val="AlertTok"/>
    <w:basedOn w:val="VerbatimChar"/>
    <w:qFormat/>
    <w:rPr/>
  </w:style>
  <w:style w:type="character" w:styleId="FunctionTok" w:customStyle="1">
    <w:name w:val="FunctionTok"/>
    <w:basedOn w:val="VerbatimChar"/>
    <w:qFormat/>
    <w:rPr/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/>
  </w:style>
  <w:style w:type="character" w:styleId="NormalTok" w:customStyle="1">
    <w:name w:val="NormalTok"/>
    <w:basedOn w:val="VerbatimChar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BodyTextChar"/>
    <w:pPr>
      <w:spacing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reprincipal">
    <w:name w:val="Titre principal"/>
    <w:basedOn w:val="Normal"/>
    <w:next w:val="Normal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28"/>
      <w:szCs w:val="36"/>
    </w:rPr>
  </w:style>
  <w:style w:type="paragraph" w:styleId="Soustitre">
    <w:name w:val="Sous-titre"/>
    <w:basedOn w:val="Titreprincipal"/>
    <w:next w:val="Normal"/>
    <w:qFormat/>
    <w:pPr>
      <w:keepNext/>
      <w:keepLines/>
      <w:spacing w:before="240" w:after="240"/>
      <w:jc w:val="center"/>
    </w:pPr>
    <w:rPr>
      <w:i/>
      <w:sz w:val="24"/>
      <w:szCs w:val="30"/>
    </w:rPr>
  </w:style>
  <w:style w:type="paragraph" w:styleId="Author">
    <w:name w:val="Author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b/>
      <w:color w:val="00000A"/>
      <w:sz w:val="24"/>
      <w:szCs w:val="24"/>
      <w:lang w:val="fr-FR" w:eastAsia="en-US" w:bidi="ar-SA"/>
    </w:rPr>
  </w:style>
  <w:style w:type="paragraph" w:styleId="Date">
    <w:name w:val="Date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b/>
      <w:color w:val="00000A"/>
      <w:sz w:val="24"/>
      <w:szCs w:val="24"/>
      <w:lang w:val="fr-FR" w:eastAsia="en-US" w:bidi="ar-SA"/>
    </w:r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Note de bas de page"/>
    <w:basedOn w:val="Normal"/>
    <w:uiPriority w:val="9"/>
    <w:unhideWhenUsed/>
    <w:qFormat/>
    <w:pPr>
      <w:spacing w:before="181" w:after="181"/>
      <w:ind w:left="0" w:right="0" w:hanging="0"/>
      <w:contextualSpacing/>
    </w:pPr>
    <w:rPr>
      <w:sz w:val="20"/>
    </w:rPr>
  </w:style>
  <w:style w:type="paragraph" w:styleId="DefinitionTerm">
    <w:name w:val="Definition Term"/>
    <w:basedOn w:val="Normal"/>
    <w:qFormat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Normal"/>
    <w:link w:val="BodyTextChar"/>
    <w:qFormat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Pieddepage">
    <w:name w:val="Pied de page"/>
    <w:basedOn w:val="Normal"/>
    <w:pPr>
      <w:jc w:val="center"/>
    </w:pPr>
    <w:rPr>
      <w:sz w:val="18"/>
    </w:rPr>
  </w:style>
  <w:style w:type="paragraph" w:styleId="Entte">
    <w:name w:val="En-tête"/>
    <w:basedOn w:val="Normal"/>
    <w:pPr>
      <w:jc w:val="center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Joël Gombin (CURAPP-UPJV)</dc:creator>
  <dc:language>fr-FR</dc:language>
  <dcterms:modified xsi:type="dcterms:W3CDTF">2015-06-17T19:42:08Z</dcterms:modified>
  <cp:revision>6</cp:revision>
  <dc:title>Inégalités éconmiques, précarité sociale et vote. Le cas de l'Aire métropolitaine marseillaise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