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71" w:rsidRDefault="006C3E71" w:rsidP="00837F9D">
      <w:pPr>
        <w:spacing w:after="0"/>
        <w:jc w:val="both"/>
      </w:pPr>
    </w:p>
    <w:tbl>
      <w:tblPr>
        <w:tblW w:w="0" w:type="auto"/>
        <w:tblLook w:val="04A0"/>
      </w:tblPr>
      <w:tblGrid>
        <w:gridCol w:w="2106"/>
        <w:gridCol w:w="7182"/>
      </w:tblGrid>
      <w:tr w:rsidR="006C3E71" w:rsidRPr="00664419" w:rsidTr="00890745">
        <w:trPr>
          <w:trHeight w:val="2688"/>
        </w:trPr>
        <w:tc>
          <w:tcPr>
            <w:tcW w:w="1809" w:type="dxa"/>
          </w:tcPr>
          <w:p w:rsidR="006C3E71" w:rsidRPr="00664419" w:rsidRDefault="006C3E71" w:rsidP="00890745">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eastAsia="fr-FR"/>
              </w:rPr>
              <w:drawing>
                <wp:inline distT="0" distB="0" distL="0" distR="0">
                  <wp:extent cx="1179195" cy="1576705"/>
                  <wp:effectExtent l="19050" t="0" r="1905" b="0"/>
                  <wp:docPr id="1" name="Image 0" descr="MDFVJ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MDFVJS_LOGO.jpg"/>
                          <pic:cNvPicPr>
                            <a:picLocks noChangeAspect="1" noChangeArrowheads="1"/>
                          </pic:cNvPicPr>
                        </pic:nvPicPr>
                        <pic:blipFill>
                          <a:blip r:embed="rId5" cstate="print"/>
                          <a:srcRect/>
                          <a:stretch>
                            <a:fillRect/>
                          </a:stretch>
                        </pic:blipFill>
                        <pic:spPr bwMode="auto">
                          <a:xfrm>
                            <a:off x="0" y="0"/>
                            <a:ext cx="1179195" cy="1576705"/>
                          </a:xfrm>
                          <a:prstGeom prst="rect">
                            <a:avLst/>
                          </a:prstGeom>
                          <a:noFill/>
                          <a:ln w="9525">
                            <a:noFill/>
                            <a:miter lim="800000"/>
                            <a:headEnd/>
                            <a:tailEnd/>
                          </a:ln>
                        </pic:spPr>
                      </pic:pic>
                    </a:graphicData>
                  </a:graphic>
                </wp:inline>
              </w:drawing>
            </w:r>
          </w:p>
        </w:tc>
        <w:tc>
          <w:tcPr>
            <w:tcW w:w="7371" w:type="dxa"/>
          </w:tcPr>
          <w:p w:rsidR="006C3E71" w:rsidRPr="00664419" w:rsidRDefault="006C3E71" w:rsidP="00890745">
            <w:pPr>
              <w:autoSpaceDE w:val="0"/>
              <w:autoSpaceDN w:val="0"/>
              <w:adjustRightInd w:val="0"/>
              <w:spacing w:after="0" w:line="240" w:lineRule="auto"/>
              <w:jc w:val="center"/>
              <w:rPr>
                <w:rFonts w:ascii="Arial" w:hAnsi="Arial" w:cs="Arial"/>
                <w:color w:val="000000"/>
                <w:sz w:val="24"/>
                <w:szCs w:val="24"/>
              </w:rPr>
            </w:pPr>
            <w:r w:rsidRPr="00664419">
              <w:rPr>
                <w:rFonts w:ascii="Arial" w:hAnsi="Arial" w:cs="Arial"/>
                <w:color w:val="000000"/>
                <w:sz w:val="24"/>
                <w:szCs w:val="24"/>
              </w:rPr>
              <w:t>Le Recensement des licences et clubs auprès des fédérations sportives agréées par le ministère chargé des sports</w:t>
            </w:r>
          </w:p>
          <w:p w:rsidR="006C3E71" w:rsidRPr="00664419" w:rsidRDefault="006C3E71" w:rsidP="00890745">
            <w:pPr>
              <w:autoSpaceDE w:val="0"/>
              <w:autoSpaceDN w:val="0"/>
              <w:adjustRightInd w:val="0"/>
              <w:spacing w:after="0" w:line="240" w:lineRule="auto"/>
              <w:rPr>
                <w:rFonts w:ascii="Arial" w:hAnsi="Arial" w:cs="Arial"/>
                <w:color w:val="000000"/>
                <w:sz w:val="24"/>
                <w:szCs w:val="24"/>
              </w:rPr>
            </w:pPr>
          </w:p>
        </w:tc>
      </w:tr>
    </w:tbl>
    <w:p w:rsidR="006C3E71" w:rsidRDefault="006C3E71" w:rsidP="00837F9D">
      <w:pPr>
        <w:spacing w:after="0"/>
        <w:jc w:val="both"/>
      </w:pPr>
    </w:p>
    <w:p w:rsidR="00AF4F19" w:rsidRDefault="00E06F40" w:rsidP="006C3E71">
      <w:pPr>
        <w:autoSpaceDE w:val="0"/>
        <w:autoSpaceDN w:val="0"/>
        <w:adjustRightInd w:val="0"/>
        <w:spacing w:after="0" w:line="240" w:lineRule="auto"/>
        <w:rPr>
          <w:rFonts w:ascii="Arial" w:hAnsi="Arial" w:cs="Arial"/>
          <w:color w:val="000000"/>
          <w:sz w:val="24"/>
          <w:szCs w:val="24"/>
        </w:rPr>
      </w:pPr>
      <w:r w:rsidRPr="006C3E71">
        <w:rPr>
          <w:rFonts w:ascii="Arial" w:eastAsia="Calibri" w:hAnsi="Arial" w:cs="Arial"/>
          <w:color w:val="000000"/>
          <w:sz w:val="24"/>
          <w:szCs w:val="24"/>
        </w:rPr>
        <w:t>R</w:t>
      </w:r>
      <w:r w:rsidR="006C3E71">
        <w:rPr>
          <w:rFonts w:ascii="Arial" w:hAnsi="Arial" w:cs="Arial"/>
          <w:color w:val="000000"/>
          <w:sz w:val="24"/>
          <w:szCs w:val="24"/>
        </w:rPr>
        <w:t>ÉPONSES AUX ANOMALIES</w:t>
      </w:r>
    </w:p>
    <w:p w:rsidR="006C3E71" w:rsidRDefault="006C3E71" w:rsidP="006C3E71">
      <w:pPr>
        <w:autoSpaceDE w:val="0"/>
        <w:autoSpaceDN w:val="0"/>
        <w:adjustRightInd w:val="0"/>
        <w:spacing w:after="0" w:line="240" w:lineRule="auto"/>
        <w:rPr>
          <w:rFonts w:ascii="Arial" w:hAnsi="Arial" w:cs="Arial"/>
          <w:color w:val="000000"/>
          <w:sz w:val="24"/>
          <w:szCs w:val="24"/>
        </w:rPr>
      </w:pPr>
    </w:p>
    <w:tbl>
      <w:tblPr>
        <w:tblStyle w:val="Grilledutableau"/>
        <w:tblW w:w="0" w:type="auto"/>
        <w:tblLook w:val="04A0"/>
      </w:tblPr>
      <w:tblGrid>
        <w:gridCol w:w="1809"/>
        <w:gridCol w:w="7403"/>
      </w:tblGrid>
      <w:tr w:rsidR="006C3E71" w:rsidTr="00E44B15">
        <w:tc>
          <w:tcPr>
            <w:tcW w:w="1809" w:type="dxa"/>
          </w:tcPr>
          <w:p w:rsidR="006C3E71" w:rsidRDefault="00E44B15" w:rsidP="006C3E71">
            <w:pPr>
              <w:autoSpaceDE w:val="0"/>
              <w:autoSpaceDN w:val="0"/>
              <w:adjustRightInd w:val="0"/>
              <w:rPr>
                <w:rFonts w:ascii="Arial" w:eastAsia="Calibri" w:hAnsi="Arial" w:cs="Arial"/>
                <w:color w:val="000000"/>
                <w:sz w:val="24"/>
                <w:szCs w:val="24"/>
              </w:rPr>
            </w:pPr>
            <w:r>
              <w:rPr>
                <w:rFonts w:ascii="Arial" w:eastAsia="Calibri" w:hAnsi="Arial" w:cs="Arial"/>
                <w:color w:val="000000"/>
                <w:sz w:val="24"/>
                <w:szCs w:val="24"/>
              </w:rPr>
              <w:t>Date</w:t>
            </w:r>
          </w:p>
        </w:tc>
        <w:tc>
          <w:tcPr>
            <w:tcW w:w="7403" w:type="dxa"/>
          </w:tcPr>
          <w:p w:rsidR="006C3E71" w:rsidRDefault="00E44B15" w:rsidP="006C3E71">
            <w:pPr>
              <w:autoSpaceDE w:val="0"/>
              <w:autoSpaceDN w:val="0"/>
              <w:adjustRightInd w:val="0"/>
              <w:rPr>
                <w:rFonts w:ascii="Arial" w:eastAsia="Calibri" w:hAnsi="Arial" w:cs="Arial"/>
                <w:color w:val="000000"/>
                <w:sz w:val="24"/>
                <w:szCs w:val="24"/>
              </w:rPr>
            </w:pPr>
            <w:r>
              <w:rPr>
                <w:rFonts w:ascii="Arial" w:eastAsia="Calibri" w:hAnsi="Arial" w:cs="Arial"/>
                <w:color w:val="000000"/>
                <w:sz w:val="24"/>
                <w:szCs w:val="24"/>
              </w:rPr>
              <w:t>Réponse</w:t>
            </w:r>
          </w:p>
        </w:tc>
      </w:tr>
      <w:tr w:rsidR="00E44B15" w:rsidTr="00E44B15">
        <w:tc>
          <w:tcPr>
            <w:tcW w:w="1809" w:type="dxa"/>
          </w:tcPr>
          <w:p w:rsidR="00E44B15" w:rsidRDefault="00E44B15" w:rsidP="006C3E71">
            <w:pPr>
              <w:autoSpaceDE w:val="0"/>
              <w:autoSpaceDN w:val="0"/>
              <w:adjustRightInd w:val="0"/>
              <w:rPr>
                <w:rFonts w:ascii="Arial" w:eastAsia="Calibri" w:hAnsi="Arial" w:cs="Arial"/>
                <w:color w:val="000000"/>
                <w:sz w:val="24"/>
                <w:szCs w:val="24"/>
              </w:rPr>
            </w:pPr>
            <w:r>
              <w:t>16 octobre 2014</w:t>
            </w:r>
          </w:p>
        </w:tc>
        <w:tc>
          <w:tcPr>
            <w:tcW w:w="7403" w:type="dxa"/>
          </w:tcPr>
          <w:p w:rsidR="00E44B15" w:rsidRDefault="00E44B15" w:rsidP="006C3E71">
            <w:pPr>
              <w:autoSpaceDE w:val="0"/>
              <w:autoSpaceDN w:val="0"/>
              <w:adjustRightInd w:val="0"/>
              <w:rPr>
                <w:rFonts w:ascii="Arial" w:eastAsia="Calibri" w:hAnsi="Arial" w:cs="Arial"/>
                <w:color w:val="000000"/>
                <w:sz w:val="24"/>
                <w:szCs w:val="24"/>
              </w:rPr>
            </w:pPr>
            <w:r>
              <w:t>Il s’agit d’indisponibilité des données</w:t>
            </w:r>
          </w:p>
        </w:tc>
      </w:tr>
      <w:tr w:rsidR="006C3E71" w:rsidTr="00E44B15">
        <w:tc>
          <w:tcPr>
            <w:tcW w:w="1809" w:type="dxa"/>
          </w:tcPr>
          <w:p w:rsidR="006C3E71" w:rsidRDefault="00E44B15" w:rsidP="006C3E71">
            <w:pPr>
              <w:autoSpaceDE w:val="0"/>
              <w:autoSpaceDN w:val="0"/>
              <w:adjustRightInd w:val="0"/>
              <w:rPr>
                <w:rFonts w:ascii="Arial" w:eastAsia="Calibri" w:hAnsi="Arial" w:cs="Arial"/>
                <w:color w:val="000000"/>
                <w:sz w:val="24"/>
                <w:szCs w:val="24"/>
              </w:rPr>
            </w:pPr>
            <w:r>
              <w:t>16 mars 2015</w:t>
            </w:r>
          </w:p>
        </w:tc>
        <w:tc>
          <w:tcPr>
            <w:tcW w:w="7403" w:type="dxa"/>
          </w:tcPr>
          <w:p w:rsidR="00E44B15" w:rsidRDefault="00E44B15" w:rsidP="00E44B15">
            <w:pPr>
              <w:jc w:val="both"/>
            </w:pPr>
            <w:r>
              <w:t>Deux éléments apportent une explication à ce constat :</w:t>
            </w:r>
          </w:p>
          <w:p w:rsidR="00E44B15" w:rsidRDefault="00E44B15" w:rsidP="00E44B15">
            <w:pPr>
              <w:pStyle w:val="Paragraphedeliste"/>
              <w:numPr>
                <w:ilvl w:val="0"/>
                <w:numId w:val="1"/>
              </w:numPr>
              <w:jc w:val="both"/>
            </w:pPr>
            <w:r>
              <w:t>On compte des licences et non des licenciés. De ce fait, une même personne ayant une licence dans deux fédérations différentes comptera pour 2.</w:t>
            </w:r>
          </w:p>
          <w:p w:rsidR="0069595C" w:rsidRPr="0069595C" w:rsidRDefault="00B94E24" w:rsidP="0069595C">
            <w:pPr>
              <w:pStyle w:val="Paragraphedeliste"/>
              <w:numPr>
                <w:ilvl w:val="0"/>
                <w:numId w:val="1"/>
              </w:numPr>
              <w:jc w:val="both"/>
              <w:rPr>
                <w:rFonts w:ascii="Arial" w:eastAsia="Calibri" w:hAnsi="Arial" w:cs="Arial"/>
                <w:color w:val="000000"/>
                <w:sz w:val="24"/>
                <w:szCs w:val="24"/>
              </w:rPr>
            </w:pPr>
            <w:r>
              <w:t>Comme cela est indiqué dans la documentation jointe aux bases, c</w:t>
            </w:r>
            <w:r w:rsidR="00E44B15">
              <w:t>ertaines fédérations du sport scolaire, notamment l’Union Nationale du Sport Scolaire (UNSS), recensent leurs licences au lieu de prise de licence, c’est-à-dire l’établissement scolaire, et non au lieu d’habitation. De ce fait, cela augmente « artificiellement » le nombre de licences dans les communes possédant des écoles. Il a été décidé malgré tout de prendre en compte ces données pour deux raisons. Tout d’abord, les fédérations font l’effort de partager leurs données, il donc important de les valoriser. Ensuite, même si il peut se produire le phénomène constaté ici, cela permet d’avoir une analyse correcte sur la zone de la commune concernée, même si un certain nombre de licences localisées sur la commune de Nantes sont vraisemblablement localisées sur des communes limitrophes à Nantes.</w:t>
            </w:r>
          </w:p>
        </w:tc>
      </w:tr>
    </w:tbl>
    <w:p w:rsidR="006C3E71" w:rsidRPr="006C3E71" w:rsidRDefault="006C3E71" w:rsidP="006C3E71">
      <w:pPr>
        <w:autoSpaceDE w:val="0"/>
        <w:autoSpaceDN w:val="0"/>
        <w:adjustRightInd w:val="0"/>
        <w:spacing w:after="0" w:line="240" w:lineRule="auto"/>
        <w:rPr>
          <w:rFonts w:ascii="Arial" w:eastAsia="Calibri" w:hAnsi="Arial" w:cs="Arial"/>
          <w:color w:val="000000"/>
          <w:sz w:val="24"/>
          <w:szCs w:val="24"/>
        </w:rPr>
      </w:pPr>
    </w:p>
    <w:p w:rsidR="00E06F40" w:rsidRDefault="00E06F40" w:rsidP="00837F9D">
      <w:pPr>
        <w:spacing w:after="0"/>
        <w:jc w:val="both"/>
      </w:pPr>
    </w:p>
    <w:sectPr w:rsidR="00E06F40" w:rsidSect="00AF4F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A34F8"/>
    <w:multiLevelType w:val="hybridMultilevel"/>
    <w:tmpl w:val="CF16070A"/>
    <w:lvl w:ilvl="0" w:tplc="9E9AF08C">
      <w:start w:val="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E06F40"/>
    <w:rsid w:val="0069595C"/>
    <w:rsid w:val="006C3E71"/>
    <w:rsid w:val="00747934"/>
    <w:rsid w:val="0082188B"/>
    <w:rsid w:val="00837F9D"/>
    <w:rsid w:val="00AF4F19"/>
    <w:rsid w:val="00B94E24"/>
    <w:rsid w:val="00D34A17"/>
    <w:rsid w:val="00E06F40"/>
    <w:rsid w:val="00E44B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1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6F40"/>
    <w:pPr>
      <w:ind w:left="720"/>
      <w:contextualSpacing/>
    </w:pPr>
  </w:style>
  <w:style w:type="paragraph" w:styleId="Textedebulles">
    <w:name w:val="Balloon Text"/>
    <w:basedOn w:val="Normal"/>
    <w:link w:val="TextedebullesCar"/>
    <w:uiPriority w:val="99"/>
    <w:semiHidden/>
    <w:unhideWhenUsed/>
    <w:rsid w:val="006C3E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3E71"/>
    <w:rPr>
      <w:rFonts w:ascii="Tahoma" w:hAnsi="Tahoma" w:cs="Tahoma"/>
      <w:sz w:val="16"/>
      <w:szCs w:val="16"/>
    </w:rPr>
  </w:style>
  <w:style w:type="table" w:styleId="Grilledutableau">
    <w:name w:val="Table Grid"/>
    <w:basedOn w:val="TableauNormal"/>
    <w:uiPriority w:val="59"/>
    <w:rsid w:val="006C3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199</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MSS</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dcterms:created xsi:type="dcterms:W3CDTF">2015-03-20T09:17:00Z</dcterms:created>
  <dcterms:modified xsi:type="dcterms:W3CDTF">2015-03-24T10:50:00Z</dcterms:modified>
</cp:coreProperties>
</file>