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F9419" w14:textId="06F2554F" w:rsidR="00265FE3" w:rsidRPr="00616D3E" w:rsidRDefault="00D0575A" w:rsidP="00265FE3">
      <w:pPr>
        <w:spacing w:after="0"/>
        <w:rPr>
          <w:b/>
          <w:lang w:val="en-US"/>
        </w:rPr>
      </w:pPr>
      <w:bookmarkStart w:id="0" w:name="_GoBack"/>
      <w:bookmarkEnd w:id="0"/>
      <w:r w:rsidRPr="00616D3E">
        <w:rPr>
          <w:b/>
          <w:lang w:val="en-US"/>
        </w:rPr>
        <w:t>Bachelor Thesis</w:t>
      </w:r>
    </w:p>
    <w:p w14:paraId="7D3181EF" w14:textId="77777777" w:rsidR="00265FE3" w:rsidRPr="00616D3E" w:rsidRDefault="00265FE3" w:rsidP="00265FE3">
      <w:pPr>
        <w:spacing w:after="0"/>
        <w:rPr>
          <w:b/>
          <w:lang w:val="en-US"/>
        </w:rPr>
      </w:pPr>
    </w:p>
    <w:p w14:paraId="3885910A" w14:textId="77777777" w:rsidR="007A4BA7" w:rsidRDefault="00265FE3" w:rsidP="00265FE3">
      <w:pPr>
        <w:spacing w:after="0"/>
        <w:rPr>
          <w:lang w:val="en-US"/>
        </w:rPr>
      </w:pPr>
      <w:r w:rsidRPr="00D0575A">
        <w:rPr>
          <w:b/>
          <w:lang w:val="en-US"/>
        </w:rPr>
        <w:t xml:space="preserve">Thema: </w:t>
      </w:r>
      <w:r w:rsidRPr="00D0575A">
        <w:rPr>
          <w:lang w:val="en-US"/>
        </w:rPr>
        <w:t>The influence of the investment horizon on the asset allocation</w:t>
      </w:r>
      <w:r w:rsidR="00616D3E">
        <w:rPr>
          <w:lang w:val="en-US"/>
        </w:rPr>
        <w:t xml:space="preserve"> </w:t>
      </w:r>
    </w:p>
    <w:p w14:paraId="6F529B97" w14:textId="771A112F" w:rsidR="00265FE3" w:rsidRPr="00D0575A" w:rsidRDefault="007A4BA7" w:rsidP="007A4BA7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 </w:t>
      </w:r>
      <w:r w:rsidR="00616D3E">
        <w:rPr>
          <w:lang w:val="en-US"/>
        </w:rPr>
        <w:t>(in continuation of the Projektarbeit of fall 2018)</w:t>
      </w:r>
    </w:p>
    <w:p w14:paraId="4F27F41A" w14:textId="77777777" w:rsidR="00265FE3" w:rsidRPr="00D0575A" w:rsidRDefault="00265FE3" w:rsidP="00265FE3">
      <w:pPr>
        <w:spacing w:after="0"/>
        <w:rPr>
          <w:b/>
          <w:lang w:val="en-US"/>
        </w:rPr>
      </w:pPr>
    </w:p>
    <w:p w14:paraId="4ACC7A36" w14:textId="0B5B3D1E" w:rsidR="00265FE3" w:rsidRPr="00A65CDE" w:rsidRDefault="00D0575A" w:rsidP="00265FE3">
      <w:pPr>
        <w:spacing w:after="0"/>
        <w:rPr>
          <w:b/>
          <w:lang w:val="en-US"/>
        </w:rPr>
      </w:pPr>
      <w:r w:rsidRPr="00A65CDE">
        <w:rPr>
          <w:b/>
          <w:lang w:val="en-US"/>
        </w:rPr>
        <w:t>Students</w:t>
      </w:r>
      <w:r w:rsidR="00265FE3" w:rsidRPr="00A65CDE">
        <w:rPr>
          <w:b/>
          <w:lang w:val="en-US"/>
        </w:rPr>
        <w:t xml:space="preserve">: </w:t>
      </w:r>
    </w:p>
    <w:p w14:paraId="2179519F" w14:textId="77777777" w:rsidR="00265FE3" w:rsidRPr="00A65CDE" w:rsidRDefault="00265FE3" w:rsidP="00265FE3">
      <w:pPr>
        <w:spacing w:after="0"/>
        <w:rPr>
          <w:lang w:val="en-US"/>
        </w:rPr>
      </w:pPr>
      <w:r w:rsidRPr="00A65CDE">
        <w:rPr>
          <w:lang w:val="en-US"/>
        </w:rPr>
        <w:t>- Fabio Simone Bührer, buehrfab (WI)</w:t>
      </w:r>
    </w:p>
    <w:p w14:paraId="463CF8BC" w14:textId="77777777" w:rsidR="00265FE3" w:rsidRPr="00A65CDE" w:rsidRDefault="00265FE3" w:rsidP="00265FE3">
      <w:pPr>
        <w:spacing w:after="0"/>
        <w:rPr>
          <w:lang w:val="en-US"/>
        </w:rPr>
      </w:pPr>
      <w:r w:rsidRPr="00A65CDE">
        <w:rPr>
          <w:lang w:val="en-US"/>
        </w:rPr>
        <w:t>- Joël Fabian Meili, meilijoe (WI)</w:t>
      </w:r>
    </w:p>
    <w:p w14:paraId="2C1F1213" w14:textId="77777777" w:rsidR="00265FE3" w:rsidRPr="00A65CDE" w:rsidRDefault="00265FE3" w:rsidP="00265FE3">
      <w:pPr>
        <w:spacing w:after="0"/>
        <w:rPr>
          <w:b/>
          <w:lang w:val="en-US"/>
        </w:rPr>
      </w:pPr>
    </w:p>
    <w:p w14:paraId="3F052B35" w14:textId="77777777" w:rsidR="00265FE3" w:rsidRPr="00D0575A" w:rsidRDefault="00265FE3" w:rsidP="00265FE3">
      <w:pPr>
        <w:spacing w:after="0"/>
        <w:rPr>
          <w:lang w:val="en-US"/>
        </w:rPr>
      </w:pPr>
      <w:r w:rsidRPr="00D0575A">
        <w:rPr>
          <w:b/>
          <w:lang w:val="en-US"/>
        </w:rPr>
        <w:t xml:space="preserve">Hauptbetreuer: </w:t>
      </w:r>
      <w:r w:rsidRPr="00D0575A">
        <w:rPr>
          <w:lang w:val="en-US"/>
        </w:rPr>
        <w:t>Christoph Schmidhuber, scdh</w:t>
      </w:r>
    </w:p>
    <w:p w14:paraId="445774F5" w14:textId="77777777" w:rsidR="00265FE3" w:rsidRPr="00D0575A" w:rsidRDefault="00265FE3" w:rsidP="00265FE3">
      <w:pPr>
        <w:spacing w:after="0"/>
        <w:rPr>
          <w:b/>
          <w:lang w:val="en-US"/>
        </w:rPr>
      </w:pPr>
    </w:p>
    <w:p w14:paraId="6A2EB9A3" w14:textId="77777777" w:rsidR="00265FE3" w:rsidRPr="00D0575A" w:rsidRDefault="00D9599E" w:rsidP="0056758E">
      <w:pPr>
        <w:spacing w:after="240"/>
        <w:rPr>
          <w:b/>
          <w:lang w:val="en-US"/>
        </w:rPr>
      </w:pPr>
      <w:r w:rsidRPr="00D0575A">
        <w:rPr>
          <w:b/>
          <w:lang w:val="en-US"/>
        </w:rPr>
        <w:t>Description</w:t>
      </w:r>
    </w:p>
    <w:p w14:paraId="1D948BDE" w14:textId="43E34C14" w:rsidR="0056758E" w:rsidRPr="00D0575A" w:rsidRDefault="00265FE3" w:rsidP="00265FE3">
      <w:pPr>
        <w:spacing w:after="240"/>
        <w:rPr>
          <w:lang w:val="en-US"/>
        </w:rPr>
      </w:pPr>
      <w:r w:rsidRPr="00D0575A">
        <w:rPr>
          <w:lang w:val="en-US"/>
        </w:rPr>
        <w:t xml:space="preserve">Mean-variance portfolio optimization </w:t>
      </w:r>
      <w:r w:rsidR="00873795" w:rsidRPr="00D0575A">
        <w:rPr>
          <w:lang w:val="en-US"/>
        </w:rPr>
        <w:t xml:space="preserve">is based on </w:t>
      </w:r>
      <w:r w:rsidRPr="00D0575A">
        <w:rPr>
          <w:lang w:val="en-US"/>
        </w:rPr>
        <w:t xml:space="preserve">the </w:t>
      </w:r>
      <w:r w:rsidR="00873795" w:rsidRPr="00D0575A">
        <w:rPr>
          <w:lang w:val="en-US"/>
        </w:rPr>
        <w:t>assumption</w:t>
      </w:r>
      <w:r w:rsidR="00EC52BE" w:rsidRPr="00D0575A">
        <w:rPr>
          <w:lang w:val="en-US"/>
        </w:rPr>
        <w:t xml:space="preserve"> that the </w:t>
      </w:r>
      <w:r w:rsidRPr="00D0575A">
        <w:rPr>
          <w:lang w:val="en-US"/>
        </w:rPr>
        <w:t>standard deviation is a suitable me</w:t>
      </w:r>
      <w:r w:rsidR="007443A0" w:rsidRPr="00D0575A">
        <w:rPr>
          <w:lang w:val="en-US"/>
        </w:rPr>
        <w:t xml:space="preserve">asure of risk for all investors. </w:t>
      </w:r>
      <w:r w:rsidR="0056758E" w:rsidRPr="00D0575A">
        <w:rPr>
          <w:lang w:val="en-US"/>
        </w:rPr>
        <w:t>Un</w:t>
      </w:r>
      <w:r w:rsidRPr="00D0575A">
        <w:rPr>
          <w:lang w:val="en-US"/>
        </w:rPr>
        <w:t>der th</w:t>
      </w:r>
      <w:r w:rsidR="007443A0" w:rsidRPr="00D0575A">
        <w:rPr>
          <w:lang w:val="en-US"/>
        </w:rPr>
        <w:t>is</w:t>
      </w:r>
      <w:r w:rsidRPr="00D0575A">
        <w:rPr>
          <w:lang w:val="en-US"/>
        </w:rPr>
        <w:t xml:space="preserve"> assumption, the optimal portfolio does not depend on the investment horizon </w:t>
      </w:r>
      <m:oMath>
        <m:r>
          <w:rPr>
            <w:rFonts w:ascii="Cambria Math" w:hAnsi="Cambria Math" w:cstheme="minorHAnsi"/>
            <w:lang w:val="fr-CH"/>
          </w:rPr>
          <m:t>T</m:t>
        </m:r>
      </m:oMath>
      <w:r w:rsidR="00873795" w:rsidRPr="00D0575A">
        <w:rPr>
          <w:lang w:val="en-US"/>
        </w:rPr>
        <w:t xml:space="preserve"> </w:t>
      </w:r>
      <w:r w:rsidRPr="00D0575A">
        <w:rPr>
          <w:lang w:val="en-US"/>
        </w:rPr>
        <w:t>of the investor</w:t>
      </w:r>
      <w:r w:rsidR="00A13356">
        <w:rPr>
          <w:lang w:val="en-US"/>
        </w:rPr>
        <w:t>.</w:t>
      </w:r>
      <w:r w:rsidR="0056758E" w:rsidRPr="00D0575A">
        <w:rPr>
          <w:lang w:val="en-US"/>
        </w:rPr>
        <w:t xml:space="preserve"> </w:t>
      </w:r>
    </w:p>
    <w:p w14:paraId="07109A41" w14:textId="46F3881C" w:rsidR="00EA625B" w:rsidRDefault="00873795" w:rsidP="0056758E">
      <w:pPr>
        <w:spacing w:after="240"/>
        <w:rPr>
          <w:lang w:val="en-US"/>
        </w:rPr>
      </w:pPr>
      <w:r w:rsidRPr="00D0575A">
        <w:rPr>
          <w:lang w:val="en-US"/>
        </w:rPr>
        <w:t xml:space="preserve">In practise, however, </w:t>
      </w:r>
      <w:r w:rsidR="007443A0" w:rsidRPr="00D0575A">
        <w:rPr>
          <w:lang w:val="en-US"/>
        </w:rPr>
        <w:t xml:space="preserve">investors are </w:t>
      </w:r>
      <w:r w:rsidR="00EA625B">
        <w:rPr>
          <w:lang w:val="en-US"/>
        </w:rPr>
        <w:t xml:space="preserve">not only concerned about the standard deviation of returns, but also about </w:t>
      </w:r>
      <w:r w:rsidR="007443A0" w:rsidRPr="00D0575A">
        <w:rPr>
          <w:lang w:val="en-US"/>
        </w:rPr>
        <w:t xml:space="preserve">«tail risk». </w:t>
      </w:r>
      <w:r w:rsidR="00EA625B" w:rsidRPr="00D0575A">
        <w:rPr>
          <w:lang w:val="en-US"/>
        </w:rPr>
        <w:t xml:space="preserve">This </w:t>
      </w:r>
      <w:r w:rsidR="00A13356">
        <w:rPr>
          <w:lang w:val="en-US"/>
        </w:rPr>
        <w:t>ha</w:t>
      </w:r>
      <w:r w:rsidR="00EA625B">
        <w:rPr>
          <w:lang w:val="en-US"/>
        </w:rPr>
        <w:t>s important</w:t>
      </w:r>
      <w:r w:rsidR="00EA625B" w:rsidRPr="00D0575A">
        <w:rPr>
          <w:lang w:val="en-US"/>
        </w:rPr>
        <w:t xml:space="preserve"> </w:t>
      </w:r>
      <w:r w:rsidR="00A13356">
        <w:rPr>
          <w:lang w:val="en-US"/>
        </w:rPr>
        <w:t xml:space="preserve">implications </w:t>
      </w:r>
      <w:r w:rsidR="00EA625B" w:rsidRPr="00D0575A">
        <w:rPr>
          <w:lang w:val="en-US"/>
        </w:rPr>
        <w:t>for the</w:t>
      </w:r>
      <w:r w:rsidR="00A13356">
        <w:rPr>
          <w:lang w:val="en-US"/>
        </w:rPr>
        <w:t>ir</w:t>
      </w:r>
      <w:r w:rsidR="00EA625B" w:rsidRPr="00D0575A">
        <w:rPr>
          <w:lang w:val="en-US"/>
        </w:rPr>
        <w:t xml:space="preserve"> asset allocation, because the return distributions of most assets are not normal, but have</w:t>
      </w:r>
      <w:r w:rsidR="00A13356">
        <w:rPr>
          <w:lang w:val="en-US"/>
        </w:rPr>
        <w:t xml:space="preserve"> different degrees of</w:t>
      </w:r>
      <w:r w:rsidR="00EA625B" w:rsidRPr="00D0575A">
        <w:rPr>
          <w:lang w:val="en-US"/>
        </w:rPr>
        <w:t xml:space="preserve"> «</w:t>
      </w:r>
      <w:r w:rsidR="00EA625B">
        <w:rPr>
          <w:lang w:val="en-US"/>
        </w:rPr>
        <w:t>f</w:t>
      </w:r>
      <w:r w:rsidR="00EA625B" w:rsidRPr="00D0575A">
        <w:rPr>
          <w:lang w:val="en-US"/>
        </w:rPr>
        <w:t xml:space="preserve">at </w:t>
      </w:r>
      <w:r w:rsidR="00EA625B">
        <w:rPr>
          <w:lang w:val="en-US"/>
        </w:rPr>
        <w:t>t</w:t>
      </w:r>
      <w:r w:rsidR="00EA625B" w:rsidRPr="00D0575A">
        <w:rPr>
          <w:lang w:val="en-US"/>
        </w:rPr>
        <w:t>ails»</w:t>
      </w:r>
      <w:r w:rsidR="00A13356">
        <w:rPr>
          <w:lang w:val="en-US"/>
        </w:rPr>
        <w:t>.</w:t>
      </w:r>
      <w:r w:rsidR="00EA625B" w:rsidRPr="00D0575A">
        <w:rPr>
          <w:lang w:val="en-US"/>
        </w:rPr>
        <w:t xml:space="preserve"> </w:t>
      </w:r>
    </w:p>
    <w:p w14:paraId="06C20198" w14:textId="581C90D4" w:rsidR="001D31D4" w:rsidRDefault="001D31D4" w:rsidP="001D31D4">
      <w:pPr>
        <w:spacing w:after="240"/>
        <w:rPr>
          <w:lang w:val="en-US"/>
        </w:rPr>
      </w:pPr>
      <w:r>
        <w:rPr>
          <w:lang w:val="en-US"/>
        </w:rPr>
        <w:t xml:space="preserve">The goal </w:t>
      </w:r>
      <w:r w:rsidR="007A4BA7">
        <w:rPr>
          <w:lang w:val="en-US"/>
        </w:rPr>
        <w:t>of</w:t>
      </w:r>
      <w:r>
        <w:rPr>
          <w:lang w:val="en-US"/>
        </w:rPr>
        <w:t xml:space="preserve"> this thesis is to show how tail risk can be accounted for in the optimization process</w:t>
      </w:r>
      <w:r w:rsidR="001E5818">
        <w:rPr>
          <w:lang w:val="en-US"/>
        </w:rPr>
        <w:t>. We match t</w:t>
      </w:r>
      <w:r w:rsidR="005719A5">
        <w:rPr>
          <w:lang w:val="en-US"/>
        </w:rPr>
        <w:t>he optimal amount of tail risk with the</w:t>
      </w:r>
      <w:r w:rsidR="008B4B8F">
        <w:rPr>
          <w:lang w:val="en-US"/>
        </w:rPr>
        <w:t xml:space="preserve"> investor’s</w:t>
      </w:r>
      <w:r w:rsidR="005719A5">
        <w:rPr>
          <w:lang w:val="en-US"/>
        </w:rPr>
        <w:t xml:space="preserve"> investment horizon </w:t>
      </w:r>
      <m:oMath>
        <m:r>
          <w:rPr>
            <w:rFonts w:ascii="Cambria Math" w:hAnsi="Cambria Math" w:cstheme="minorHAnsi"/>
            <w:lang w:val="fr-CH"/>
          </w:rPr>
          <m:t>T</m:t>
        </m:r>
      </m:oMath>
      <w:r w:rsidR="001E5818">
        <w:rPr>
          <w:lang w:val="en-US"/>
        </w:rPr>
        <w:t xml:space="preserve">. </w:t>
      </w:r>
      <w:r w:rsidR="008B4B8F">
        <w:rPr>
          <w:lang w:val="en-US"/>
        </w:rPr>
        <w:t>For a given overall risk appetite, t</w:t>
      </w:r>
      <w:r w:rsidR="005719A5">
        <w:rPr>
          <w:lang w:val="en-US"/>
        </w:rPr>
        <w:t xml:space="preserve">his yields different </w:t>
      </w:r>
      <w:r>
        <w:rPr>
          <w:lang w:val="en-US"/>
        </w:rPr>
        <w:t xml:space="preserve">optimal asset allocations </w:t>
      </w:r>
      <w:r w:rsidR="005719A5">
        <w:rPr>
          <w:lang w:val="en-US"/>
        </w:rPr>
        <w:t xml:space="preserve">for long- </w:t>
      </w:r>
      <w:r w:rsidR="001E5818">
        <w:rPr>
          <w:lang w:val="en-US"/>
        </w:rPr>
        <w:t>vs.</w:t>
      </w:r>
      <w:r w:rsidR="005719A5">
        <w:rPr>
          <w:lang w:val="en-US"/>
        </w:rPr>
        <w:t xml:space="preserve"> short-term investors</w:t>
      </w:r>
      <w:r w:rsidR="001E5818">
        <w:rPr>
          <w:lang w:val="en-US"/>
        </w:rPr>
        <w:t>.</w:t>
      </w:r>
    </w:p>
    <w:p w14:paraId="677B90CB" w14:textId="5960C97F" w:rsidR="00873795" w:rsidRPr="00616D3E" w:rsidRDefault="001D31D4" w:rsidP="0056758E">
      <w:pPr>
        <w:spacing w:after="240"/>
        <w:rPr>
          <w:lang w:val="en-US"/>
        </w:rPr>
      </w:pPr>
      <w:r>
        <w:rPr>
          <w:lang w:val="en-US"/>
        </w:rPr>
        <w:t>C</w:t>
      </w:r>
      <w:r w:rsidR="00873795" w:rsidRPr="00D0575A">
        <w:rPr>
          <w:lang w:val="en-US"/>
        </w:rPr>
        <w:t>ommon and suitable risk measure</w:t>
      </w:r>
      <w:r>
        <w:rPr>
          <w:lang w:val="en-US"/>
        </w:rPr>
        <w:t>s</w:t>
      </w:r>
      <w:r w:rsidR="00873795" w:rsidRPr="00D0575A">
        <w:rPr>
          <w:lang w:val="en-US"/>
        </w:rPr>
        <w:t xml:space="preserve"> </w:t>
      </w:r>
      <w:r w:rsidR="00D9599E" w:rsidRPr="00D0575A">
        <w:rPr>
          <w:lang w:val="en-US"/>
        </w:rPr>
        <w:t>that account for</w:t>
      </w:r>
      <w:r w:rsidR="00873795" w:rsidRPr="00D0575A">
        <w:rPr>
          <w:lang w:val="en-US"/>
        </w:rPr>
        <w:t xml:space="preserve"> «</w:t>
      </w:r>
      <w:r w:rsidR="00FC3393" w:rsidRPr="00D0575A">
        <w:rPr>
          <w:lang w:val="en-US"/>
        </w:rPr>
        <w:t>Fat T</w:t>
      </w:r>
      <w:r w:rsidR="00873795" w:rsidRPr="00D0575A">
        <w:rPr>
          <w:lang w:val="en-US"/>
        </w:rPr>
        <w:t>ail</w:t>
      </w:r>
      <w:r w:rsidR="00FC3393" w:rsidRPr="00D0575A">
        <w:rPr>
          <w:lang w:val="en-US"/>
        </w:rPr>
        <w:t>s</w:t>
      </w:r>
      <w:r w:rsidR="00873795" w:rsidRPr="00D0575A">
        <w:rPr>
          <w:lang w:val="en-US"/>
        </w:rPr>
        <w:t xml:space="preserve">» </w:t>
      </w:r>
      <w:r>
        <w:rPr>
          <w:lang w:val="en-US"/>
        </w:rPr>
        <w:t xml:space="preserve">are </w:t>
      </w:r>
      <w:r w:rsidR="00873795" w:rsidRPr="00D0575A">
        <w:rPr>
          <w:lang w:val="en-US"/>
        </w:rPr>
        <w:t>Value at Risk</w:t>
      </w:r>
      <w:r w:rsidR="00C02E6D" w:rsidRPr="00D0575A">
        <w:rPr>
          <w:lang w:val="en-US"/>
        </w:rPr>
        <w:t xml:space="preserve"> (VaR)</w:t>
      </w:r>
      <w:r>
        <w:rPr>
          <w:lang w:val="en-US"/>
        </w:rPr>
        <w:t xml:space="preserve"> and expected shortfall (ES) under a chosen VaR target.</w:t>
      </w:r>
      <w:r w:rsidR="00873795" w:rsidRPr="00D0575A">
        <w:rPr>
          <w:lang w:val="en-US"/>
        </w:rPr>
        <w:t xml:space="preserve"> </w:t>
      </w:r>
      <w:r w:rsidR="005719A5">
        <w:rPr>
          <w:lang w:val="en-US"/>
        </w:rPr>
        <w:t>W</w:t>
      </w:r>
      <w:r w:rsidR="00873795" w:rsidRPr="00616D3E">
        <w:rPr>
          <w:lang w:val="en-US"/>
        </w:rPr>
        <w:t xml:space="preserve">e </w:t>
      </w:r>
      <w:r w:rsidR="00616D3E">
        <w:rPr>
          <w:lang w:val="en-US"/>
        </w:rPr>
        <w:t>consider</w:t>
      </w:r>
    </w:p>
    <w:p w14:paraId="0A6EB2A9" w14:textId="58893215" w:rsidR="0056758E" w:rsidRDefault="00873795" w:rsidP="00873795">
      <w:pPr>
        <w:spacing w:after="240"/>
        <w:jc w:val="center"/>
      </w:pPr>
      <m:oMathPara>
        <m:oMath>
          <m:r>
            <w:rPr>
              <w:rFonts w:ascii="Cambria Math" w:hAnsi="Cambria Math" w:cstheme="minorHAnsi"/>
              <w:lang w:val="fr-CH"/>
            </w:rPr>
            <m:t>V</m:t>
          </m:r>
          <m:d>
            <m:dPr>
              <m:ctrlPr>
                <w:rPr>
                  <w:rFonts w:ascii="Cambria Math" w:hAnsi="Cambria Math" w:cstheme="minorHAnsi"/>
                  <w:i/>
                  <w:lang w:val="fr-CH"/>
                </w:rPr>
              </m:ctrlPr>
            </m:dPr>
            <m:e>
              <m:r>
                <w:rPr>
                  <w:rFonts w:ascii="Cambria Math" w:hAnsi="Cambria Math" w:cstheme="minorHAnsi"/>
                  <w:lang w:val="fr-CH"/>
                </w:rPr>
                <m:t>T</m:t>
              </m:r>
            </m:e>
          </m:d>
          <m:r>
            <w:rPr>
              <w:rFonts w:ascii="Cambria Math" w:eastAsia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VaR over a given investment horizon </m:t>
          </m:r>
          <m:r>
            <w:rPr>
              <w:rFonts w:ascii="Cambria Math" w:hAnsi="Cambria Math" w:cstheme="minorHAnsi"/>
            </w:rPr>
            <m:t>T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in days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 at confidence level C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=1-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26'000</m:t>
              </m:r>
            </m:den>
          </m:f>
        </m:oMath>
      </m:oMathPara>
    </w:p>
    <w:p w14:paraId="5351CDC6" w14:textId="74441129" w:rsidR="00EA625B" w:rsidRDefault="00453903" w:rsidP="003E1FF1">
      <w:pPr>
        <w:spacing w:after="240"/>
        <w:rPr>
          <w:rFonts w:eastAsiaTheme="minorEastAsia"/>
          <w:lang w:val="en-US"/>
        </w:rPr>
      </w:pPr>
      <w:r w:rsidRPr="00D0575A">
        <w:rPr>
          <w:rFonts w:eastAsiaTheme="minorEastAsia"/>
          <w:lang w:val="en-US"/>
        </w:rPr>
        <w:t xml:space="preserve">Thus, </w:t>
      </w:r>
      <m:oMath>
        <m:r>
          <w:rPr>
            <w:rFonts w:ascii="Cambria Math" w:hAnsi="Cambria Math" w:cstheme="minorHAnsi"/>
            <w:lang w:val="fr-CH"/>
          </w:rPr>
          <m:t>V</m:t>
        </m:r>
      </m:oMath>
      <w:r w:rsidRPr="00D0575A">
        <w:rPr>
          <w:rFonts w:eastAsiaTheme="minorEastAsia"/>
          <w:lang w:val="en-US"/>
        </w:rPr>
        <w:t xml:space="preserve"> measures the risk of events that</w:t>
      </w:r>
      <w:r w:rsidR="00892D88">
        <w:rPr>
          <w:rFonts w:eastAsiaTheme="minorEastAsia"/>
          <w:lang w:val="en-US"/>
        </w:rPr>
        <w:t>,</w:t>
      </w:r>
      <w:r w:rsidRPr="00D0575A">
        <w:rPr>
          <w:rFonts w:eastAsiaTheme="minorEastAsia"/>
          <w:lang w:val="en-US"/>
        </w:rPr>
        <w:t xml:space="preserve"> </w:t>
      </w:r>
      <w:r w:rsidR="00616D3E">
        <w:rPr>
          <w:rFonts w:eastAsiaTheme="minorEastAsia"/>
          <w:lang w:val="en-US"/>
        </w:rPr>
        <w:t>on average</w:t>
      </w:r>
      <w:r w:rsidR="00892D88">
        <w:rPr>
          <w:rFonts w:eastAsiaTheme="minorEastAsia"/>
          <w:lang w:val="en-US"/>
        </w:rPr>
        <w:t>,</w:t>
      </w:r>
      <w:r w:rsidR="00616D3E">
        <w:rPr>
          <w:rFonts w:eastAsiaTheme="minorEastAsia"/>
          <w:lang w:val="en-US"/>
        </w:rPr>
        <w:t xml:space="preserve"> </w:t>
      </w:r>
      <w:r w:rsidRPr="00D0575A">
        <w:rPr>
          <w:rFonts w:eastAsiaTheme="minorEastAsia"/>
          <w:lang w:val="en-US"/>
        </w:rPr>
        <w:t xml:space="preserve">occur once every </w:t>
      </w:r>
      <w:r w:rsidR="001D31D4">
        <w:rPr>
          <w:rFonts w:eastAsiaTheme="minorEastAsia"/>
          <w:lang w:val="en-US"/>
        </w:rPr>
        <w:t>26</w:t>
      </w:r>
      <w:r w:rsidRPr="00D0575A">
        <w:rPr>
          <w:rFonts w:eastAsiaTheme="minorEastAsia"/>
          <w:lang w:val="en-US"/>
        </w:rPr>
        <w:t xml:space="preserve">'000 </w:t>
      </w:r>
      <w:r w:rsidR="007A4BA7">
        <w:rPr>
          <w:rFonts w:eastAsiaTheme="minorEastAsia"/>
          <w:lang w:val="en-US"/>
        </w:rPr>
        <w:t xml:space="preserve">business </w:t>
      </w:r>
      <w:r w:rsidRPr="00D0575A">
        <w:rPr>
          <w:rFonts w:eastAsiaTheme="minorEastAsia"/>
          <w:lang w:val="en-US"/>
        </w:rPr>
        <w:t xml:space="preserve">days </w:t>
      </w:r>
      <w:r w:rsidR="00616D3E">
        <w:rPr>
          <w:rFonts w:eastAsiaTheme="minorEastAsia" w:cstheme="minorHAnsi"/>
          <w:lang w:val="en-US"/>
        </w:rPr>
        <w:t>≈</w:t>
      </w:r>
      <w:r w:rsidR="00616D3E">
        <w:rPr>
          <w:rFonts w:eastAsiaTheme="minorEastAsia"/>
          <w:lang w:val="en-US"/>
        </w:rPr>
        <w:t xml:space="preserve"> 1 century</w:t>
      </w:r>
      <w:r w:rsidRPr="00D0575A">
        <w:rPr>
          <w:rFonts w:eastAsiaTheme="minorEastAsia"/>
          <w:lang w:val="en-US"/>
        </w:rPr>
        <w:t xml:space="preserve">. </w:t>
      </w:r>
      <w:r w:rsidR="00EA625B" w:rsidRPr="00D0575A">
        <w:rPr>
          <w:rFonts w:eastAsiaTheme="minorEastAsia"/>
          <w:lang w:val="en-US"/>
        </w:rPr>
        <w:t>We consider investment horizons</w:t>
      </w:r>
      <w:r w:rsidR="00EA625B">
        <w:rPr>
          <w:rFonts w:eastAsiaTheme="minorEastAsia"/>
          <w:lang w:val="en-US"/>
        </w:rPr>
        <w:t xml:space="preserve"> ranging from</w:t>
      </w:r>
      <w:r w:rsidR="00EA625B" w:rsidRPr="00D0575A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fr-CH"/>
          </w:rPr>
          <m:t>T</m:t>
        </m:r>
        <m:r>
          <w:rPr>
            <w:rFonts w:ascii="Cambria Math" w:hAnsi="Cambria Math"/>
            <w:lang w:val="en-US"/>
          </w:rPr>
          <m:t>=1</m:t>
        </m:r>
      </m:oMath>
      <w:r w:rsidR="00EA625B">
        <w:rPr>
          <w:rFonts w:eastAsiaTheme="minorEastAsia"/>
          <w:lang w:val="en-US"/>
        </w:rPr>
        <w:t xml:space="preserve"> day to</w:t>
      </w:r>
      <w:r w:rsidR="00EA625B" w:rsidRPr="00D0575A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fr-CH"/>
          </w:rPr>
          <m:t>T</m:t>
        </m:r>
        <m:r>
          <w:rPr>
            <w:rFonts w:ascii="Cambria Math" w:hAnsi="Cambria Math"/>
            <w:lang w:val="en-US"/>
          </w:rPr>
          <m:t>=10</m:t>
        </m:r>
      </m:oMath>
      <w:r w:rsidR="00EA625B">
        <w:rPr>
          <w:rFonts w:eastAsiaTheme="minorEastAsia"/>
          <w:lang w:val="en-US"/>
        </w:rPr>
        <w:t xml:space="preserve"> years.</w:t>
      </w:r>
    </w:p>
    <w:p w14:paraId="7C1C6F43" w14:textId="77777777" w:rsidR="001E5818" w:rsidRDefault="005719A5" w:rsidP="005719A5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simulate the “fat tails” of various investments, we use Student’s t-distributions with various numbers of degrees of freedoms, and certain extensions of them, namely generalized hyperbolic distributions including skewed Student’s t-distributions, as well as Poisson distributions. </w:t>
      </w:r>
    </w:p>
    <w:p w14:paraId="60296177" w14:textId="6CFCF508" w:rsidR="005719A5" w:rsidRDefault="008B4B8F" w:rsidP="005719A5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a variety of statistical tests, w</w:t>
      </w:r>
      <w:r w:rsidR="005719A5">
        <w:rPr>
          <w:rFonts w:eastAsiaTheme="minorEastAsia"/>
          <w:lang w:val="en-US"/>
        </w:rPr>
        <w:t xml:space="preserve">e calibrate the parameters of these distributions </w:t>
      </w:r>
      <w:r w:rsidR="000971B7">
        <w:rPr>
          <w:rFonts w:eastAsiaTheme="minorEastAsia"/>
          <w:lang w:val="en-US"/>
        </w:rPr>
        <w:t>to</w:t>
      </w:r>
      <w:r w:rsidR="005719A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</w:t>
      </w:r>
      <w:r w:rsidR="005719A5">
        <w:rPr>
          <w:rFonts w:eastAsiaTheme="minorEastAsia"/>
          <w:lang w:val="en-US"/>
        </w:rPr>
        <w:t xml:space="preserve">historical returns of </w:t>
      </w:r>
      <w:r w:rsidR="001E5818">
        <w:rPr>
          <w:rFonts w:eastAsiaTheme="minorEastAsia"/>
          <w:lang w:val="en-US"/>
        </w:rPr>
        <w:t>a variety of</w:t>
      </w:r>
      <w:r w:rsidR="005719A5">
        <w:rPr>
          <w:rFonts w:eastAsiaTheme="minorEastAsia"/>
          <w:lang w:val="en-US"/>
        </w:rPr>
        <w:t xml:space="preserve"> asse</w:t>
      </w:r>
      <w:r w:rsidR="001E5818">
        <w:rPr>
          <w:rFonts w:eastAsiaTheme="minorEastAsia"/>
          <w:lang w:val="en-US"/>
        </w:rPr>
        <w:t xml:space="preserve">t classes: equities, bonds, currencies, commodities, </w:t>
      </w:r>
      <w:r w:rsidR="000971B7">
        <w:rPr>
          <w:rFonts w:eastAsiaTheme="minorEastAsia"/>
          <w:lang w:val="en-US"/>
        </w:rPr>
        <w:t>and alternative invest</w:t>
      </w:r>
      <w:r w:rsidR="001E5818">
        <w:rPr>
          <w:rFonts w:eastAsiaTheme="minorEastAsia"/>
          <w:lang w:val="en-US"/>
        </w:rPr>
        <w:t xml:space="preserve">ments that include short-option strategies and insurance-linked strategies. </w:t>
      </w:r>
    </w:p>
    <w:p w14:paraId="42AF0042" w14:textId="34B04E51" w:rsidR="008B4B8F" w:rsidRDefault="00FC3393" w:rsidP="00D0575A">
      <w:pPr>
        <w:spacing w:after="0"/>
        <w:rPr>
          <w:lang w:val="en-US"/>
        </w:rPr>
      </w:pPr>
      <w:r w:rsidRPr="00D0575A">
        <w:rPr>
          <w:lang w:val="en-US"/>
        </w:rPr>
        <w:t>Using Monte Carlo Simulations</w:t>
      </w:r>
      <w:r w:rsidR="001E5818">
        <w:rPr>
          <w:lang w:val="en-US"/>
        </w:rPr>
        <w:t xml:space="preserve"> in R</w:t>
      </w:r>
      <w:r w:rsidRPr="00D0575A">
        <w:rPr>
          <w:lang w:val="en-US"/>
        </w:rPr>
        <w:t xml:space="preserve">, </w:t>
      </w:r>
      <w:r w:rsidR="000971B7">
        <w:rPr>
          <w:lang w:val="en-US"/>
        </w:rPr>
        <w:t>we</w:t>
      </w:r>
      <w:r w:rsidR="008B4B8F">
        <w:rPr>
          <w:lang w:val="en-US"/>
        </w:rPr>
        <w:t xml:space="preserve"> </w:t>
      </w:r>
      <w:r w:rsidR="00B72B0D" w:rsidRPr="00D0575A">
        <w:rPr>
          <w:lang w:val="en-US"/>
        </w:rPr>
        <w:t xml:space="preserve">construct </w:t>
      </w:r>
      <w:r w:rsidR="00E814A9">
        <w:rPr>
          <w:lang w:val="en-US"/>
        </w:rPr>
        <w:t xml:space="preserve">an </w:t>
      </w:r>
      <w:r w:rsidR="00B72B0D" w:rsidRPr="00D0575A">
        <w:rPr>
          <w:lang w:val="en-US"/>
        </w:rPr>
        <w:t>optimal strategic allocation</w:t>
      </w:r>
      <w:r w:rsidR="00E814A9">
        <w:rPr>
          <w:lang w:val="en-US"/>
        </w:rPr>
        <w:t xml:space="preserve"> to these asset classes for each target volatility </w:t>
      </w:r>
      <w:r w:rsidR="00E814A9" w:rsidRPr="00E814A9">
        <w:rPr>
          <w:i/>
          <w:lang w:val="en-US"/>
        </w:rPr>
        <w:t>and</w:t>
      </w:r>
      <w:r w:rsidR="00E814A9">
        <w:rPr>
          <w:lang w:val="en-US"/>
        </w:rPr>
        <w:t xml:space="preserve"> for </w:t>
      </w:r>
      <w:r w:rsidR="00B426D5" w:rsidRPr="00D0575A">
        <w:rPr>
          <w:lang w:val="en-US"/>
        </w:rPr>
        <w:t>each</w:t>
      </w:r>
      <w:r w:rsidR="00616D3E">
        <w:rPr>
          <w:lang w:val="en-US"/>
        </w:rPr>
        <w:t xml:space="preserve"> </w:t>
      </w:r>
      <w:r w:rsidR="00E814A9">
        <w:rPr>
          <w:lang w:val="en-US"/>
        </w:rPr>
        <w:t>investment</w:t>
      </w:r>
      <w:r w:rsidR="00616D3E">
        <w:rPr>
          <w:lang w:val="en-US"/>
        </w:rPr>
        <w:t xml:space="preserve"> horizon</w:t>
      </w:r>
      <w:r w:rsidR="00B72B0D" w:rsidRPr="00D0575A">
        <w:rPr>
          <w:lang w:val="en-US"/>
        </w:rPr>
        <w:t xml:space="preserve">. </w:t>
      </w:r>
      <w:r w:rsidR="008B4B8F">
        <w:rPr>
          <w:lang w:val="en-US"/>
        </w:rPr>
        <w:t xml:space="preserve">Resampling techniques and shrinkage estimators are used to ensure that the optimization results are robust. </w:t>
      </w:r>
    </w:p>
    <w:p w14:paraId="62E93551" w14:textId="77777777" w:rsidR="008B4B8F" w:rsidRDefault="008B4B8F" w:rsidP="00D0575A">
      <w:pPr>
        <w:spacing w:after="0"/>
        <w:rPr>
          <w:lang w:val="en-US"/>
        </w:rPr>
      </w:pPr>
    </w:p>
    <w:p w14:paraId="54D03E45" w14:textId="6E11F317" w:rsidR="00D0575A" w:rsidRPr="00A65CDE" w:rsidRDefault="008B4B8F" w:rsidP="00A65CDE">
      <w:pPr>
        <w:spacing w:after="0"/>
        <w:rPr>
          <w:lang w:val="en-US"/>
        </w:rPr>
      </w:pPr>
      <w:r>
        <w:rPr>
          <w:rFonts w:eastAsiaTheme="minorEastAsia"/>
          <w:lang w:val="en-US"/>
        </w:rPr>
        <w:t>The n</w:t>
      </w:r>
      <w:r w:rsidR="003E1FF1" w:rsidRPr="00D0575A">
        <w:rPr>
          <w:rFonts w:eastAsiaTheme="minorEastAsia"/>
          <w:lang w:val="en-US"/>
        </w:rPr>
        <w:t>umerical</w:t>
      </w:r>
      <w:r w:rsidR="00FC3393" w:rsidRPr="00D0575A">
        <w:rPr>
          <w:rFonts w:eastAsiaTheme="minorEastAsia"/>
          <w:lang w:val="en-US"/>
        </w:rPr>
        <w:t xml:space="preserve"> results </w:t>
      </w:r>
      <w:r w:rsidR="00892D88">
        <w:rPr>
          <w:rFonts w:eastAsiaTheme="minorEastAsia"/>
          <w:lang w:val="en-US"/>
        </w:rPr>
        <w:t>are</w:t>
      </w:r>
      <w:r w:rsidR="003E1FF1" w:rsidRPr="00D0575A">
        <w:rPr>
          <w:rFonts w:eastAsiaTheme="minorEastAsia"/>
          <w:lang w:val="en-US"/>
        </w:rPr>
        <w:t xml:space="preserve"> i</w:t>
      </w:r>
      <w:r w:rsidR="00D9599E" w:rsidRPr="00D0575A">
        <w:rPr>
          <w:lang w:val="en-US"/>
        </w:rPr>
        <w:t>nterpret</w:t>
      </w:r>
      <w:r w:rsidR="003E1FF1" w:rsidRPr="00D0575A">
        <w:rPr>
          <w:lang w:val="en-US"/>
        </w:rPr>
        <w:t>ed</w:t>
      </w:r>
      <w:r w:rsidR="00D9599E" w:rsidRPr="00D0575A">
        <w:rPr>
          <w:lang w:val="en-US"/>
        </w:rPr>
        <w:t xml:space="preserve"> and explain</w:t>
      </w:r>
      <w:r w:rsidR="003E1FF1" w:rsidRPr="00D0575A">
        <w:rPr>
          <w:lang w:val="en-US"/>
        </w:rPr>
        <w:t>ed</w:t>
      </w:r>
      <w:r w:rsidR="00D9599E" w:rsidRPr="00D0575A">
        <w:rPr>
          <w:lang w:val="en-US"/>
        </w:rPr>
        <w:t xml:space="preserve"> by theoretical considerations</w:t>
      </w:r>
      <w:r w:rsidR="003E1FF1" w:rsidRPr="00D0575A">
        <w:rPr>
          <w:lang w:val="en-US"/>
        </w:rPr>
        <w:t xml:space="preserve">, and </w:t>
      </w:r>
      <w:r w:rsidR="00D9599E" w:rsidRPr="00D0575A">
        <w:rPr>
          <w:lang w:val="en-US"/>
        </w:rPr>
        <w:t>consequences for capital market theories such as the CAPM model</w:t>
      </w:r>
      <w:r w:rsidR="003E1FF1" w:rsidRPr="00D0575A">
        <w:rPr>
          <w:lang w:val="en-US"/>
        </w:rPr>
        <w:t xml:space="preserve"> </w:t>
      </w:r>
      <w:r w:rsidR="00892D88">
        <w:rPr>
          <w:lang w:val="en-US"/>
        </w:rPr>
        <w:t>are</w:t>
      </w:r>
      <w:r w:rsidR="003E1FF1" w:rsidRPr="00D0575A">
        <w:rPr>
          <w:lang w:val="en-US"/>
        </w:rPr>
        <w:t xml:space="preserve"> discussed.</w:t>
      </w:r>
    </w:p>
    <w:sectPr w:rsidR="00D0575A" w:rsidRPr="00A65C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827"/>
    <w:multiLevelType w:val="hybridMultilevel"/>
    <w:tmpl w:val="A45ABB82"/>
    <w:lvl w:ilvl="0" w:tplc="EDE286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67A9"/>
    <w:multiLevelType w:val="hybridMultilevel"/>
    <w:tmpl w:val="3BF457FC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B6C7D"/>
    <w:multiLevelType w:val="multilevel"/>
    <w:tmpl w:val="940C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B51FE"/>
    <w:multiLevelType w:val="multilevel"/>
    <w:tmpl w:val="A334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71BFF"/>
    <w:multiLevelType w:val="multilevel"/>
    <w:tmpl w:val="5EF4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D7669"/>
    <w:multiLevelType w:val="hybridMultilevel"/>
    <w:tmpl w:val="88A23088"/>
    <w:lvl w:ilvl="0" w:tplc="D812AB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B547E"/>
    <w:multiLevelType w:val="hybridMultilevel"/>
    <w:tmpl w:val="CF34736E"/>
    <w:lvl w:ilvl="0" w:tplc="36441D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C3B5C"/>
    <w:multiLevelType w:val="hybridMultilevel"/>
    <w:tmpl w:val="02BE8DE4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A2EC2"/>
    <w:multiLevelType w:val="hybridMultilevel"/>
    <w:tmpl w:val="29CE39F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127D88"/>
    <w:multiLevelType w:val="hybridMultilevel"/>
    <w:tmpl w:val="397A6A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27"/>
    <w:rsid w:val="00025C40"/>
    <w:rsid w:val="000475FE"/>
    <w:rsid w:val="00053527"/>
    <w:rsid w:val="0007721C"/>
    <w:rsid w:val="000971B7"/>
    <w:rsid w:val="000E623A"/>
    <w:rsid w:val="001B266E"/>
    <w:rsid w:val="001D31D4"/>
    <w:rsid w:val="001D37DC"/>
    <w:rsid w:val="001E5818"/>
    <w:rsid w:val="001F2261"/>
    <w:rsid w:val="00211813"/>
    <w:rsid w:val="00263149"/>
    <w:rsid w:val="00265FE3"/>
    <w:rsid w:val="003279F7"/>
    <w:rsid w:val="00330869"/>
    <w:rsid w:val="0036603B"/>
    <w:rsid w:val="003818F7"/>
    <w:rsid w:val="003E1FF1"/>
    <w:rsid w:val="00453903"/>
    <w:rsid w:val="004F26C4"/>
    <w:rsid w:val="0051267D"/>
    <w:rsid w:val="00565324"/>
    <w:rsid w:val="0056758E"/>
    <w:rsid w:val="005719A5"/>
    <w:rsid w:val="005815B7"/>
    <w:rsid w:val="00587D9F"/>
    <w:rsid w:val="00616D3E"/>
    <w:rsid w:val="006217E6"/>
    <w:rsid w:val="007021D9"/>
    <w:rsid w:val="007443A0"/>
    <w:rsid w:val="00792A46"/>
    <w:rsid w:val="007A4BA7"/>
    <w:rsid w:val="008063AF"/>
    <w:rsid w:val="008454B8"/>
    <w:rsid w:val="00873795"/>
    <w:rsid w:val="008817E6"/>
    <w:rsid w:val="00892D88"/>
    <w:rsid w:val="008B4B8F"/>
    <w:rsid w:val="008D6EE6"/>
    <w:rsid w:val="00924508"/>
    <w:rsid w:val="00924CFA"/>
    <w:rsid w:val="00977A3C"/>
    <w:rsid w:val="009845DD"/>
    <w:rsid w:val="00A03CE0"/>
    <w:rsid w:val="00A11CB0"/>
    <w:rsid w:val="00A13356"/>
    <w:rsid w:val="00A1541F"/>
    <w:rsid w:val="00A65CDE"/>
    <w:rsid w:val="00AA1B22"/>
    <w:rsid w:val="00B11223"/>
    <w:rsid w:val="00B426D5"/>
    <w:rsid w:val="00B72B0D"/>
    <w:rsid w:val="00B73115"/>
    <w:rsid w:val="00BC1E98"/>
    <w:rsid w:val="00C02E6D"/>
    <w:rsid w:val="00C64244"/>
    <w:rsid w:val="00D0575A"/>
    <w:rsid w:val="00D43302"/>
    <w:rsid w:val="00D84F55"/>
    <w:rsid w:val="00D9599E"/>
    <w:rsid w:val="00E75521"/>
    <w:rsid w:val="00E814A9"/>
    <w:rsid w:val="00EA625B"/>
    <w:rsid w:val="00EC2168"/>
    <w:rsid w:val="00EC52BE"/>
    <w:rsid w:val="00EE1E96"/>
    <w:rsid w:val="00F13F84"/>
    <w:rsid w:val="00F84858"/>
    <w:rsid w:val="00FC3393"/>
    <w:rsid w:val="00FC7CA2"/>
    <w:rsid w:val="00FE0474"/>
    <w:rsid w:val="00FE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2518"/>
  <w15:chartTrackingRefBased/>
  <w15:docId w15:val="{34CB548D-621F-42D6-90AE-62F40C45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758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7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79F7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063AF"/>
    <w:rPr>
      <w:color w:val="808080"/>
    </w:rPr>
  </w:style>
  <w:style w:type="character" w:customStyle="1" w:styleId="spelle">
    <w:name w:val="spelle"/>
    <w:basedOn w:val="Absatz-Standardschriftart"/>
    <w:rsid w:val="00D0575A"/>
  </w:style>
  <w:style w:type="character" w:styleId="Fett">
    <w:name w:val="Strong"/>
    <w:basedOn w:val="Absatz-Standardschriftart"/>
    <w:uiPriority w:val="22"/>
    <w:qFormat/>
    <w:rsid w:val="00D05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2181</Characters>
  <Application>Microsoft Office Word</Application>
  <DocSecurity>4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Schmidhuber</dc:creator>
  <cp:keywords/>
  <dc:description/>
  <cp:lastModifiedBy>Joël Meili</cp:lastModifiedBy>
  <cp:revision>2</cp:revision>
  <cp:lastPrinted>2018-10-18T08:54:00Z</cp:lastPrinted>
  <dcterms:created xsi:type="dcterms:W3CDTF">2019-02-12T11:21:00Z</dcterms:created>
  <dcterms:modified xsi:type="dcterms:W3CDTF">2019-02-12T11:21:00Z</dcterms:modified>
</cp:coreProperties>
</file>