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8CEE8" w14:textId="10BF9A85" w:rsidR="003972CF" w:rsidRDefault="00802BC2">
      <w:pPr>
        <w:pStyle w:val="BodyText"/>
      </w:pPr>
      <w:r>
        <w:t xml:space="preserve">Heavy-tailed distributions can be specified by means of mathematical methods. However, there is no universally agreed upon theory for the technical classification of distributions by tail behavior, nor there is an academically accepted convention for the use of terms to describe it @Schuster. Some authors </w:t>
      </w:r>
      <w:r w:rsidR="001A737A">
        <w:t>(</w:t>
      </w:r>
      <w:r>
        <w:t>@Asmussen</w:t>
      </w:r>
      <w:r w:rsidR="001A737A">
        <w:t>)</w:t>
      </w:r>
      <w:r>
        <w:t xml:space="preserve"> use precise nomenclature to differentiate among subsets of what they regard as the wider heavy tail distribution class. Nonetheless, in this paper the words “fat” and “heavy” are interchangeabl</w:t>
      </w:r>
      <w:r w:rsidR="001D7721">
        <w:t>e</w:t>
      </w:r>
      <w:r>
        <w:t xml:space="preserve">. Dacorogna et al. </w:t>
      </w:r>
      <w:r w:rsidR="00B745AD">
        <w:t>(</w:t>
      </w:r>
      <w:r>
        <w:t>@Dacorogna</w:t>
      </w:r>
      <w:r w:rsidR="00D47A3D">
        <w:t>)</w:t>
      </w:r>
      <w:r>
        <w:t xml:space="preserve"> use a classification system of three categories of distribution behavior mainly based on how the tails of the cumulative distribution functions decline when</w:t>
      </w:r>
      <w:bookmarkStart w:id="0" w:name="MathJax-Element-8-Frame"/>
      <w:bookmarkStart w:id="1" w:name="MathJax-Span-70"/>
      <w:bookmarkStart w:id="2" w:name="MathJax-Span-71"/>
      <w:bookmarkStart w:id="3" w:name="MathJax-Span-72"/>
      <w:bookmarkEnd w:id="0"/>
      <w:bookmarkEnd w:id="1"/>
      <w:bookmarkEnd w:id="2"/>
      <w:bookmarkEnd w:id="3"/>
      <w:r>
        <w:t xml:space="preserve"> $</w:t>
      </w:r>
      <w:bookmarkStart w:id="4" w:name="MathJax-Span-73"/>
      <w:bookmarkEnd w:id="4"/>
      <w:r>
        <w:t>x</w:t>
      </w:r>
      <w:bookmarkStart w:id="5" w:name="MathJax-Span-74"/>
      <w:bookmarkEnd w:id="5"/>
      <w:r>
        <w:t xml:space="preserve"> </w:t>
      </w:r>
      <w:bookmarkStart w:id="6" w:name="MathJax-Span-76"/>
      <w:bookmarkEnd w:id="6"/>
      <w:r>
        <w:t>\</w:t>
      </w:r>
      <w:bookmarkStart w:id="7" w:name="MathJax-Span-77"/>
      <w:bookmarkEnd w:id="7"/>
      <w:r>
        <w:t>t</w:t>
      </w:r>
      <w:bookmarkStart w:id="8" w:name="MathJax-Span-78"/>
      <w:bookmarkEnd w:id="8"/>
      <w:r>
        <w:t xml:space="preserve">o </w:t>
      </w:r>
      <w:bookmarkStart w:id="9" w:name="MathJax-Span-80"/>
      <w:bookmarkEnd w:id="9"/>
      <w:r>
        <w:t>\</w:t>
      </w:r>
      <w:bookmarkStart w:id="10" w:name="MathJax-Span-81"/>
      <w:bookmarkEnd w:id="10"/>
      <w:r>
        <w:t>p</w:t>
      </w:r>
      <w:bookmarkStart w:id="11" w:name="MathJax-Span-82"/>
      <w:bookmarkEnd w:id="11"/>
      <w:r>
        <w:t>m</w:t>
      </w:r>
      <w:bookmarkStart w:id="12" w:name="MathJax-Span-83"/>
      <w:bookmarkEnd w:id="12"/>
      <w:r>
        <w:t>\</w:t>
      </w:r>
      <w:bookmarkStart w:id="13" w:name="MathJax-Span-84"/>
      <w:bookmarkEnd w:id="13"/>
      <w:r>
        <w:t>i</w:t>
      </w:r>
      <w:bookmarkStart w:id="14" w:name="MathJax-Span-85"/>
      <w:bookmarkEnd w:id="14"/>
      <w:r>
        <w:t>n</w:t>
      </w:r>
      <w:bookmarkStart w:id="15" w:name="MathJax-Span-86"/>
      <w:bookmarkEnd w:id="15"/>
      <w:r>
        <w:t>f</w:t>
      </w:r>
      <w:bookmarkStart w:id="16" w:name="MathJax-Span-87"/>
      <w:bookmarkEnd w:id="16"/>
      <w:r>
        <w:t>t</w:t>
      </w:r>
      <w:bookmarkStart w:id="17" w:name="MathJax-Span-88"/>
      <w:bookmarkEnd w:id="17"/>
      <w:r>
        <w:t>y</w:t>
      </w:r>
      <w:bookmarkStart w:id="18" w:name="MathJax-Span-89"/>
      <w:bookmarkEnd w:id="18"/>
      <w:r>
        <w:t>$:</w:t>
      </w:r>
    </w:p>
    <w:p w14:paraId="7D494316" w14:textId="77777777" w:rsidR="009C3913" w:rsidRDefault="009C3913">
      <w:pPr>
        <w:pStyle w:val="BodyText"/>
        <w:spacing w:after="0"/>
      </w:pPr>
    </w:p>
    <w:p w14:paraId="07067792" w14:textId="50F08EB1" w:rsidR="003972CF" w:rsidRDefault="009C3913">
      <w:pPr>
        <w:pStyle w:val="BodyText"/>
        <w:spacing w:after="0"/>
      </w:pPr>
      <w:r>
        <w:t xml:space="preserve">1. </w:t>
      </w:r>
      <w:r w:rsidR="00802BC2">
        <w:t>Thin-tailed: the tails decline in an exponential fashion, i.e.</w:t>
      </w:r>
      <w:bookmarkStart w:id="19" w:name="MathJax-Element-9-Frame"/>
      <w:bookmarkStart w:id="20" w:name="MathJax-Span-90"/>
      <w:bookmarkStart w:id="21" w:name="MathJax-Span-91"/>
      <w:bookmarkStart w:id="22" w:name="MathJax-Span-92"/>
      <w:bookmarkEnd w:id="19"/>
      <w:bookmarkEnd w:id="20"/>
      <w:bookmarkEnd w:id="21"/>
      <w:bookmarkEnd w:id="22"/>
      <w:r w:rsidR="00802BC2">
        <w:t xml:space="preserve"> $</w:t>
      </w:r>
      <w:bookmarkStart w:id="23" w:name="MathJax-Span-93"/>
      <w:bookmarkEnd w:id="23"/>
      <w:r w:rsidR="00802BC2">
        <w:t>O</w:t>
      </w:r>
      <w:bookmarkStart w:id="24" w:name="MathJax-Span-94"/>
      <w:bookmarkEnd w:id="24"/>
      <w:r w:rsidR="00802BC2">
        <w:t>(</w:t>
      </w:r>
      <w:bookmarkStart w:id="25" w:name="MathJax-Span-95"/>
      <w:bookmarkEnd w:id="25"/>
      <w:r w:rsidR="00802BC2">
        <w:t>e</w:t>
      </w:r>
      <w:bookmarkStart w:id="26" w:name="MathJax-Span-96"/>
      <w:bookmarkEnd w:id="26"/>
      <w:r w:rsidR="00802BC2">
        <w:t>^</w:t>
      </w:r>
      <w:bookmarkStart w:id="27" w:name="MathJax-Span-97"/>
      <w:bookmarkEnd w:id="27"/>
      <w:r w:rsidR="00802BC2">
        <w:t>{-</w:t>
      </w:r>
      <w:bookmarkStart w:id="28" w:name="MathJax-Span-99"/>
      <w:bookmarkEnd w:id="28"/>
      <w:r w:rsidR="00802BC2">
        <w:t>\</w:t>
      </w:r>
      <w:bookmarkStart w:id="29" w:name="MathJax-Span-100"/>
      <w:bookmarkEnd w:id="29"/>
      <w:r w:rsidR="00802BC2">
        <w:t>l</w:t>
      </w:r>
      <w:bookmarkStart w:id="30" w:name="MathJax-Span-101"/>
      <w:bookmarkEnd w:id="30"/>
      <w:r w:rsidR="00802BC2">
        <w:t>a</w:t>
      </w:r>
      <w:bookmarkStart w:id="31" w:name="MathJax-Span-102"/>
      <w:bookmarkEnd w:id="31"/>
      <w:r w:rsidR="00802BC2">
        <w:t>m</w:t>
      </w:r>
      <w:bookmarkStart w:id="32" w:name="MathJax-Span-103"/>
      <w:bookmarkEnd w:id="32"/>
      <w:r w:rsidR="00802BC2">
        <w:t>b</w:t>
      </w:r>
      <w:bookmarkStart w:id="33" w:name="MathJax-Span-104"/>
      <w:bookmarkEnd w:id="33"/>
      <w:r w:rsidR="00802BC2">
        <w:t>d</w:t>
      </w:r>
      <w:bookmarkStart w:id="34" w:name="MathJax-Span-105"/>
      <w:bookmarkEnd w:id="34"/>
      <w:r w:rsidR="00802BC2">
        <w:t>a</w:t>
      </w:r>
      <w:bookmarkStart w:id="35" w:name="MathJax-Span-106"/>
      <w:bookmarkEnd w:id="35"/>
      <w:r w:rsidR="00802BC2">
        <w:t>|</w:t>
      </w:r>
      <w:bookmarkStart w:id="36" w:name="MathJax-Span-107"/>
      <w:bookmarkEnd w:id="36"/>
      <w:r w:rsidR="00802BC2">
        <w:t>x</w:t>
      </w:r>
      <w:bookmarkStart w:id="37" w:name="MathJax-Span-108"/>
      <w:bookmarkEnd w:id="37"/>
      <w:r w:rsidR="00802BC2">
        <w:t>|</w:t>
      </w:r>
      <w:bookmarkStart w:id="38" w:name="MathJax-Span-109"/>
      <w:bookmarkEnd w:id="38"/>
      <w:r w:rsidR="00802BC2">
        <w:t>}</w:t>
      </w:r>
      <w:bookmarkStart w:id="39" w:name="MathJax-Span-110"/>
      <w:bookmarkEnd w:id="39"/>
      <w:r w:rsidR="00802BC2">
        <w:t>)</w:t>
      </w:r>
      <w:bookmarkStart w:id="40" w:name="MathJax-Span-111"/>
      <w:bookmarkEnd w:id="40"/>
      <w:r w:rsidR="00802BC2">
        <w:t>,</w:t>
      </w:r>
      <w:bookmarkStart w:id="41" w:name="MathJax-Span-112"/>
      <w:bookmarkEnd w:id="41"/>
      <w:r w:rsidR="00802BC2">
        <w:t xml:space="preserve"> </w:t>
      </w:r>
      <w:bookmarkStart w:id="42" w:name="MathJax-Span-114"/>
      <w:bookmarkEnd w:id="42"/>
      <w:r w:rsidR="00802BC2">
        <w:t>\</w:t>
      </w:r>
      <w:bookmarkStart w:id="43" w:name="MathJax-Span-115"/>
      <w:bookmarkEnd w:id="43"/>
      <w:r w:rsidR="00802BC2">
        <w:t>l</w:t>
      </w:r>
      <w:bookmarkStart w:id="44" w:name="MathJax-Span-116"/>
      <w:bookmarkEnd w:id="44"/>
      <w:r w:rsidR="00802BC2">
        <w:t>a</w:t>
      </w:r>
      <w:bookmarkStart w:id="45" w:name="MathJax-Span-117"/>
      <w:bookmarkEnd w:id="45"/>
      <w:r w:rsidR="00802BC2">
        <w:t>m</w:t>
      </w:r>
      <w:bookmarkStart w:id="46" w:name="MathJax-Span-118"/>
      <w:bookmarkEnd w:id="46"/>
      <w:r w:rsidR="00802BC2">
        <w:t>b</w:t>
      </w:r>
      <w:bookmarkStart w:id="47" w:name="MathJax-Span-119"/>
      <w:bookmarkEnd w:id="47"/>
      <w:r w:rsidR="00802BC2">
        <w:t>d</w:t>
      </w:r>
      <w:bookmarkStart w:id="48" w:name="MathJax-Span-120"/>
      <w:bookmarkEnd w:id="48"/>
      <w:r w:rsidR="00802BC2">
        <w:t>a</w:t>
      </w:r>
      <w:bookmarkStart w:id="49" w:name="MathJax-Span-121"/>
      <w:bookmarkEnd w:id="49"/>
      <w:r w:rsidR="00802BC2">
        <w:t xml:space="preserve"> </w:t>
      </w:r>
      <w:bookmarkStart w:id="50" w:name="MathJax-Span-123"/>
      <w:bookmarkEnd w:id="50"/>
      <w:r w:rsidR="00802BC2">
        <w:t>\</w:t>
      </w:r>
      <w:bookmarkStart w:id="51" w:name="MathJax-Span-124"/>
      <w:bookmarkEnd w:id="51"/>
      <w:r w:rsidR="00802BC2">
        <w:t>i</w:t>
      </w:r>
      <w:bookmarkStart w:id="52" w:name="MathJax-Span-125"/>
      <w:bookmarkEnd w:id="52"/>
      <w:r w:rsidR="00802BC2">
        <w:t>n</w:t>
      </w:r>
      <w:bookmarkStart w:id="53" w:name="MathJax-Span-126"/>
      <w:bookmarkEnd w:id="53"/>
      <w:r w:rsidR="00802BC2">
        <w:t xml:space="preserve"> </w:t>
      </w:r>
      <w:bookmarkStart w:id="54" w:name="MathJax-Span-128"/>
      <w:bookmarkEnd w:id="54"/>
      <w:r w:rsidR="00802BC2">
        <w:t>\</w:t>
      </w:r>
      <w:bookmarkStart w:id="55" w:name="MathJax-Span-129"/>
      <w:bookmarkEnd w:id="55"/>
      <w:r w:rsidR="00802BC2">
        <w:t>m</w:t>
      </w:r>
      <w:bookmarkStart w:id="56" w:name="MathJax-Span-130"/>
      <w:bookmarkEnd w:id="56"/>
      <w:r w:rsidR="00802BC2">
        <w:t>a</w:t>
      </w:r>
      <w:bookmarkStart w:id="57" w:name="MathJax-Span-131"/>
      <w:bookmarkEnd w:id="57"/>
      <w:r w:rsidR="00802BC2">
        <w:t>t</w:t>
      </w:r>
      <w:bookmarkStart w:id="58" w:name="MathJax-Span-132"/>
      <w:bookmarkEnd w:id="58"/>
      <w:r w:rsidR="00802BC2">
        <w:t>h</w:t>
      </w:r>
      <w:bookmarkStart w:id="59" w:name="MathJax-Span-133"/>
      <w:bookmarkEnd w:id="59"/>
      <w:r w:rsidR="00802BC2">
        <w:t>b</w:t>
      </w:r>
      <w:bookmarkStart w:id="60" w:name="MathJax-Span-134"/>
      <w:bookmarkEnd w:id="60"/>
      <w:r w:rsidR="00802BC2">
        <w:t>b</w:t>
      </w:r>
      <w:bookmarkStart w:id="61" w:name="MathJax-Span-135"/>
      <w:bookmarkEnd w:id="61"/>
      <w:r w:rsidR="00802BC2">
        <w:t>{</w:t>
      </w:r>
      <w:bookmarkStart w:id="62" w:name="MathJax-Span-136"/>
      <w:bookmarkEnd w:id="62"/>
      <w:r w:rsidR="00802BC2">
        <w:t>R</w:t>
      </w:r>
      <w:bookmarkStart w:id="63" w:name="MathJax-Span-137"/>
      <w:bookmarkEnd w:id="63"/>
      <w:r w:rsidR="00802BC2">
        <w:t>}</w:t>
      </w:r>
      <w:bookmarkStart w:id="64" w:name="MathJax-Span-138"/>
      <w:bookmarkStart w:id="65" w:name="MathJax-Span-140"/>
      <w:bookmarkStart w:id="66" w:name="_GoBack"/>
      <w:bookmarkEnd w:id="64"/>
      <w:bookmarkEnd w:id="65"/>
      <w:bookmarkEnd w:id="66"/>
      <w:proofErr w:type="gramStart"/>
      <w:r w:rsidR="00802BC2">
        <w:t>_</w:t>
      </w:r>
      <w:bookmarkStart w:id="67" w:name="MathJax-Span-141"/>
      <w:bookmarkEnd w:id="67"/>
      <w:r w:rsidR="00802BC2">
        <w:t>{</w:t>
      </w:r>
      <w:bookmarkStart w:id="68" w:name="MathJax-Span-142"/>
      <w:bookmarkEnd w:id="68"/>
      <w:proofErr w:type="gramEnd"/>
      <w:r w:rsidR="00802BC2">
        <w:t>&gt;</w:t>
      </w:r>
      <w:bookmarkStart w:id="69" w:name="MathJax-Span-143"/>
      <w:bookmarkEnd w:id="69"/>
      <w:r w:rsidR="00802BC2">
        <w:t>0</w:t>
      </w:r>
      <w:bookmarkStart w:id="70" w:name="MathJax-Span-144"/>
      <w:bookmarkEnd w:id="70"/>
      <w:r w:rsidR="00802BC2">
        <w:t>}</w:t>
      </w:r>
      <w:bookmarkStart w:id="71" w:name="MathJax-Span-145"/>
      <w:bookmarkEnd w:id="71"/>
      <w:r w:rsidR="00802BC2">
        <w:t>$</w:t>
      </w:r>
    </w:p>
    <w:p w14:paraId="1E25D4FD" w14:textId="5C6DDB5C" w:rsidR="003972CF" w:rsidRDefault="009C3913">
      <w:pPr>
        <w:pStyle w:val="BodyText"/>
        <w:spacing w:after="0"/>
      </w:pPr>
      <w:r>
        <w:t>2.</w:t>
      </w:r>
      <w:r w:rsidR="00802BC2">
        <w:t xml:space="preserve"> Fat-tailed: the tails decline like a power law, i.e.</w:t>
      </w:r>
      <w:bookmarkStart w:id="72" w:name="MathJax-Element-10-Frame"/>
      <w:bookmarkStart w:id="73" w:name="MathJax-Span-146"/>
      <w:bookmarkStart w:id="74" w:name="MathJax-Span-147"/>
      <w:bookmarkStart w:id="75" w:name="MathJax-Span-148"/>
      <w:bookmarkEnd w:id="72"/>
      <w:bookmarkEnd w:id="73"/>
      <w:bookmarkEnd w:id="74"/>
      <w:bookmarkEnd w:id="75"/>
      <w:r w:rsidR="005C6A96">
        <w:t xml:space="preserve"> </w:t>
      </w:r>
      <w:r w:rsidR="00802BC2">
        <w:t>$</w:t>
      </w:r>
      <w:bookmarkStart w:id="76" w:name="MathJax-Span-149"/>
      <w:bookmarkEnd w:id="76"/>
      <w:r w:rsidR="00802BC2">
        <w:t>O</w:t>
      </w:r>
      <w:bookmarkStart w:id="77" w:name="MathJax-Span-150"/>
      <w:bookmarkEnd w:id="77"/>
      <w:r w:rsidR="00802BC2">
        <w:t>\</w:t>
      </w:r>
      <w:bookmarkStart w:id="78" w:name="MathJax-Span-151"/>
      <w:bookmarkEnd w:id="78"/>
      <w:r w:rsidR="00802BC2">
        <w:t>left</w:t>
      </w:r>
      <w:bookmarkStart w:id="79" w:name="MathJax-Span-152"/>
      <w:bookmarkEnd w:id="79"/>
      <w:r w:rsidR="00802BC2">
        <w:t>(</w:t>
      </w:r>
      <w:bookmarkStart w:id="80" w:name="MathJax-Span-153"/>
      <w:bookmarkEnd w:id="80"/>
      <w:r w:rsidR="00802BC2">
        <w:t>|</w:t>
      </w:r>
      <w:bookmarkStart w:id="81" w:name="MathJax-Span-154"/>
      <w:bookmarkEnd w:id="81"/>
      <w:r w:rsidR="00802BC2">
        <w:t>x</w:t>
      </w:r>
      <w:bookmarkStart w:id="82" w:name="MathJax-Span-155"/>
      <w:bookmarkEnd w:id="82"/>
      <w:r w:rsidR="00B6702D">
        <w:t>|</w:t>
      </w:r>
      <w:r w:rsidR="00802BC2">
        <w:t>^</w:t>
      </w:r>
      <w:bookmarkStart w:id="83" w:name="MathJax-Span-156"/>
      <w:bookmarkEnd w:id="83"/>
      <w:r w:rsidR="00802BC2">
        <w:t>{-</w:t>
      </w:r>
      <w:bookmarkStart w:id="84" w:name="MathJax-Span-158"/>
      <w:bookmarkEnd w:id="84"/>
      <w:r w:rsidR="00802BC2">
        <w:t>\</w:t>
      </w:r>
      <w:bookmarkStart w:id="85" w:name="MathJax-Span-159"/>
      <w:bookmarkEnd w:id="85"/>
      <w:proofErr w:type="gramStart"/>
      <w:r w:rsidR="00802BC2">
        <w:t>alpha</w:t>
      </w:r>
      <w:bookmarkStart w:id="86" w:name="MathJax-Span-160"/>
      <w:bookmarkEnd w:id="86"/>
      <w:r w:rsidR="00802BC2">
        <w:t>}</w:t>
      </w:r>
      <w:bookmarkStart w:id="87" w:name="MathJax-Span-161"/>
      <w:bookmarkEnd w:id="87"/>
      <w:r w:rsidR="00802BC2">
        <w:t>\</w:t>
      </w:r>
      <w:bookmarkStart w:id="88" w:name="MathJax-Span-162"/>
      <w:bookmarkEnd w:id="88"/>
      <w:proofErr w:type="gramEnd"/>
      <w:r w:rsidR="00802BC2">
        <w:t>right</w:t>
      </w:r>
      <w:bookmarkStart w:id="89" w:name="MathJax-Span-163"/>
      <w:bookmarkStart w:id="90" w:name="MathJax-Span-164"/>
      <w:bookmarkEnd w:id="89"/>
      <w:bookmarkEnd w:id="90"/>
      <w:r w:rsidR="00802BC2">
        <w:t>)</w:t>
      </w:r>
      <w:bookmarkStart w:id="91" w:name="MathJax-Span-165"/>
      <w:bookmarkEnd w:id="91"/>
      <w:r w:rsidR="00802BC2">
        <w:t>,</w:t>
      </w:r>
      <w:bookmarkStart w:id="92" w:name="MathJax-Span-166"/>
      <w:bookmarkEnd w:id="92"/>
      <w:r w:rsidR="00802BC2">
        <w:t>\</w:t>
      </w:r>
      <w:bookmarkStart w:id="93" w:name="MathJax-Span-167"/>
      <w:bookmarkEnd w:id="93"/>
      <w:r w:rsidR="00802BC2">
        <w:t xml:space="preserve">alpha </w:t>
      </w:r>
      <w:bookmarkStart w:id="94" w:name="MathJax-Span-169"/>
      <w:bookmarkEnd w:id="94"/>
      <w:r w:rsidR="00802BC2">
        <w:t>\</w:t>
      </w:r>
      <w:bookmarkStart w:id="95" w:name="MathJax-Span-170"/>
      <w:bookmarkEnd w:id="95"/>
      <w:r w:rsidR="00802BC2">
        <w:t xml:space="preserve">in </w:t>
      </w:r>
      <w:bookmarkStart w:id="96" w:name="MathJax-Span-172"/>
      <w:bookmarkEnd w:id="96"/>
      <w:r w:rsidR="00802BC2">
        <w:t>\</w:t>
      </w:r>
      <w:bookmarkStart w:id="97" w:name="MathJax-Span-173"/>
      <w:bookmarkEnd w:id="97"/>
      <w:r w:rsidR="00802BC2">
        <w:t>mathbb</w:t>
      </w:r>
      <w:bookmarkStart w:id="98" w:name="MathJax-Span-174"/>
      <w:bookmarkEnd w:id="98"/>
      <w:r w:rsidR="00802BC2">
        <w:t>{</w:t>
      </w:r>
      <w:bookmarkStart w:id="99" w:name="MathJax-Span-175"/>
      <w:bookmarkEnd w:id="99"/>
      <w:r w:rsidR="00802BC2">
        <w:t>R</w:t>
      </w:r>
      <w:bookmarkStart w:id="100" w:name="MathJax-Span-176"/>
      <w:bookmarkEnd w:id="100"/>
      <w:r w:rsidR="00802BC2">
        <w:t>}</w:t>
      </w:r>
      <w:bookmarkStart w:id="101" w:name="MathJax-Span-177"/>
      <w:bookmarkEnd w:id="101"/>
      <w:r w:rsidR="00802BC2">
        <w:t>_</w:t>
      </w:r>
      <w:bookmarkStart w:id="102" w:name="MathJax-Span-178"/>
      <w:bookmarkEnd w:id="102"/>
      <w:r w:rsidR="00802BC2">
        <w:t>{</w:t>
      </w:r>
      <w:bookmarkStart w:id="103" w:name="MathJax-Span-179"/>
      <w:bookmarkEnd w:id="103"/>
      <w:r w:rsidR="00802BC2">
        <w:t>&gt;</w:t>
      </w:r>
      <w:bookmarkStart w:id="104" w:name="MathJax-Span-180"/>
      <w:bookmarkEnd w:id="104"/>
      <w:r w:rsidR="00802BC2">
        <w:t>0</w:t>
      </w:r>
      <w:bookmarkStart w:id="105" w:name="MathJax-Span-181"/>
      <w:bookmarkEnd w:id="105"/>
      <w:r w:rsidR="00802BC2">
        <w:t>}</w:t>
      </w:r>
      <w:bookmarkStart w:id="106" w:name="MathJax-Span-182"/>
      <w:bookmarkEnd w:id="106"/>
      <w:r w:rsidR="00802BC2">
        <w:t>$</w:t>
      </w:r>
    </w:p>
    <w:p w14:paraId="2C68A330" w14:textId="28BC42F8" w:rsidR="003972CF" w:rsidRDefault="009C3913">
      <w:pPr>
        <w:pStyle w:val="BodyText"/>
        <w:spacing w:after="0"/>
      </w:pPr>
      <w:r>
        <w:t>3.</w:t>
      </w:r>
      <w:r w:rsidR="00802BC2">
        <w:t xml:space="preserve"> Bounded distributions: absence of tails caused by domain finiteness</w:t>
      </w:r>
    </w:p>
    <w:p w14:paraId="5F8C0607" w14:textId="77777777" w:rsidR="009C3913" w:rsidRDefault="009C3913">
      <w:pPr>
        <w:pStyle w:val="BodyText"/>
        <w:spacing w:after="0"/>
      </w:pPr>
    </w:p>
    <w:p w14:paraId="45492188" w14:textId="651B1EC8" w:rsidR="003972CF" w:rsidRDefault="00802BC2">
      <w:pPr>
        <w:pStyle w:val="BodyText"/>
        <w:spacing w:after="0"/>
      </w:pPr>
      <w:r>
        <w:t xml:space="preserve">Under this classification system, the normal distribution falls into the thin-tailed category, whereas the distributions of daily asset </w:t>
      </w:r>
      <w:proofErr w:type="gramStart"/>
      <w:r>
        <w:t>returns</w:t>
      </w:r>
      <w:proofErr w:type="gramEnd"/>
      <w:r>
        <w:t xml:space="preserve"> plausibly fall into the fat-tailed category. The discrepancy between the normal distribution and financial data due to heavy tails is well documented </w:t>
      </w:r>
      <w:r w:rsidR="00B73D16">
        <w:t>(</w:t>
      </w:r>
      <w:r>
        <w:t>@Mandelbrot2</w:t>
      </w:r>
      <w:r w:rsidR="00B73D16">
        <w:t>)</w:t>
      </w:r>
      <w:r>
        <w:t>, and although numerous authors agree on the need for models with heavy tails, the scientific literature does not converge on the type of distribution to use.</w:t>
      </w:r>
    </w:p>
    <w:sectPr w:rsidR="003972C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3972CF"/>
    <w:rsid w:val="001A737A"/>
    <w:rsid w:val="001D7721"/>
    <w:rsid w:val="003972CF"/>
    <w:rsid w:val="005C6A96"/>
    <w:rsid w:val="00802BC2"/>
    <w:rsid w:val="009C3913"/>
    <w:rsid w:val="00B6702D"/>
    <w:rsid w:val="00B73D16"/>
    <w:rsid w:val="00B745AD"/>
    <w:rsid w:val="00D47A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3F66"/>
  <w15:docId w15:val="{DD59DF2B-493A-4113-B35D-792E2B10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Fabio Bührer</cp:lastModifiedBy>
  <cp:revision>69</cp:revision>
  <dcterms:created xsi:type="dcterms:W3CDTF">2019-04-08T15:30:00Z</dcterms:created>
  <dcterms:modified xsi:type="dcterms:W3CDTF">2019-06-05T09:09:00Z</dcterms:modified>
  <dc:language>en-US</dc:language>
</cp:coreProperties>
</file>