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p>
    <w:p>
      <w:pPr>
        <w:spacing w:after="80" w:before="200"/>
        <w:jc w:val="center"/>
      </w:pPr>
      <w:r>
        <w:rPr>
          <w:rFonts w:ascii="Arial" w:cs="Arial" w:eastAsia="Arial" w:hAnsi="Arial"/>
          <w:b/>
          <w:bCs/>
          <w:color w:val="1E5F74"/>
          <w:sz w:val="26"/>
          <w:szCs w:val="26"/>
        </w:rPr>
        <w:t xml:space="preserve">AEROPUERTO INTERNACIONAL FELIPE ÁNGELES</w:t>
      </w:r>
    </w:p>
    <w:p>
      <w:pPr>
        <w:spacing w:after="400" w:before="0"/>
        <w:jc w:val="center"/>
      </w:pPr>
      <w:r>
        <w:rPr>
          <w:rFonts w:ascii="Arial" w:cs="Arial" w:eastAsia="Arial" w:hAnsi="Arial"/>
          <w:b/>
          <w:bCs/>
          <w:color w:val="64748B"/>
          <w:sz w:val="20"/>
          <w:szCs w:val="20"/>
        </w:rPr>
        <w:t xml:space="preserve">SUBDIRECCIÓN DE SERVICIOS COMERCIALES | GRUPO DE INFORMACIÓN Y ANÁLISIS COMERCIAL (GIAC)</w:t>
      </w:r>
    </w:p>
    <w:p>
      <w:pPr>
        <w:spacing w:after="120" w:before="600"/>
        <w:jc w:val="center"/>
      </w:pPr>
      <w:r>
        <w:rPr>
          <w:rFonts w:ascii="Arial" w:cs="Arial" w:eastAsia="Arial" w:hAnsi="Arial"/>
          <w:b/>
          <w:bCs/>
          <w:color w:val="0F2942"/>
          <w:sz w:val="36"/>
          <w:szCs w:val="36"/>
        </w:rPr>
        <w:t xml:space="preserve">INFORME FINAL DE PROYECTO Y MEMORIA TÉCNICA</w:t>
      </w:r>
    </w:p>
    <w:p>
      <w:pPr>
        <w:spacing w:after="200" w:before="0"/>
        <w:jc w:val="center"/>
      </w:pPr>
      <w:r>
        <w:rPr>
          <w:rFonts w:ascii="Arial" w:cs="Arial" w:eastAsia="Arial" w:hAnsi="Arial"/>
          <w:b/>
          <w:bCs/>
          <w:color w:val="0284C7"/>
          <w:sz w:val="28"/>
          <w:szCs w:val="28"/>
        </w:rPr>
        <w:t xml:space="preserve">SISTEMA INTEGRAL DE GESTIÓN COMERCIAL Y OPERATIVA</w:t>
      </w:r>
    </w:p>
    <w:p>
      <w:pPr>
        <w:spacing w:after="800" w:before="0"/>
        <w:jc w:val="center"/>
      </w:pPr>
      <w:r>
        <w:rPr>
          <w:rFonts w:ascii="Arial" w:cs="Arial" w:eastAsia="Arial" w:hAnsi="Arial"/>
          <w:b/>
          <w:bCs/>
          <w:color w:val="0F2942"/>
          <w:sz w:val="32"/>
          <w:szCs w:val="32"/>
        </w:rPr>
        <w:t xml:space="preserve">SIGCO – GIAC</w:t>
      </w:r>
    </w:p>
    <w:p>
      <w:pPr>
        <w:spacing w:after="1000" w:before="200"/>
        <w:jc w:val="center"/>
      </w:pPr>
      <w:r>
        <w:rPr>
          <w:rFonts w:ascii="Arial" w:cs="Arial" w:eastAsia="Arial" w:hAnsi="Arial"/>
          <w:i/>
          <w:iCs/>
          <w:color w:val="1E293B"/>
          <w:sz w:val="22"/>
          <w:szCs w:val="22"/>
        </w:rPr>
        <w:t xml:space="preserve">Plataforma de Analítica Espacial, Inteligencia Comercial, Gestión Contractual y Reportabilidad Automatizada de las Siete Zonas Comerciales</w:t>
      </w:r>
    </w:p>
    <w:tbl>
      <w:tblPr>
        <w:tblW w:type="pct" w:w="100%"/>
        <w:tblBorders>
          <w:top w:val="single" w:color="0284C7" w:sz="6"/>
          <w:left w:val="none"/>
          <w:bottom w:val="none"/>
          <w:right w:val="none"/>
          <w:insideH w:val="none"/>
          <w:insideV w:val="none"/>
        </w:tblBorders>
      </w:tblPr>
      <w:tblGrid>
        <w:gridCol w:w="100"/>
      </w:tblGrid>
      <w:tr>
        <w:tc>
          <w:tcPr>
            <w:tcMar>
              <w:top w:type="dxa" w:w="180"/>
              <w:left w:type="dxa" w:w="0"/>
              <w:bottom w:type="dxa" w:w="80"/>
              <w:right w:type="dxa" w:w="0"/>
            </w:tcMar>
          </w:tcPr>
          <w:p>
            <w:pPr>
              <w:spacing w:after="100" w:before="80" w:line="276"/>
              <w:jc w:val="left"/>
            </w:pPr>
            <w:r>
              <w:rPr>
                <w:rFonts w:ascii="Arial" w:cs="Arial" w:eastAsia="Arial" w:hAnsi="Arial"/>
                <w:b/>
                <w:bCs/>
                <w:i w:val="false"/>
                <w:iCs w:val="false"/>
                <w:color w:val="0F2942"/>
                <w:sz w:val="20"/>
                <w:szCs w:val="20"/>
              </w:rPr>
              <w:t xml:space="preserve">Entregable: </w:t>
            </w:r>
            <w:r>
              <w:rPr>
                <w:rFonts w:ascii="Arial" w:cs="Arial" w:eastAsia="Arial" w:hAnsi="Arial"/>
                <w:b w:val="false"/>
                <w:bCs w:val="false"/>
                <w:i w:val="false"/>
                <w:iCs w:val="false"/>
                <w:color w:val="1E293B"/>
                <w:sz w:val="20"/>
                <w:szCs w:val="20"/>
              </w:rPr>
              <w:t xml:space="preserve">Plataforma Tecnológica y Documentación de Cierre</w:t>
            </w:r>
          </w:p>
          <w:p>
            <w:pPr>
              <w:spacing w:after="100" w:before="80" w:line="276"/>
              <w:jc w:val="left"/>
            </w:pPr>
            <w:r>
              <w:rPr>
                <w:rFonts w:ascii="Arial" w:cs="Arial" w:eastAsia="Arial" w:hAnsi="Arial"/>
                <w:b/>
                <w:bCs/>
                <w:i w:val="false"/>
                <w:iCs w:val="false"/>
                <w:color w:val="0F2942"/>
                <w:sz w:val="20"/>
                <w:szCs w:val="20"/>
              </w:rPr>
              <w:t xml:space="preserve">Versión: </w:t>
            </w:r>
            <w:r>
              <w:rPr>
                <w:rFonts w:ascii="Arial" w:cs="Arial" w:eastAsia="Arial" w:hAnsi="Arial"/>
                <w:b w:val="false"/>
                <w:bCs w:val="false"/>
                <w:i w:val="false"/>
                <w:iCs w:val="false"/>
                <w:color w:val="1E293B"/>
                <w:sz w:val="20"/>
                <w:szCs w:val="20"/>
              </w:rPr>
              <w:t xml:space="preserve">1.0 - Producción Operativa</w:t>
            </w:r>
          </w:p>
          <w:p>
            <w:pPr>
              <w:spacing w:after="100" w:before="80" w:line="276"/>
              <w:jc w:val="left"/>
            </w:pPr>
            <w:r>
              <w:rPr>
                <w:rFonts w:ascii="Arial" w:cs="Arial" w:eastAsia="Arial" w:hAnsi="Arial"/>
                <w:b/>
                <w:bCs/>
                <w:i w:val="false"/>
                <w:iCs w:val="false"/>
                <w:color w:val="0F2942"/>
                <w:sz w:val="20"/>
                <w:szCs w:val="20"/>
              </w:rPr>
              <w:t xml:space="preserve">Estatus: </w:t>
            </w:r>
            <w:r>
              <w:rPr>
                <w:rFonts w:ascii="Arial" w:cs="Arial" w:eastAsia="Arial" w:hAnsi="Arial"/>
                <w:b w:val="false"/>
                <w:bCs w:val="false"/>
                <w:i w:val="false"/>
                <w:iCs w:val="false"/>
                <w:color w:val="1E293B"/>
                <w:sz w:val="20"/>
                <w:szCs w:val="20"/>
              </w:rPr>
              <w:t xml:space="preserve">Entregable Finalizado y Validado</w:t>
            </w:r>
          </w:p>
          <w:p>
            <w:pPr>
              <w:spacing w:after="100" w:before="80" w:line="276"/>
              <w:jc w:val="left"/>
            </w:pPr>
            <w:r>
              <w:rPr>
                <w:rFonts w:ascii="Arial" w:cs="Arial" w:eastAsia="Arial" w:hAnsi="Arial"/>
                <w:b/>
                <w:bCs/>
                <w:i w:val="false"/>
                <w:iCs w:val="false"/>
                <w:color w:val="0F2942"/>
                <w:sz w:val="20"/>
                <w:szCs w:val="20"/>
              </w:rPr>
              <w:t xml:space="preserve">Fecha de Emisión: </w:t>
            </w:r>
            <w:r>
              <w:rPr>
                <w:rFonts w:ascii="Arial" w:cs="Arial" w:eastAsia="Arial" w:hAnsi="Arial"/>
                <w:b w:val="false"/>
                <w:bCs w:val="false"/>
                <w:i w:val="false"/>
                <w:iCs w:val="false"/>
                <w:color w:val="1E293B"/>
                <w:sz w:val="20"/>
                <w:szCs w:val="20"/>
              </w:rPr>
              <w:t xml:space="preserve">Agosto 2026</w:t>
            </w:r>
          </w:p>
        </w:tc>
      </w:tr>
    </w:tbl>
    <w:p>
      <w:r>
        <w:br w:type="page"/>
      </w:r>
    </w:p>
    <w:p>
      <w:pPr>
        <w:sectPr>
          <w:pgSz w:w="11906" w:h="16838" w:orient="portrait"/>
          <w:pgMar w:top="1440" w:right="1440" w:bottom="1440" w:left="1440" w:header="708" w:footer="708" w:gutter="0"/>
          <w:pgNumType/>
          <w:docGrid w:linePitch="360"/>
        </w:sectPr>
      </w:pPr>
    </w:p>
    <w:p>
      <w:pPr>
        <w:pStyle w:val="Heading1"/>
        <w:spacing w:after="140" w:before="360"/>
      </w:pPr>
      <w:r>
        <w:rPr>
          <w:rFonts w:ascii="Arial" w:cs="Arial" w:eastAsia="Arial" w:hAnsi="Arial"/>
          <w:b/>
          <w:bCs/>
          <w:color w:val="0F2942"/>
          <w:sz w:val="28"/>
          <w:szCs w:val="28"/>
        </w:rPr>
        <w:t xml:space="preserve">ÍNDICE GENERAL DEL DOCUMENTO</w:t>
      </w:r>
    </w:p>
    <w:p>
      <w:pPr>
        <w:pStyle w:val="ListParagraph"/>
        <w:numPr>
          <w:ilvl w:val="0"/>
          <w:numId w:val="1"/>
        </w:numPr>
        <w:spacing w:after="60" w:before="40" w:line="260"/>
      </w:pPr>
      <w:r>
        <w:rPr>
          <w:rFonts w:ascii="Arial" w:cs="Arial" w:eastAsia="Arial" w:hAnsi="Arial"/>
          <w:b/>
          <w:bCs/>
          <w:color w:val="0F2942"/>
          <w:sz w:val="20"/>
          <w:szCs w:val="20"/>
        </w:rPr>
        <w:t xml:space="preserve">1. Resumen Ejecutivo y Ficha Técnica del Proyecto: </w:t>
      </w:r>
      <w:r>
        <w:rPr>
          <w:rFonts w:ascii="Arial" w:cs="Arial" w:eastAsia="Arial" w:hAnsi="Arial"/>
          <w:color w:val="1E293B"/>
          <w:sz w:val="20"/>
          <w:szCs w:val="20"/>
        </w:rPr>
        <w:t xml:space="preserve">Visión general, justificación y especificaciones del sistema.</w:t>
      </w:r>
    </w:p>
    <w:p>
      <w:pPr>
        <w:pStyle w:val="ListParagraph"/>
        <w:numPr>
          <w:ilvl w:val="0"/>
          <w:numId w:val="1"/>
        </w:numPr>
        <w:spacing w:after="60" w:before="40" w:line="260"/>
      </w:pPr>
      <w:r>
        <w:rPr>
          <w:rFonts w:ascii="Arial" w:cs="Arial" w:eastAsia="Arial" w:hAnsi="Arial"/>
          <w:b/>
          <w:bCs/>
          <w:color w:val="0F2942"/>
          <w:sz w:val="20"/>
          <w:szCs w:val="20"/>
        </w:rPr>
        <w:t xml:space="preserve">2. Diagnóstico del Problema y Necesidades que Resuelve: </w:t>
      </w:r>
      <w:r>
        <w:rPr>
          <w:rFonts w:ascii="Arial" w:cs="Arial" w:eastAsia="Arial" w:hAnsi="Arial"/>
          <w:color w:val="1E293B"/>
          <w:sz w:val="20"/>
          <w:szCs w:val="20"/>
        </w:rPr>
        <w:t xml:space="preserve">Análisis comparativo de la operación previa vs. solución SIGCO.</w:t>
      </w:r>
    </w:p>
    <w:p>
      <w:pPr>
        <w:pStyle w:val="ListParagraph"/>
        <w:numPr>
          <w:ilvl w:val="0"/>
          <w:numId w:val="1"/>
        </w:numPr>
        <w:spacing w:after="60" w:before="40" w:line="260"/>
      </w:pPr>
      <w:r>
        <w:rPr>
          <w:rFonts w:ascii="Arial" w:cs="Arial" w:eastAsia="Arial" w:hAnsi="Arial"/>
          <w:b/>
          <w:bCs/>
          <w:color w:val="0F2942"/>
          <w:sz w:val="20"/>
          <w:szCs w:val="20"/>
        </w:rPr>
        <w:t xml:space="preserve">3. Objetivos del Proyecto: </w:t>
      </w:r>
      <w:r>
        <w:rPr>
          <w:rFonts w:ascii="Arial" w:cs="Arial" w:eastAsia="Arial" w:hAnsi="Arial"/>
          <w:color w:val="1E293B"/>
          <w:sz w:val="20"/>
          <w:szCs w:val="20"/>
        </w:rPr>
        <w:t xml:space="preserve">Objetivo general y objetivos específicos alineados a la estrategia comercial.</w:t>
      </w:r>
    </w:p>
    <w:p>
      <w:pPr>
        <w:pStyle w:val="ListParagraph"/>
        <w:numPr>
          <w:ilvl w:val="0"/>
          <w:numId w:val="1"/>
        </w:numPr>
        <w:spacing w:after="60" w:before="40" w:line="260"/>
      </w:pPr>
      <w:r>
        <w:rPr>
          <w:rFonts w:ascii="Arial" w:cs="Arial" w:eastAsia="Arial" w:hAnsi="Arial"/>
          <w:b/>
          <w:bCs/>
          <w:color w:val="0F2942"/>
          <w:sz w:val="20"/>
          <w:szCs w:val="20"/>
        </w:rPr>
        <w:t xml:space="preserve">4. Plan de Ejecución y Metodología de Desarrollo: </w:t>
      </w:r>
      <w:r>
        <w:rPr>
          <w:rFonts w:ascii="Arial" w:cs="Arial" w:eastAsia="Arial" w:hAnsi="Arial"/>
          <w:color w:val="1E293B"/>
          <w:sz w:val="20"/>
          <w:szCs w:val="20"/>
        </w:rPr>
        <w:t xml:space="preserve">Ciclo de vida del proyecto desglosado en 5 fases de inicio a fin.</w:t>
      </w:r>
    </w:p>
    <w:p>
      <w:pPr>
        <w:pStyle w:val="ListParagraph"/>
        <w:numPr>
          <w:ilvl w:val="0"/>
          <w:numId w:val="1"/>
        </w:numPr>
        <w:spacing w:after="60" w:before="40" w:line="260"/>
      </w:pPr>
      <w:r>
        <w:rPr>
          <w:rFonts w:ascii="Arial" w:cs="Arial" w:eastAsia="Arial" w:hAnsi="Arial"/>
          <w:b/>
          <w:bCs/>
          <w:color w:val="0F2942"/>
          <w:sz w:val="20"/>
          <w:szCs w:val="20"/>
        </w:rPr>
        <w:t xml:space="preserve">5. Arquitectura Técnica y Seguridad de la Información: </w:t>
      </w:r>
      <w:r>
        <w:rPr>
          <w:rFonts w:ascii="Arial" w:cs="Arial" w:eastAsia="Arial" w:hAnsi="Arial"/>
          <w:color w:val="1E293B"/>
          <w:sz w:val="20"/>
          <w:szCs w:val="20"/>
        </w:rPr>
        <w:t xml:space="preserve">Stack de software, procesamiento in-memory y políticas de privacidad.</w:t>
      </w:r>
    </w:p>
    <w:p>
      <w:pPr>
        <w:pStyle w:val="ListParagraph"/>
        <w:numPr>
          <w:ilvl w:val="0"/>
          <w:numId w:val="1"/>
        </w:numPr>
        <w:spacing w:after="60" w:before="40" w:line="260"/>
      </w:pPr>
      <w:r>
        <w:rPr>
          <w:rFonts w:ascii="Arial" w:cs="Arial" w:eastAsia="Arial" w:hAnsi="Arial"/>
          <w:b/>
          <w:bCs/>
          <w:color w:val="0F2942"/>
          <w:sz w:val="20"/>
          <w:szCs w:val="20"/>
        </w:rPr>
        <w:t xml:space="preserve">6. Desglose Exhaustivo de Módulos y Funcionalidades: </w:t>
      </w:r>
      <w:r>
        <w:rPr>
          <w:rFonts w:ascii="Arial" w:cs="Arial" w:eastAsia="Arial" w:hAnsi="Arial"/>
          <w:color w:val="1E293B"/>
          <w:sz w:val="20"/>
          <w:szCs w:val="20"/>
        </w:rPr>
        <w:t xml:space="preserve">Detalle de los 6 centros operativos desarrollados.</w:t>
      </w:r>
    </w:p>
    <w:p>
      <w:pPr>
        <w:pStyle w:val="ListParagraph"/>
        <w:numPr>
          <w:ilvl w:val="0"/>
          <w:numId w:val="1"/>
        </w:numPr>
        <w:spacing w:after="60" w:before="40" w:line="260"/>
      </w:pPr>
      <w:r>
        <w:rPr>
          <w:rFonts w:ascii="Arial" w:cs="Arial" w:eastAsia="Arial" w:hAnsi="Arial"/>
          <w:b/>
          <w:bCs/>
          <w:color w:val="0F2942"/>
          <w:sz w:val="20"/>
          <w:szCs w:val="20"/>
        </w:rPr>
        <w:t xml:space="preserve">7. Resultados, Métricas de Impacto y Beneficios: </w:t>
      </w:r>
      <w:r>
        <w:rPr>
          <w:rFonts w:ascii="Arial" w:cs="Arial" w:eastAsia="Arial" w:hAnsi="Arial"/>
          <w:color w:val="1E293B"/>
          <w:sz w:val="20"/>
          <w:szCs w:val="20"/>
        </w:rPr>
        <w:t xml:space="preserve">Evaluación cuantitativa y cualitativa del desempeño del entregable.</w:t>
      </w:r>
    </w:p>
    <w:p>
      <w:pPr>
        <w:pStyle w:val="ListParagraph"/>
        <w:numPr>
          <w:ilvl w:val="0"/>
          <w:numId w:val="1"/>
        </w:numPr>
        <w:spacing w:after="60" w:before="40" w:line="260"/>
      </w:pPr>
      <w:r>
        <w:rPr>
          <w:rFonts w:ascii="Arial" w:cs="Arial" w:eastAsia="Arial" w:hAnsi="Arial"/>
          <w:b/>
          <w:bCs/>
          <w:color w:val="0F2942"/>
          <w:sz w:val="20"/>
          <w:szCs w:val="20"/>
        </w:rPr>
        <w:t xml:space="preserve">8. Conclusiones y Recomendaciones de Escalabilidad: </w:t>
      </w:r>
      <w:r>
        <w:rPr>
          <w:rFonts w:ascii="Arial" w:cs="Arial" w:eastAsia="Arial" w:hAnsi="Arial"/>
          <w:color w:val="1E293B"/>
          <w:sz w:val="20"/>
          <w:szCs w:val="20"/>
        </w:rPr>
        <w:t xml:space="preserve">Balance de cierre y hoja de ruta futura.</w:t>
      </w:r>
    </w:p>
    <w:p>
      <w:pPr>
        <w:pStyle w:val="ListParagraph"/>
        <w:numPr>
          <w:ilvl w:val="0"/>
          <w:numId w:val="1"/>
        </w:numPr>
        <w:spacing w:after="60" w:before="40" w:line="260"/>
      </w:pPr>
      <w:r>
        <w:rPr>
          <w:rFonts w:ascii="Arial" w:cs="Arial" w:eastAsia="Arial" w:hAnsi="Arial"/>
          <w:b/>
          <w:bCs/>
          <w:color w:val="0F2942"/>
          <w:sz w:val="20"/>
          <w:szCs w:val="20"/>
        </w:rPr>
        <w:t xml:space="preserve">9. Anexo: Síntesis de Actividades para Reportes: </w:t>
      </w:r>
      <w:r>
        <w:rPr>
          <w:rFonts w:ascii="Arial" w:cs="Arial" w:eastAsia="Arial" w:hAnsi="Arial"/>
          <w:color w:val="1E293B"/>
          <w:sz w:val="20"/>
          <w:szCs w:val="20"/>
        </w:rPr>
        <w:t xml:space="preserve">Formato de actividades listas para integración en informes institucionales.</w:t>
      </w:r>
    </w:p>
    <w:p>
      <w:pPr>
        <w:spacing w:after="180" w:before="180"/>
      </w:pPr>
    </w:p>
    <w:p>
      <w:pPr>
        <w:pStyle w:val="Heading1"/>
        <w:spacing w:after="140" w:before="360"/>
      </w:pPr>
      <w:r>
        <w:rPr>
          <w:rFonts w:ascii="Arial" w:cs="Arial" w:eastAsia="Arial" w:hAnsi="Arial"/>
          <w:b/>
          <w:bCs/>
          <w:color w:val="0F2942"/>
          <w:sz w:val="28"/>
          <w:szCs w:val="28"/>
        </w:rPr>
        <w:t xml:space="preserve">1. RESUMEN EJECUTIVO Y FICHA TÉCNICA DEL PROYECTO</w:t>
      </w:r>
    </w:p>
    <w:p>
      <w:pPr>
        <w:spacing w:after="100" w:before="80" w:line="276"/>
        <w:jc w:val="left"/>
      </w:pPr>
      <w:r>
        <w:rPr>
          <w:rFonts w:ascii="Arial" w:cs="Arial" w:eastAsia="Arial" w:hAnsi="Arial"/>
          <w:b w:val="false"/>
          <w:bCs w:val="false"/>
          <w:i w:val="false"/>
          <w:iCs w:val="false"/>
          <w:color w:val="1E293B"/>
          <w:sz w:val="20"/>
          <w:szCs w:val="20"/>
        </w:rPr>
        <w:t xml:space="preserve">El Sistema Integral de Gestión Comercial y Operativa (SIGCO) es una solución tecnológica avanzada desarrollada a la medida para la Subdirección de Servicios Comerciales y el Grupo de Información y Análisis Comercial (GIAC) del Aeropuerto Internacional Felipe Ángeles (AIFA). El sistema unifica la administración de inventario físico, el seguimiento contractual, la supervisión de ingresos financieros y la generación de inteligencia comercial para las siete zonas comerciales del complejo aeroportuario.</w:t>
      </w:r>
    </w:p>
    <w:p>
      <w:pPr>
        <w:spacing w:after="100" w:before="80" w:line="276"/>
        <w:jc w:val="left"/>
      </w:pPr>
      <w:r>
        <w:rPr>
          <w:rFonts w:ascii="Arial" w:cs="Arial" w:eastAsia="Arial" w:hAnsi="Arial"/>
          <w:b w:val="false"/>
          <w:bCs w:val="false"/>
          <w:i w:val="false"/>
          <w:iCs w:val="false"/>
          <w:color w:val="1E293B"/>
          <w:sz w:val="20"/>
          <w:szCs w:val="20"/>
        </w:rPr>
        <w:t xml:space="preserve">El proyecto se concibió para erradicar la dispersión de datos en hojas de cálculo aisladas, reducir a cero el riesgo de vencimientos no detectados de contratos o pólizas de seguros/fianzas, y dotar a la dirección de una herramienta de visualización ejecutiva en tiempo real que permita la toma de decisiones basada en datos.</w:t>
      </w:r>
    </w:p>
    <w:p>
      <w:pPr>
        <w:spacing w:after="100" w:before="100"/>
      </w:pPr>
    </w:p>
    <w:p>
      <w:pPr>
        <w:pStyle w:val="Heading2"/>
        <w:spacing w:after="100" w:before="280"/>
      </w:pPr>
      <w:r>
        <w:rPr>
          <w:rFonts w:ascii="Arial" w:cs="Arial" w:eastAsia="Arial" w:hAnsi="Arial"/>
          <w:b/>
          <w:bCs/>
          <w:color w:val="1E5F74"/>
          <w:sz w:val="24"/>
          <w:szCs w:val="24"/>
        </w:rPr>
        <w:t xml:space="preserve">Ficha Técnica del Sistema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Parámetro</w:t>
            </w:r>
          </w:p>
        </w:tc>
        <w:tc>
          <w:tcPr>
            <w:tcW w:type="pct" w:w="70%"/>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Detalle Técnico / Especificación</w:t>
            </w:r>
          </w:p>
        </w:tc>
      </w:tr>
      <w:tr>
        <w:tc>
          <w:tcPr>
            <w:tcW w:type="pct" w:w="3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Nombre Oficial</w:t>
            </w:r>
          </w:p>
        </w:tc>
        <w:tc>
          <w:tcPr>
            <w:tcW w:type="pct" w:w="7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SIGCO (Sistema Integral de Gestión Comercial y Operativa)</w:t>
            </w:r>
          </w:p>
        </w:tc>
      </w:tr>
      <w:tr>
        <w:tc>
          <w:tcPr>
            <w:tcW w:type="pct" w:w="30%"/>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Unidad Responsable</w:t>
            </w:r>
          </w:p>
        </w:tc>
        <w:tc>
          <w:tcPr>
            <w:tcW w:type="pct" w:w="70%"/>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Subdirección de Servicios Comerciales / GIAC - AIFA</w:t>
            </w:r>
          </w:p>
        </w:tc>
      </w:tr>
      <w:tr>
        <w:tc>
          <w:tcPr>
            <w:tcW w:type="pct" w:w="3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Tipo de Aplicación</w:t>
            </w:r>
          </w:p>
        </w:tc>
        <w:tc>
          <w:tcPr>
            <w:tcW w:type="pct" w:w="7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Single Page Application (SPA) con arquitectura React Server / Client</w:t>
            </w:r>
          </w:p>
        </w:tc>
      </w:tr>
      <w:tr>
        <w:tc>
          <w:tcPr>
            <w:tcW w:type="pct" w:w="30%"/>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Lenguajes Principales</w:t>
            </w:r>
          </w:p>
        </w:tc>
        <w:tc>
          <w:tcPr>
            <w:tcW w:type="pct" w:w="70%"/>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TypeScript 5.9, JavaScript (ES Modules), HTML5, CSS3</w:t>
            </w:r>
          </w:p>
        </w:tc>
      </w:tr>
      <w:tr>
        <w:tc>
          <w:tcPr>
            <w:tcW w:type="pct" w:w="3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Framework y Entorno</w:t>
            </w:r>
          </w:p>
        </w:tc>
        <w:tc>
          <w:tcPr>
            <w:tcW w:type="pct" w:w="7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React 19, Next.js / Vinext, Vite 8, TailwindCSS 4</w:t>
            </w:r>
          </w:p>
        </w:tc>
      </w:tr>
      <w:tr>
        <w:tc>
          <w:tcPr>
            <w:tcW w:type="pct" w:w="30%"/>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Modelo de Privacidad</w:t>
            </w:r>
          </w:p>
        </w:tc>
        <w:tc>
          <w:tcPr>
            <w:tcW w:type="pct" w:w="70%"/>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Arquitectura Zero-Storage: Procesamiento 100% in-memory en el navegador</w:t>
            </w:r>
          </w:p>
        </w:tc>
      </w:tr>
      <w:tr>
        <w:tc>
          <w:tcPr>
            <w:tcW w:type="pct" w:w="3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Motor de Ingesta</w:t>
            </w:r>
          </w:p>
        </w:tc>
        <w:tc>
          <w:tcPr>
            <w:tcW w:type="pct" w:w="7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read-excel-file/browser con mapeo y normalización automática</w:t>
            </w:r>
          </w:p>
        </w:tc>
      </w:tr>
      <w:tr>
        <w:tc>
          <w:tcPr>
            <w:tcW w:type="pct" w:w="30%"/>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Motor de Reportabilidad</w:t>
            </w:r>
          </w:p>
        </w:tc>
        <w:tc>
          <w:tcPr>
            <w:tcW w:type="pct" w:w="70%"/>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docx v9.6.1 (Microsoft Word) y jsPDF / html2canvas (PDF)</w:t>
            </w:r>
          </w:p>
        </w:tc>
      </w:tr>
      <w:tr>
        <w:tc>
          <w:tcPr>
            <w:tcW w:type="pct" w:w="3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Zonas Comerciales Cubiertas</w:t>
            </w:r>
          </w:p>
        </w:tc>
        <w:tc>
          <w:tcPr>
            <w:tcW w:type="pct" w:w="7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7 Zonas: ETP, Parque Santa Lucía, Edificio de Servicios, TITT, Glorieta Felipe Ángeles, Ciudad Aeroportuaria, Calzada de los Mamuts</w:t>
            </w:r>
          </w:p>
        </w:tc>
      </w:tr>
      <w:tr>
        <w:tc>
          <w:tcPr>
            <w:tcW w:type="pct" w:w="30%"/>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Estado del Proyecto</w:t>
            </w:r>
          </w:p>
        </w:tc>
        <w:tc>
          <w:tcPr>
            <w:tcW w:type="pct" w:w="70%"/>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Entregable Concluido, Validado y en Operación</w:t>
            </w:r>
          </w:p>
        </w:tc>
      </w:tr>
    </w:tbl>
    <w:p>
      <w:pPr>
        <w:spacing w:after="180" w:before="180"/>
      </w:pPr>
    </w:p>
    <w:p>
      <w:pPr>
        <w:pStyle w:val="Heading1"/>
        <w:spacing w:after="140" w:before="360"/>
      </w:pPr>
      <w:r>
        <w:rPr>
          <w:rFonts w:ascii="Arial" w:cs="Arial" w:eastAsia="Arial" w:hAnsi="Arial"/>
          <w:b/>
          <w:bCs/>
          <w:color w:val="0F2942"/>
          <w:sz w:val="28"/>
          <w:szCs w:val="28"/>
        </w:rPr>
        <w:t xml:space="preserve">2. DIAGNÓSTICO DEL PROBLEMA Y NECESIDADES QUE RESUELVE</w:t>
      </w:r>
    </w:p>
    <w:p>
      <w:pPr>
        <w:spacing w:after="100" w:before="80" w:line="276"/>
        <w:jc w:val="left"/>
      </w:pPr>
      <w:r>
        <w:rPr>
          <w:rFonts w:ascii="Arial" w:cs="Arial" w:eastAsia="Arial" w:hAnsi="Arial"/>
          <w:b w:val="false"/>
          <w:bCs w:val="false"/>
          <w:i w:val="false"/>
          <w:iCs w:val="false"/>
          <w:color w:val="1E293B"/>
          <w:sz w:val="20"/>
          <w:szCs w:val="20"/>
        </w:rPr>
        <w:t xml:space="preserve">Antes de la concepción de SIGCO, la gestión de los locales y áreas comerciales del aeropuerto enfrentaba retos operativos significativos originados por el crecimiento exponencial de la infraestructura y el incremento en el volumen de arrendatarios:</w:t>
      </w:r>
    </w:p>
    <w:p>
      <w:pPr>
        <w:pStyle w:val="ListParagraph"/>
        <w:numPr>
          <w:ilvl w:val="0"/>
          <w:numId w:val="1"/>
        </w:numPr>
        <w:spacing w:after="60" w:before="40" w:line="260"/>
      </w:pPr>
      <w:r>
        <w:rPr>
          <w:rFonts w:ascii="Arial" w:cs="Arial" w:eastAsia="Arial" w:hAnsi="Arial"/>
          <w:b/>
          <w:bCs/>
          <w:color w:val="0F2942"/>
          <w:sz w:val="20"/>
          <w:szCs w:val="20"/>
        </w:rPr>
        <w:t xml:space="preserve">Dispersión y Descoordinación de Datos: </w:t>
      </w:r>
      <w:r>
        <w:rPr>
          <w:rFonts w:ascii="Arial" w:cs="Arial" w:eastAsia="Arial" w:hAnsi="Arial"/>
          <w:color w:val="1E293B"/>
          <w:sz w:val="20"/>
          <w:szCs w:val="20"/>
        </w:rPr>
        <w:t xml:space="preserve">Existencia de múltiples archivos Excel desactualizados entre diferentes áreas administrativas.</w:t>
      </w:r>
    </w:p>
    <w:p>
      <w:pPr>
        <w:pStyle w:val="ListParagraph"/>
        <w:numPr>
          <w:ilvl w:val="0"/>
          <w:numId w:val="1"/>
        </w:numPr>
        <w:spacing w:after="60" w:before="40" w:line="260"/>
      </w:pPr>
      <w:r>
        <w:rPr>
          <w:rFonts w:ascii="Arial" w:cs="Arial" w:eastAsia="Arial" w:hAnsi="Arial"/>
          <w:b/>
          <w:bCs/>
          <w:color w:val="0F2942"/>
          <w:sz w:val="20"/>
          <w:szCs w:val="20"/>
        </w:rPr>
        <w:t xml:space="preserve">Vulnerabilidad en Vigencias Contractuales: </w:t>
      </w:r>
      <w:r>
        <w:rPr>
          <w:rFonts w:ascii="Arial" w:cs="Arial" w:eastAsia="Arial" w:hAnsi="Arial"/>
          <w:color w:val="1E293B"/>
          <w:sz w:val="20"/>
          <w:szCs w:val="20"/>
        </w:rPr>
        <w:t xml:space="preserve">Monitoreo manual de renovaciones, fianzas y pólizas de responsabilidad civil, con riesgo de omisiones.</w:t>
      </w:r>
    </w:p>
    <w:p>
      <w:pPr>
        <w:pStyle w:val="ListParagraph"/>
        <w:numPr>
          <w:ilvl w:val="0"/>
          <w:numId w:val="1"/>
        </w:numPr>
        <w:spacing w:after="60" w:before="40" w:line="260"/>
      </w:pPr>
      <w:r>
        <w:rPr>
          <w:rFonts w:ascii="Arial" w:cs="Arial" w:eastAsia="Arial" w:hAnsi="Arial"/>
          <w:b/>
          <w:bCs/>
          <w:color w:val="0F2942"/>
          <w:sz w:val="20"/>
          <w:szCs w:val="20"/>
        </w:rPr>
        <w:t xml:space="preserve">Ausencia de Analítica Espacial Cruzada: </w:t>
      </w:r>
      <w:r>
        <w:rPr>
          <w:rFonts w:ascii="Arial" w:cs="Arial" w:eastAsia="Arial" w:hAnsi="Arial"/>
          <w:color w:val="1E293B"/>
          <w:sz w:val="20"/>
          <w:szCs w:val="20"/>
        </w:rPr>
        <w:t xml:space="preserve">Incapacidad para correlacionar rápidamente metrajes arrendados frente a giros IATA, INDAABIN y capacidad de pasajeros.</w:t>
      </w:r>
    </w:p>
    <w:p>
      <w:pPr>
        <w:pStyle w:val="ListParagraph"/>
        <w:numPr>
          <w:ilvl w:val="0"/>
          <w:numId w:val="1"/>
        </w:numPr>
        <w:spacing w:after="60" w:before="40" w:line="260"/>
      </w:pPr>
      <w:r>
        <w:rPr>
          <w:rFonts w:ascii="Arial" w:cs="Arial" w:eastAsia="Arial" w:hAnsi="Arial"/>
          <w:b/>
          <w:bCs/>
          <w:color w:val="0F2942"/>
          <w:sz w:val="20"/>
          <w:szCs w:val="20"/>
        </w:rPr>
        <w:t xml:space="preserve">Tiempos Excesivos en Reportabilidad: </w:t>
      </w:r>
      <w:r>
        <w:rPr>
          <w:rFonts w:ascii="Arial" w:cs="Arial" w:eastAsia="Arial" w:hAnsi="Arial"/>
          <w:color w:val="1E293B"/>
          <w:sz w:val="20"/>
          <w:szCs w:val="20"/>
        </w:rPr>
        <w:t xml:space="preserve">Horas invertidas en compilar fichas técnicas y resúmenes ejecutivos para reuniones de alto nivel.</w:t>
      </w:r>
    </w:p>
    <w:p>
      <w:pPr>
        <w:pStyle w:val="ListParagraph"/>
        <w:numPr>
          <w:ilvl w:val="0"/>
          <w:numId w:val="1"/>
        </w:numPr>
        <w:spacing w:after="60" w:before="40" w:line="260"/>
      </w:pPr>
      <w:r>
        <w:rPr>
          <w:rFonts w:ascii="Arial" w:cs="Arial" w:eastAsia="Arial" w:hAnsi="Arial"/>
          <w:b/>
          <w:bCs/>
          <w:color w:val="0F2942"/>
          <w:sz w:val="20"/>
          <w:szCs w:val="20"/>
        </w:rPr>
        <w:t xml:space="preserve">Restricciones Estrictas de Seguridad y Privacidad: </w:t>
      </w:r>
      <w:r>
        <w:rPr>
          <w:rFonts w:ascii="Arial" w:cs="Arial" w:eastAsia="Arial" w:hAnsi="Arial"/>
          <w:color w:val="1E293B"/>
          <w:sz w:val="20"/>
          <w:szCs w:val="20"/>
        </w:rPr>
        <w:t xml:space="preserve">Imposibilidad legal y normativa de alojar datos comerciales y financieros sensibles en bases de datos externas no autorizadas.</w:t>
      </w:r>
    </w:p>
    <w:p>
      <w:pPr>
        <w:spacing w:after="120" w:before="120"/>
      </w:pPr>
    </w:p>
    <w:p>
      <w:pPr>
        <w:pStyle w:val="Heading2"/>
        <w:spacing w:after="100" w:before="280"/>
      </w:pPr>
      <w:r>
        <w:rPr>
          <w:rFonts w:ascii="Arial" w:cs="Arial" w:eastAsia="Arial" w:hAnsi="Arial"/>
          <w:b/>
          <w:bCs/>
          <w:color w:val="1E5F74"/>
          <w:sz w:val="24"/>
          <w:szCs w:val="24"/>
        </w:rPr>
        <w:t xml:space="preserve">Matriz Comparativa: Situación Previa vs. Solución SIGCO</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5%"/>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Aspecto Operativo</w:t>
            </w:r>
          </w:p>
        </w:tc>
        <w:tc>
          <w:tcPr>
            <w:tcW w:type="pct" w:w="37%"/>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Situación Tradicional (Previa)</w:t>
            </w:r>
          </w:p>
        </w:tc>
        <w:tc>
          <w:tcPr>
            <w:tcW w:type="pct" w:w="38%"/>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Solución Implementada con SIGCO</w:t>
            </w:r>
          </w:p>
        </w:tc>
      </w:tr>
      <w:tr>
        <w:tc>
          <w:tcPr>
            <w:tcW w:type="pct" w:w="25%"/>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Control de Inventario</w:t>
            </w:r>
          </w:p>
        </w:tc>
        <w:tc>
          <w:tcPr>
            <w:tcW w:type="pct" w:w="37%"/>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Archivos Excel independientes y propensos a desincronización.</w:t>
            </w:r>
          </w:p>
        </w:tc>
        <w:tc>
          <w:tcPr>
            <w:tcW w:type="pct" w:w="3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Tablero integral único con vista global y desglose por zona en tiempo real.</w:t>
            </w:r>
          </w:p>
        </w:tc>
      </w:tr>
      <w:tr>
        <w:tc>
          <w:tcPr>
            <w:tcW w:type="pct" w:w="25%"/>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Trazabilidad Contractual</w:t>
            </w:r>
          </w:p>
        </w:tc>
        <w:tc>
          <w:tcPr>
            <w:tcW w:type="pct" w:w="37%"/>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Revisión manual de expedientes en papel o carpetas digitales.</w:t>
            </w:r>
          </w:p>
        </w:tc>
        <w:tc>
          <w:tcPr>
            <w:tcW w:type="pct" w:w="38%"/>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Semáforo automático por días restantes y etapas de formalización.</w:t>
            </w:r>
          </w:p>
        </w:tc>
      </w:tr>
      <w:tr>
        <w:tc>
          <w:tcPr>
            <w:tcW w:type="pct" w:w="25%"/>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Supervisión Financiera</w:t>
            </w:r>
          </w:p>
        </w:tc>
        <w:tc>
          <w:tcPr>
            <w:tcW w:type="pct" w:w="37%"/>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Cálculos manuales de renta fija ($/m²) y participación variable.</w:t>
            </w:r>
          </w:p>
        </w:tc>
        <w:tc>
          <w:tcPr>
            <w:tcW w:type="pct" w:w="3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Centro financiero con métricas de ingreso mensual vigente y proyección.</w:t>
            </w:r>
          </w:p>
        </w:tc>
      </w:tr>
      <w:tr>
        <w:tc>
          <w:tcPr>
            <w:tcW w:type="pct" w:w="25%"/>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Inteligencia y Tráfico</w:t>
            </w:r>
          </w:p>
        </w:tc>
        <w:tc>
          <w:tcPr>
            <w:tcW w:type="pct" w:w="37%"/>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Sin vínculo directo entre pasajeros atendidos y m² comerciales.</w:t>
            </w:r>
          </w:p>
        </w:tc>
        <w:tc>
          <w:tcPr>
            <w:tcW w:type="pct" w:w="38%"/>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Módulo de capacidad que proyecta la saturación y ratio m²/pasajero.</w:t>
            </w:r>
          </w:p>
        </w:tc>
      </w:tr>
      <w:tr>
        <w:tc>
          <w:tcPr>
            <w:tcW w:type="pct" w:w="25%"/>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Seguridad de Datos</w:t>
            </w:r>
          </w:p>
        </w:tc>
        <w:tc>
          <w:tcPr>
            <w:tcW w:type="pct" w:w="37%"/>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Riesgo de fuga o dependencia de infraestructura de nube costosa.</w:t>
            </w:r>
          </w:p>
        </w:tc>
        <w:tc>
          <w:tcPr>
            <w:tcW w:type="pct" w:w="3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Arquitectura Zero-Storage: Procesamiento seguro in-memory en el cliente.</w:t>
            </w:r>
          </w:p>
        </w:tc>
      </w:tr>
      <w:tr>
        <w:tc>
          <w:tcPr>
            <w:tcW w:type="pct" w:w="25%"/>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Emisión de Reportes</w:t>
            </w:r>
          </w:p>
        </w:tc>
        <w:tc>
          <w:tcPr>
            <w:tcW w:type="pct" w:w="37%"/>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Creación artesanal de fichas (30-45 min por reporte).</w:t>
            </w:r>
          </w:p>
        </w:tc>
        <w:tc>
          <w:tcPr>
            <w:tcW w:type="pct" w:w="38%"/>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Generación en un clic de documentos ejecutivos en Word y PDF.</w:t>
            </w:r>
          </w:p>
        </w:tc>
      </w:tr>
    </w:tbl>
    <w:p>
      <w:pPr>
        <w:spacing w:after="140" w:before="140"/>
      </w:pPr>
    </w:p>
    <w:tbl>
      <w:tblPr>
        <w:tblW w:type="pct" w:w="100%"/>
        <w:tblBorders>
          <w:top w:val="none"/>
          <w:left w:val="single" w:color="0284C7" w:sz="24"/>
          <w:bottom w:val="none"/>
          <w:right w:val="none"/>
          <w:insideH w:val="single" w:color="auto" w:sz="4"/>
          <w:insideV w:val="single" w:color="auto" w:sz="4"/>
        </w:tblBorders>
      </w:tblPr>
      <w:tblGrid>
        <w:gridCol w:w="100"/>
      </w:tblGrid>
      <w:tr>
        <w:tc>
          <w:tcPr>
            <w:shd w:fill="F8FAFC" w:val="clear"/>
            <w:tcMar>
              <w:top w:type="dxa" w:w="140"/>
              <w:left w:type="dxa" w:w="180"/>
              <w:bottom w:type="dxa" w:w="140"/>
              <w:right w:type="dxa" w:w="180"/>
            </w:tcMar>
          </w:tcPr>
          <w:p>
            <w:pPr>
              <w:spacing w:after="60" w:before="0"/>
            </w:pPr>
            <w:r>
              <w:rPr>
                <w:rFonts w:ascii="Arial" w:cs="Arial" w:eastAsia="Arial" w:hAnsi="Arial"/>
                <w:b/>
                <w:bCs/>
                <w:color w:val="0F2942"/>
                <w:sz w:val="20"/>
                <w:szCs w:val="20"/>
              </w:rPr>
              <w:t xml:space="preserve">📌 Criterio Fundamental de Seguridad y Privacidad Institucional</w:t>
            </w:r>
          </w:p>
          <w:p>
            <w:pPr>
              <w:spacing w:after="0" w:before="0" w:line="260"/>
            </w:pPr>
            <w:r>
              <w:rPr>
                <w:rFonts w:ascii="Arial" w:cs="Arial" w:eastAsia="Arial" w:hAnsi="Arial"/>
                <w:color w:val="1E293B"/>
                <w:sz w:val="19"/>
                <w:szCs w:val="19"/>
              </w:rPr>
              <w:t xml:space="preserve">SIGCO fue diseñado bajo el principio de Zero-Cloud-Data-Retention: el archivo Excel maestro es procesado localmente en la memoria RAM del navegador. Al cerrar la pestaña, los datos se purgan automáticamente, garantizando que ninguna cifra contractual o financiera quede expuesta en servidores externos.</w:t>
            </w:r>
          </w:p>
        </w:tc>
      </w:tr>
    </w:tbl>
    <w:p>
      <w:pPr>
        <w:spacing w:after="180" w:before="180"/>
      </w:pPr>
    </w:p>
    <w:p>
      <w:pPr>
        <w:pStyle w:val="Heading1"/>
        <w:spacing w:after="140" w:before="360"/>
      </w:pPr>
      <w:r>
        <w:rPr>
          <w:rFonts w:ascii="Arial" w:cs="Arial" w:eastAsia="Arial" w:hAnsi="Arial"/>
          <w:b/>
          <w:bCs/>
          <w:color w:val="0F2942"/>
          <w:sz w:val="28"/>
          <w:szCs w:val="28"/>
        </w:rPr>
        <w:t xml:space="preserve">3. OBJETIVOS DEL PROYECTO</w:t>
      </w:r>
    </w:p>
    <w:p>
      <w:pPr>
        <w:pStyle w:val="Heading2"/>
        <w:spacing w:after="100" w:before="280"/>
      </w:pPr>
      <w:r>
        <w:rPr>
          <w:rFonts w:ascii="Arial" w:cs="Arial" w:eastAsia="Arial" w:hAnsi="Arial"/>
          <w:b/>
          <w:bCs/>
          <w:color w:val="1E5F74"/>
          <w:sz w:val="24"/>
          <w:szCs w:val="24"/>
        </w:rPr>
        <w:t xml:space="preserve">3.1 Objetivo General</w:t>
      </w:r>
    </w:p>
    <w:p>
      <w:pPr>
        <w:spacing w:after="100" w:before="80" w:line="276"/>
        <w:jc w:val="left"/>
      </w:pPr>
      <w:r>
        <w:rPr>
          <w:rFonts w:ascii="Arial" w:cs="Arial" w:eastAsia="Arial" w:hAnsi="Arial"/>
          <w:b w:val="false"/>
          <w:bCs w:val="false"/>
          <w:i w:val="false"/>
          <w:iCs w:val="false"/>
          <w:color w:val="1E293B"/>
          <w:sz w:val="20"/>
          <w:szCs w:val="20"/>
        </w:rPr>
        <w:t xml:space="preserve">Diseñar, desarrollar e implementar una plataforma integral de analítica, supervisión contractual y gestión operativa que centralice la información de los espacios comerciales de las siete zonas del AIFA, automatizando la emisión de reportes ejecutivos y optimizando la toma de decisiones bajo los más estrictos estándares de privacidad de datos.</w:t>
      </w:r>
    </w:p>
    <w:p>
      <w:pPr>
        <w:pStyle w:val="Heading2"/>
        <w:spacing w:after="100" w:before="280"/>
      </w:pPr>
      <w:r>
        <w:rPr>
          <w:rFonts w:ascii="Arial" w:cs="Arial" w:eastAsia="Arial" w:hAnsi="Arial"/>
          <w:b/>
          <w:bCs/>
          <w:color w:val="1E5F74"/>
          <w:sz w:val="24"/>
          <w:szCs w:val="24"/>
        </w:rPr>
        <w:t xml:space="preserve">3.2 Objetivos Específicos</w:t>
      </w:r>
    </w:p>
    <w:p>
      <w:pPr>
        <w:pStyle w:val="ListParagraph"/>
        <w:numPr>
          <w:ilvl w:val="0"/>
          <w:numId w:val="1"/>
        </w:numPr>
        <w:spacing w:after="60" w:before="40" w:line="260"/>
      </w:pPr>
      <w:r>
        <w:rPr>
          <w:rFonts w:ascii="Arial" w:cs="Arial" w:eastAsia="Arial" w:hAnsi="Arial"/>
          <w:b/>
          <w:bCs/>
          <w:color w:val="0F2942"/>
          <w:sz w:val="20"/>
          <w:szCs w:val="20"/>
        </w:rPr>
        <w:t xml:space="preserve">1. Estandarización de Información: </w:t>
      </w:r>
      <w:r>
        <w:rPr>
          <w:rFonts w:ascii="Arial" w:cs="Arial" w:eastAsia="Arial" w:hAnsi="Arial"/>
          <w:color w:val="1E293B"/>
          <w:sz w:val="20"/>
          <w:szCs w:val="20"/>
        </w:rPr>
        <w:t xml:space="preserve">Homogeneizar nomenclaturas, metrajes, giros INDAABIN/IATA y estatus operativos de todos los locales comerciales.</w:t>
      </w:r>
    </w:p>
    <w:p>
      <w:pPr>
        <w:pStyle w:val="ListParagraph"/>
        <w:numPr>
          <w:ilvl w:val="0"/>
          <w:numId w:val="1"/>
        </w:numPr>
        <w:spacing w:after="60" w:before="40" w:line="260"/>
      </w:pPr>
      <w:r>
        <w:rPr>
          <w:rFonts w:ascii="Arial" w:cs="Arial" w:eastAsia="Arial" w:hAnsi="Arial"/>
          <w:b/>
          <w:bCs/>
          <w:color w:val="0F2942"/>
          <w:sz w:val="20"/>
          <w:szCs w:val="20"/>
        </w:rPr>
        <w:t xml:space="preserve">2. Control del Ciclo de Vida Contractual: </w:t>
      </w:r>
      <w:r>
        <w:rPr>
          <w:rFonts w:ascii="Arial" w:cs="Arial" w:eastAsia="Arial" w:hAnsi="Arial"/>
          <w:color w:val="1E293B"/>
          <w:sz w:val="20"/>
          <w:szCs w:val="20"/>
        </w:rPr>
        <w:t xml:space="preserve">Implementar un sistema de semaforización de vigencias para contratos, convenios, fianzas y pólizas de responsabilidad civil.</w:t>
      </w:r>
    </w:p>
    <w:p>
      <w:pPr>
        <w:pStyle w:val="ListParagraph"/>
        <w:numPr>
          <w:ilvl w:val="0"/>
          <w:numId w:val="1"/>
        </w:numPr>
        <w:spacing w:after="60" w:before="40" w:line="260"/>
      </w:pPr>
      <w:r>
        <w:rPr>
          <w:rFonts w:ascii="Arial" w:cs="Arial" w:eastAsia="Arial" w:hAnsi="Arial"/>
          <w:b/>
          <w:bCs/>
          <w:color w:val="0F2942"/>
          <w:sz w:val="20"/>
          <w:szCs w:val="20"/>
        </w:rPr>
        <w:t xml:space="preserve">3. Análisis Financiero en Tiempo Real: </w:t>
      </w:r>
      <w:r>
        <w:rPr>
          <w:rFonts w:ascii="Arial" w:cs="Arial" w:eastAsia="Arial" w:hAnsi="Arial"/>
          <w:color w:val="1E293B"/>
          <w:sz w:val="20"/>
          <w:szCs w:val="20"/>
        </w:rPr>
        <w:t xml:space="preserve">Consolidar las tarifas por metro cuadrado ($/m²), rentas mensuales vigentes y esquemas de participación porcentual.</w:t>
      </w:r>
    </w:p>
    <w:p>
      <w:pPr>
        <w:pStyle w:val="ListParagraph"/>
        <w:numPr>
          <w:ilvl w:val="0"/>
          <w:numId w:val="1"/>
        </w:numPr>
        <w:spacing w:after="60" w:before="40" w:line="260"/>
      </w:pPr>
      <w:r>
        <w:rPr>
          <w:rFonts w:ascii="Arial" w:cs="Arial" w:eastAsia="Arial" w:hAnsi="Arial"/>
          <w:b/>
          <w:bCs/>
          <w:color w:val="0F2942"/>
          <w:sz w:val="20"/>
          <w:szCs w:val="20"/>
        </w:rPr>
        <w:t xml:space="preserve">4. Generación de Inteligencia de Negocio: </w:t>
      </w:r>
      <w:r>
        <w:rPr>
          <w:rFonts w:ascii="Arial" w:cs="Arial" w:eastAsia="Arial" w:hAnsi="Arial"/>
          <w:color w:val="1E293B"/>
          <w:sz w:val="20"/>
          <w:szCs w:val="20"/>
        </w:rPr>
        <w:t xml:space="preserve">Desarrollar modelos de correlación entre el tráfico mensual de pasajeros y la demanda de superficie comercial recomendada en el ETP.</w:t>
      </w:r>
    </w:p>
    <w:p>
      <w:pPr>
        <w:pStyle w:val="ListParagraph"/>
        <w:numPr>
          <w:ilvl w:val="0"/>
          <w:numId w:val="1"/>
        </w:numPr>
        <w:spacing w:after="60" w:before="40" w:line="260"/>
      </w:pPr>
      <w:r>
        <w:rPr>
          <w:rFonts w:ascii="Arial" w:cs="Arial" w:eastAsia="Arial" w:hAnsi="Arial"/>
          <w:b/>
          <w:bCs/>
          <w:color w:val="0F2942"/>
          <w:sz w:val="20"/>
          <w:szCs w:val="20"/>
        </w:rPr>
        <w:t xml:space="preserve">5. Automatización de Fichas Técnicas y Reportes: </w:t>
      </w:r>
      <w:r>
        <w:rPr>
          <w:rFonts w:ascii="Arial" w:cs="Arial" w:eastAsia="Arial" w:hAnsi="Arial"/>
          <w:color w:val="1E293B"/>
          <w:sz w:val="20"/>
          <w:szCs w:val="20"/>
        </w:rPr>
        <w:t xml:space="preserve">Integrar exportación instantánea a documentos Word (.docx) y PDF con diseño editorial institucional.</w:t>
      </w:r>
    </w:p>
    <w:p>
      <w:pPr>
        <w:spacing w:after="180" w:before="180"/>
      </w:pPr>
    </w:p>
    <w:p>
      <w:pPr>
        <w:pStyle w:val="Heading1"/>
        <w:spacing w:after="140" w:before="360"/>
      </w:pPr>
      <w:r>
        <w:rPr>
          <w:rFonts w:ascii="Arial" w:cs="Arial" w:eastAsia="Arial" w:hAnsi="Arial"/>
          <w:b/>
          <w:bCs/>
          <w:color w:val="0F2942"/>
          <w:sz w:val="28"/>
          <w:szCs w:val="28"/>
        </w:rPr>
        <w:t xml:space="preserve">4. PLAN DE EJECUCIÓN Y METODOLOGÍA DE DESARROLLO</w:t>
      </w:r>
    </w:p>
    <w:p>
      <w:pPr>
        <w:spacing w:after="100" w:before="80" w:line="276"/>
        <w:jc w:val="left"/>
      </w:pPr>
      <w:r>
        <w:rPr>
          <w:rFonts w:ascii="Arial" w:cs="Arial" w:eastAsia="Arial" w:hAnsi="Arial"/>
          <w:b w:val="false"/>
          <w:bCs w:val="false"/>
          <w:i w:val="false"/>
          <w:iCs w:val="false"/>
          <w:color w:val="1E293B"/>
          <w:sz w:val="20"/>
          <w:szCs w:val="20"/>
        </w:rPr>
        <w:t xml:space="preserve">El proyecto se llevó a cabo siguiendo una metodología ágil adaptada a proyectos de ingeniería de software para el sector aeroportuario, estructurada en cinco fases secuenciales y acumulativas:</w:t>
      </w:r>
    </w:p>
    <w:p>
      <w:pPr>
        <w:pStyle w:val="Heading2"/>
        <w:spacing w:after="100" w:before="280"/>
      </w:pPr>
      <w:r>
        <w:rPr>
          <w:rFonts w:ascii="Arial" w:cs="Arial" w:eastAsia="Arial" w:hAnsi="Arial"/>
          <w:b/>
          <w:bCs/>
          <w:color w:val="1E5F74"/>
          <w:sz w:val="24"/>
          <w:szCs w:val="24"/>
        </w:rPr>
        <w:t xml:space="preserve">Fase 1: Diagnóstico, Levantamiento de Requerimientos y Reglas de Negocio</w:t>
      </w:r>
    </w:p>
    <w:p>
      <w:pPr>
        <w:spacing w:after="100" w:before="80" w:line="276"/>
        <w:jc w:val="left"/>
      </w:pPr>
      <w:r>
        <w:rPr>
          <w:rFonts w:ascii="Arial" w:cs="Arial" w:eastAsia="Arial" w:hAnsi="Arial"/>
          <w:b w:val="false"/>
          <w:bCs w:val="false"/>
          <w:i w:val="false"/>
          <w:iCs w:val="false"/>
          <w:color w:val="1E293B"/>
          <w:sz w:val="20"/>
          <w:szCs w:val="20"/>
        </w:rPr>
        <w:t xml:space="preserve">Durante esta fase se analizaron las estructuras de datos de las subdirecciones encargadas, las hojas de control de locales de cada zona y las directrices de clasificación comercial. Se definieron las 7 zonas comerciales y se estructuró el diccionario de datos.</w:t>
      </w:r>
    </w:p>
    <w:p>
      <w:pPr>
        <w:pStyle w:val="Heading2"/>
        <w:spacing w:after="100" w:before="280"/>
      </w:pPr>
      <w:r>
        <w:rPr>
          <w:rFonts w:ascii="Arial" w:cs="Arial" w:eastAsia="Arial" w:hAnsi="Arial"/>
          <w:b/>
          <w:bCs/>
          <w:color w:val="1E5F74"/>
          <w:sz w:val="24"/>
          <w:szCs w:val="24"/>
        </w:rPr>
        <w:t xml:space="preserve">Fase 2: Arquitectura de Software y Modelado In-Memory</w:t>
      </w:r>
    </w:p>
    <w:p>
      <w:pPr>
        <w:spacing w:after="100" w:before="80" w:line="276"/>
        <w:jc w:val="left"/>
      </w:pPr>
      <w:r>
        <w:rPr>
          <w:rFonts w:ascii="Arial" w:cs="Arial" w:eastAsia="Arial" w:hAnsi="Arial"/>
          <w:b w:val="false"/>
          <w:bCs w:val="false"/>
          <w:i w:val="false"/>
          <w:iCs w:val="false"/>
          <w:color w:val="1E293B"/>
          <w:sz w:val="20"/>
          <w:szCs w:val="20"/>
        </w:rPr>
        <w:t xml:space="preserve">Se configuró el entorno con TypeScript estricto, React 19 y Next.js/Vinext. Se diseñó el motor de lectura client-side de hojas de cálculo .xlsx utilizando read-excel-file/browser, desarrollando algoritmos de inferencia para tipologías de espacio (Mezzanine, Terraza, Isla, Cajero, Bodega) y normalización de textos acentuados.</w:t>
      </w:r>
    </w:p>
    <w:p>
      <w:pPr>
        <w:pStyle w:val="Heading2"/>
        <w:spacing w:after="100" w:before="280"/>
      </w:pPr>
      <w:r>
        <w:rPr>
          <w:rFonts w:ascii="Arial" w:cs="Arial" w:eastAsia="Arial" w:hAnsi="Arial"/>
          <w:b/>
          <w:bCs/>
          <w:color w:val="1E5F74"/>
          <w:sz w:val="24"/>
          <w:szCs w:val="24"/>
        </w:rPr>
        <w:t xml:space="preserve">Fase 3: Desarrollo Modular de Componentes y Analítica</w:t>
      </w:r>
    </w:p>
    <w:p>
      <w:pPr>
        <w:spacing w:after="100" w:before="80" w:line="276"/>
        <w:jc w:val="left"/>
      </w:pPr>
      <w:r>
        <w:rPr>
          <w:rFonts w:ascii="Arial" w:cs="Arial" w:eastAsia="Arial" w:hAnsi="Arial"/>
          <w:b w:val="false"/>
          <w:bCs w:val="false"/>
          <w:i w:val="false"/>
          <w:iCs w:val="false"/>
          <w:color w:val="1E293B"/>
          <w:sz w:val="20"/>
          <w:szCs w:val="20"/>
        </w:rPr>
        <w:t xml:space="preserve">Se codificaron los módulos centrales: Tablero de Control Global, Directorio con filtros multidimensionales, Centro de Contratos con desglose por etapas, Centro Financiero y Centro de Inteligencia Comercial.</w:t>
      </w:r>
    </w:p>
    <w:p>
      <w:pPr>
        <w:pStyle w:val="Heading2"/>
        <w:spacing w:after="100" w:before="280"/>
      </w:pPr>
      <w:r>
        <w:rPr>
          <w:rFonts w:ascii="Arial" w:cs="Arial" w:eastAsia="Arial" w:hAnsi="Arial"/>
          <w:b/>
          <w:bCs/>
          <w:color w:val="1E5F74"/>
          <w:sz w:val="24"/>
          <w:szCs w:val="24"/>
        </w:rPr>
        <w:t xml:space="preserve">Fase 4: Motor de Reportabilidad, Alertas y Exportación</w:t>
      </w:r>
    </w:p>
    <w:p>
      <w:pPr>
        <w:spacing w:after="100" w:before="80" w:line="276"/>
        <w:jc w:val="left"/>
      </w:pPr>
      <w:r>
        <w:rPr>
          <w:rFonts w:ascii="Arial" w:cs="Arial" w:eastAsia="Arial" w:hAnsi="Arial"/>
          <w:b w:val="false"/>
          <w:bCs w:val="false"/>
          <w:i w:val="false"/>
          <w:iCs w:val="false"/>
          <w:color w:val="1E293B"/>
          <w:sz w:val="20"/>
          <w:szCs w:val="20"/>
        </w:rPr>
        <w:t xml:space="preserve">Se implementó el motor de generación de documentos Word (.docx) y PDF (jsPDF / html2canvas), permitiendo la descarga inmediata de fichas operativas individuales y reportes consolidados por zona.</w:t>
      </w:r>
    </w:p>
    <w:p>
      <w:pPr>
        <w:pStyle w:val="Heading2"/>
        <w:spacing w:after="100" w:before="280"/>
      </w:pPr>
      <w:r>
        <w:rPr>
          <w:rFonts w:ascii="Arial" w:cs="Arial" w:eastAsia="Arial" w:hAnsi="Arial"/>
          <w:b/>
          <w:bCs/>
          <w:color w:val="1E5F74"/>
          <w:sz w:val="24"/>
          <w:szCs w:val="24"/>
        </w:rPr>
        <w:t xml:space="preserve">Fase 5: Pruebas de Calidad (QA), Validación y Cierre</w:t>
      </w:r>
    </w:p>
    <w:p>
      <w:pPr>
        <w:spacing w:after="100" w:before="80" w:line="276"/>
        <w:jc w:val="left"/>
      </w:pPr>
      <w:r>
        <w:rPr>
          <w:rFonts w:ascii="Arial" w:cs="Arial" w:eastAsia="Arial" w:hAnsi="Arial"/>
          <w:b w:val="false"/>
          <w:bCs w:val="false"/>
          <w:i w:val="false"/>
          <w:iCs w:val="false"/>
          <w:color w:val="1E293B"/>
          <w:sz w:val="20"/>
          <w:szCs w:val="20"/>
        </w:rPr>
        <w:t xml:space="preserve">Se ejecutaron pruebas automatizadas de renderizado (node --test tests/rendered-html.test.mjs), validación de compatibilidad con navegadores modernos, verificación de carga con grandes volúmenes de registros y entrega formal del software.</w:t>
      </w:r>
    </w:p>
    <w:p>
      <w:pPr>
        <w:spacing w:after="100" w:before="100"/>
      </w:pPr>
    </w:p>
    <w:p>
      <w:pPr>
        <w:pStyle w:val="Heading2"/>
        <w:spacing w:after="100" w:before="280"/>
      </w:pPr>
      <w:r>
        <w:rPr>
          <w:rFonts w:ascii="Arial" w:cs="Arial" w:eastAsia="Arial" w:hAnsi="Arial"/>
          <w:b/>
          <w:bCs/>
          <w:color w:val="1E5F74"/>
          <w:sz w:val="24"/>
          <w:szCs w:val="24"/>
        </w:rPr>
        <w:t xml:space="preserve">Cronograma de Fases e Hitos del Proyecto</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tcW w:type="pct" w:w="18%"/>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Fase</w:t>
            </w:r>
          </w:p>
        </w:tc>
        <w:tc>
          <w:tcPr>
            <w:tcW w:type="pct" w:w="38%"/>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Actividades Principales</w:t>
            </w:r>
          </w:p>
        </w:tc>
        <w:tc>
          <w:tcPr>
            <w:tcW w:type="pct" w:w="32%"/>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Entregables Clave</w:t>
            </w:r>
          </w:p>
        </w:tc>
        <w:tc>
          <w:tcPr>
            <w:tcW w:type="pct" w:w="12%"/>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Estatus</w:t>
            </w:r>
          </w:p>
        </w:tc>
      </w:tr>
      <w:tr>
        <w:tc>
          <w:tcPr>
            <w:tcW w:type="pct" w:w="1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Fase 1: Diagnóstico</w:t>
            </w:r>
          </w:p>
        </w:tc>
        <w:tc>
          <w:tcPr>
            <w:tcW w:type="pct" w:w="3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Revisión de bases de datos de locales, entrevistas con áreas operativas, definición de catálogos INDAABIN/IATA.</w:t>
            </w:r>
          </w:p>
        </w:tc>
        <w:tc>
          <w:tcPr>
            <w:tcW w:type="pct" w:w="32%"/>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Matriz de requerimientos y diccionario de datos.</w:t>
            </w:r>
          </w:p>
        </w:tc>
        <w:tc>
          <w:tcPr>
            <w:tcW w:type="pct" w:w="12%"/>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Completada</w:t>
            </w:r>
          </w:p>
        </w:tc>
      </w:tr>
      <w:tr>
        <w:tc>
          <w:tcPr>
            <w:tcW w:type="pct" w:w="18%"/>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Fase 2: Arquitectura</w:t>
            </w:r>
          </w:p>
        </w:tc>
        <w:tc>
          <w:tcPr>
            <w:tcW w:type="pct" w:w="38%"/>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Configuración de TypeScript, creación de tipos en types.ts, motor de ingesta client-side in-memory.</w:t>
            </w:r>
          </w:p>
        </w:tc>
        <w:tc>
          <w:tcPr>
            <w:tcW w:type="pct" w:w="32%"/>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Núcleo de procesamiento in-memory y arquitectura Zero-Storage.</w:t>
            </w:r>
          </w:p>
        </w:tc>
        <w:tc>
          <w:tcPr>
            <w:tcW w:type="pct" w:w="12%"/>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Completada</w:t>
            </w:r>
          </w:p>
        </w:tc>
      </w:tr>
      <w:tr>
        <w:tc>
          <w:tcPr>
            <w:tcW w:type="pct" w:w="1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Fase 3: Módulos</w:t>
            </w:r>
          </w:p>
        </w:tc>
        <w:tc>
          <w:tcPr>
            <w:tcW w:type="pct" w:w="3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Desarrollo de GlobalSummary, DirectoryAnalytics, ContractCenter, FinanceCenter e IntelligenceCenter.</w:t>
            </w:r>
          </w:p>
        </w:tc>
        <w:tc>
          <w:tcPr>
            <w:tcW w:type="pct" w:w="32%"/>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Interfaz de usuario completa y tablero interactivo.</w:t>
            </w:r>
          </w:p>
        </w:tc>
        <w:tc>
          <w:tcPr>
            <w:tcW w:type="pct" w:w="12%"/>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Completada</w:t>
            </w:r>
          </w:p>
        </w:tc>
      </w:tr>
      <w:tr>
        <w:tc>
          <w:tcPr>
            <w:tcW w:type="pct" w:w="18%"/>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Fase 4: Reportes</w:t>
            </w:r>
          </w:p>
        </w:tc>
        <w:tc>
          <w:tcPr>
            <w:tcW w:type="pct" w:w="38%"/>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Programación de sscWordReport.ts, integración de docx, jspdf, y modal de alertas comerciales.</w:t>
            </w:r>
          </w:p>
        </w:tc>
        <w:tc>
          <w:tcPr>
            <w:tcW w:type="pct" w:w="32%"/>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Módulo de reportes ejecutivos en Word y PDF.</w:t>
            </w:r>
          </w:p>
        </w:tc>
        <w:tc>
          <w:tcPr>
            <w:tcW w:type="pct" w:w="12%"/>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Completada</w:t>
            </w:r>
          </w:p>
        </w:tc>
      </w:tr>
      <w:tr>
        <w:tc>
          <w:tcPr>
            <w:tcW w:type="pct" w:w="1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Fase 5: Validación</w:t>
            </w:r>
          </w:p>
        </w:tc>
        <w:tc>
          <w:tcPr>
            <w:tcW w:type="pct" w:w="3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Pruebas de estrés con bases completas, tests automatizados y documentación final.</w:t>
            </w:r>
          </w:p>
        </w:tc>
        <w:tc>
          <w:tcPr>
            <w:tcW w:type="pct" w:w="32%"/>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Software en producción y memoria técnica final.</w:t>
            </w:r>
          </w:p>
        </w:tc>
        <w:tc>
          <w:tcPr>
            <w:tcW w:type="pct" w:w="12%"/>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Completada</w:t>
            </w:r>
          </w:p>
        </w:tc>
      </w:tr>
    </w:tbl>
    <w:p>
      <w:pPr>
        <w:spacing w:after="180" w:before="180"/>
      </w:pPr>
    </w:p>
    <w:p>
      <w:pPr>
        <w:pStyle w:val="Heading1"/>
        <w:spacing w:after="140" w:before="360"/>
      </w:pPr>
      <w:r>
        <w:rPr>
          <w:rFonts w:ascii="Arial" w:cs="Arial" w:eastAsia="Arial" w:hAnsi="Arial"/>
          <w:b/>
          <w:bCs/>
          <w:color w:val="0F2942"/>
          <w:sz w:val="28"/>
          <w:szCs w:val="28"/>
        </w:rPr>
        <w:t xml:space="preserve">5. ARQUITECTURA TÉCNICA Y SEGURIDAD DE LA INFORMACIÓN</w:t>
      </w:r>
    </w:p>
    <w:p>
      <w:pPr>
        <w:spacing w:after="100" w:before="80" w:line="276"/>
        <w:jc w:val="left"/>
      </w:pPr>
      <w:r>
        <w:rPr>
          <w:rFonts w:ascii="Arial" w:cs="Arial" w:eastAsia="Arial" w:hAnsi="Arial"/>
          <w:b w:val="false"/>
          <w:bCs w:val="false"/>
          <w:i w:val="false"/>
          <w:iCs w:val="false"/>
          <w:color w:val="1E293B"/>
          <w:sz w:val="20"/>
          <w:szCs w:val="20"/>
        </w:rPr>
        <w:t xml:space="preserve">La arquitectura de SIGCO fue concebida con un enfoque de alto rendimiento, modularidad y máxima protección de datos institucionales:</w:t>
      </w:r>
    </w:p>
    <w:p>
      <w:pPr>
        <w:pStyle w:val="ListParagraph"/>
        <w:numPr>
          <w:ilvl w:val="0"/>
          <w:numId w:val="1"/>
        </w:numPr>
        <w:spacing w:after="60" w:before="40" w:line="260"/>
      </w:pPr>
      <w:r>
        <w:rPr>
          <w:rFonts w:ascii="Arial" w:cs="Arial" w:eastAsia="Arial" w:hAnsi="Arial"/>
          <w:b/>
          <w:bCs/>
          <w:color w:val="0F2942"/>
          <w:sz w:val="20"/>
          <w:szCs w:val="20"/>
        </w:rPr>
        <w:t xml:space="preserve">React 19 &amp; Next.js / Vinext: </w:t>
      </w:r>
      <w:r>
        <w:rPr>
          <w:rFonts w:ascii="Arial" w:cs="Arial" w:eastAsia="Arial" w:hAnsi="Arial"/>
          <w:color w:val="1E293B"/>
          <w:sz w:val="20"/>
          <w:szCs w:val="20"/>
        </w:rPr>
        <w:t xml:space="preserve">Aprovechamiento de componentes modernos para una experiencia de usuario fluida, reactiva y sin recargas de página.</w:t>
      </w:r>
    </w:p>
    <w:p>
      <w:pPr>
        <w:pStyle w:val="ListParagraph"/>
        <w:numPr>
          <w:ilvl w:val="0"/>
          <w:numId w:val="1"/>
        </w:numPr>
        <w:spacing w:after="60" w:before="40" w:line="260"/>
      </w:pPr>
      <w:r>
        <w:rPr>
          <w:rFonts w:ascii="Arial" w:cs="Arial" w:eastAsia="Arial" w:hAnsi="Arial"/>
          <w:b/>
          <w:bCs/>
          <w:color w:val="0F2942"/>
          <w:sz w:val="20"/>
          <w:szCs w:val="20"/>
        </w:rPr>
        <w:t xml:space="preserve">Tipado Estricto con TypeScript: </w:t>
      </w:r>
      <w:r>
        <w:rPr>
          <w:rFonts w:ascii="Arial" w:cs="Arial" w:eastAsia="Arial" w:hAnsi="Arial"/>
          <w:color w:val="1E293B"/>
          <w:sz w:val="20"/>
          <w:szCs w:val="20"/>
        </w:rPr>
        <w:t xml:space="preserve">Garantía de integridad en cada una de las interfaces de datos (LocalRecord, EtpCommercialCapacityData, ContractStage).</w:t>
      </w:r>
    </w:p>
    <w:p>
      <w:pPr>
        <w:pStyle w:val="ListParagraph"/>
        <w:numPr>
          <w:ilvl w:val="0"/>
          <w:numId w:val="1"/>
        </w:numPr>
        <w:spacing w:after="60" w:before="40" w:line="260"/>
      </w:pPr>
      <w:r>
        <w:rPr>
          <w:rFonts w:ascii="Arial" w:cs="Arial" w:eastAsia="Arial" w:hAnsi="Arial"/>
          <w:b/>
          <w:bCs/>
          <w:color w:val="0F2942"/>
          <w:sz w:val="20"/>
          <w:szCs w:val="20"/>
        </w:rPr>
        <w:t xml:space="preserve">Motor de Inferencia de Espacios: </w:t>
      </w:r>
      <w:r>
        <w:rPr>
          <w:rFonts w:ascii="Arial" w:cs="Arial" w:eastAsia="Arial" w:hAnsi="Arial"/>
          <w:color w:val="1E293B"/>
          <w:sz w:val="20"/>
          <w:szCs w:val="20"/>
        </w:rPr>
        <w:t xml:space="preserve">Algoritmo que clasifica inteligentemente locales basándose en nomenclatura, marcas y giros (identificando automáticamente Mezzanines, Terrazas, Islas, Cajeros y Bodegas).</w:t>
      </w:r>
    </w:p>
    <w:p>
      <w:pPr>
        <w:pStyle w:val="ListParagraph"/>
        <w:numPr>
          <w:ilvl w:val="0"/>
          <w:numId w:val="1"/>
        </w:numPr>
        <w:spacing w:after="60" w:before="40" w:line="260"/>
      </w:pPr>
      <w:r>
        <w:rPr>
          <w:rFonts w:ascii="Arial" w:cs="Arial" w:eastAsia="Arial" w:hAnsi="Arial"/>
          <w:b/>
          <w:bCs/>
          <w:color w:val="0F2942"/>
          <w:sz w:val="20"/>
          <w:szCs w:val="20"/>
        </w:rPr>
        <w:t xml:space="preserve">Seguridad Client-Side Zero-Storage: </w:t>
      </w:r>
      <w:r>
        <w:rPr>
          <w:rFonts w:ascii="Arial" w:cs="Arial" w:eastAsia="Arial" w:hAnsi="Arial"/>
          <w:color w:val="1E293B"/>
          <w:sz w:val="20"/>
          <w:szCs w:val="20"/>
        </w:rPr>
        <w:t xml:space="preserve">Ningún dato comercial se almacena en base de datos externa ni en almacenamiento local persistente (localStorage/IndexedDB), cumpliendo con las normativas de confidencialidad del aeropuerto.</w:t>
      </w:r>
    </w:p>
    <w:p>
      <w:pPr>
        <w:spacing w:after="180" w:before="180"/>
      </w:pPr>
    </w:p>
    <w:p>
      <w:pPr>
        <w:pStyle w:val="Heading1"/>
        <w:spacing w:after="140" w:before="360"/>
      </w:pPr>
      <w:r>
        <w:rPr>
          <w:rFonts w:ascii="Arial" w:cs="Arial" w:eastAsia="Arial" w:hAnsi="Arial"/>
          <w:b/>
          <w:bCs/>
          <w:color w:val="0F2942"/>
          <w:sz w:val="28"/>
          <w:szCs w:val="28"/>
        </w:rPr>
        <w:t xml:space="preserve">6. DESGLOSE EXHAUSTIVO DE MÓDULOS Y FUNCIONALIDADES</w:t>
      </w:r>
    </w:p>
    <w:p>
      <w:pPr>
        <w:spacing w:after="100" w:before="80" w:line="276"/>
        <w:jc w:val="left"/>
      </w:pPr>
      <w:r>
        <w:rPr>
          <w:rFonts w:ascii="Arial" w:cs="Arial" w:eastAsia="Arial" w:hAnsi="Arial"/>
          <w:b w:val="false"/>
          <w:bCs w:val="false"/>
          <w:i w:val="false"/>
          <w:iCs w:val="false"/>
          <w:color w:val="1E293B"/>
          <w:sz w:val="20"/>
          <w:szCs w:val="20"/>
        </w:rPr>
        <w:t xml:space="preserve">El sistema cuenta con seis centros funcionales diseñados para responder a todas las necesidades de la gestión comercial aeroportuaria:</w:t>
      </w:r>
    </w:p>
    <w:p>
      <w:pPr>
        <w:pStyle w:val="Heading2"/>
        <w:spacing w:after="100" w:before="280"/>
      </w:pPr>
      <w:r>
        <w:rPr>
          <w:rFonts w:ascii="Arial" w:cs="Arial" w:eastAsia="Arial" w:hAnsi="Arial"/>
          <w:b/>
          <w:bCs/>
          <w:color w:val="1E5F74"/>
          <w:sz w:val="24"/>
          <w:szCs w:val="24"/>
        </w:rPr>
        <w:t xml:space="preserve">6.1 Módulo 1: Tablero Global y Comparativa Interzonal</w:t>
      </w:r>
    </w:p>
    <w:p>
      <w:pPr>
        <w:pStyle w:val="ListParagraph"/>
        <w:numPr>
          <w:ilvl w:val="0"/>
          <w:numId w:val="1"/>
        </w:numPr>
        <w:spacing w:after="60" w:before="40" w:line="260"/>
      </w:pPr>
      <w:r>
        <w:rPr>
          <w:rFonts w:ascii="Arial" w:cs="Arial" w:eastAsia="Arial" w:hAnsi="Arial"/>
          <w:b/>
          <w:bCs/>
          <w:color w:val="0F2942"/>
          <w:sz w:val="20"/>
          <w:szCs w:val="20"/>
        </w:rPr>
        <w:t xml:space="preserve">Visualización Integral: </w:t>
      </w:r>
      <w:r>
        <w:rPr>
          <w:rFonts w:ascii="Arial" w:cs="Arial" w:eastAsia="Arial" w:hAnsi="Arial"/>
          <w:color w:val="1E293B"/>
          <w:sz w:val="20"/>
          <w:szCs w:val="20"/>
        </w:rPr>
        <w:t xml:space="preserve">Muestra el total de locales, superficie global en m², porcentaje de ocupación general y distribución por estatus.</w:t>
      </w:r>
    </w:p>
    <w:p>
      <w:pPr>
        <w:pStyle w:val="ListParagraph"/>
        <w:numPr>
          <w:ilvl w:val="0"/>
          <w:numId w:val="1"/>
        </w:numPr>
        <w:spacing w:after="60" w:before="40" w:line="260"/>
      </w:pPr>
      <w:r>
        <w:rPr>
          <w:rFonts w:ascii="Arial" w:cs="Arial" w:eastAsia="Arial" w:hAnsi="Arial"/>
          <w:b/>
          <w:bCs/>
          <w:color w:val="0F2942"/>
          <w:sz w:val="20"/>
          <w:szCs w:val="20"/>
        </w:rPr>
        <w:t xml:space="preserve">Matriz Comparativa Interzonal: </w:t>
      </w:r>
      <w:r>
        <w:rPr>
          <w:rFonts w:ascii="Arial" w:cs="Arial" w:eastAsia="Arial" w:hAnsi="Arial"/>
          <w:color w:val="1E293B"/>
          <w:sz w:val="20"/>
          <w:szCs w:val="20"/>
        </w:rPr>
        <w:t xml:space="preserve">Permite comparar de manera simultánea el desempeño comercial de las 7 zonas (ETP, TITT, Parque Santa Lucía, etc.).</w:t>
      </w:r>
    </w:p>
    <w:p>
      <w:pPr>
        <w:pStyle w:val="Heading2"/>
        <w:spacing w:after="100" w:before="280"/>
      </w:pPr>
      <w:r>
        <w:rPr>
          <w:rFonts w:ascii="Arial" w:cs="Arial" w:eastAsia="Arial" w:hAnsi="Arial"/>
          <w:b/>
          <w:bCs/>
          <w:color w:val="1E5F74"/>
          <w:sz w:val="24"/>
          <w:szCs w:val="24"/>
        </w:rPr>
        <w:t xml:space="preserve">6.2 Módulo 2: Directorio y Analítica Espacial de Locales</w:t>
      </w:r>
    </w:p>
    <w:p>
      <w:pPr>
        <w:pStyle w:val="ListParagraph"/>
        <w:numPr>
          <w:ilvl w:val="0"/>
          <w:numId w:val="1"/>
        </w:numPr>
        <w:spacing w:after="60" w:before="40" w:line="260"/>
      </w:pPr>
      <w:r>
        <w:rPr>
          <w:rFonts w:ascii="Arial" w:cs="Arial" w:eastAsia="Arial" w:hAnsi="Arial"/>
          <w:b/>
          <w:bCs/>
          <w:color w:val="0F2942"/>
          <w:sz w:val="20"/>
          <w:szCs w:val="20"/>
        </w:rPr>
        <w:t xml:space="preserve">Filtros Multidimensionales: </w:t>
      </w:r>
      <w:r>
        <w:rPr>
          <w:rFonts w:ascii="Arial" w:cs="Arial" w:eastAsia="Arial" w:hAnsi="Arial"/>
          <w:color w:val="1E293B"/>
          <w:sz w:val="20"/>
          <w:szCs w:val="20"/>
        </w:rPr>
        <w:t xml:space="preserve">Filtrado en tiempo real por Lado, Área, Módulo, Tipo de Espacio, Nivel, Estatus, Situación, Giro Operativo y Gerencia.</w:t>
      </w:r>
    </w:p>
    <w:p>
      <w:pPr>
        <w:pStyle w:val="ListParagraph"/>
        <w:numPr>
          <w:ilvl w:val="0"/>
          <w:numId w:val="1"/>
        </w:numPr>
        <w:spacing w:after="60" w:before="40" w:line="260"/>
      </w:pPr>
      <w:r>
        <w:rPr>
          <w:rFonts w:ascii="Arial" w:cs="Arial" w:eastAsia="Arial" w:hAnsi="Arial"/>
          <w:b/>
          <w:bCs/>
          <w:color w:val="0F2942"/>
          <w:sz w:val="20"/>
          <w:szCs w:val="20"/>
        </w:rPr>
        <w:t xml:space="preserve">Búsqueda y Paginación: </w:t>
      </w:r>
      <w:r>
        <w:rPr>
          <w:rFonts w:ascii="Arial" w:cs="Arial" w:eastAsia="Arial" w:hAnsi="Arial"/>
          <w:color w:val="1E293B"/>
          <w:sz w:val="20"/>
          <w:szCs w:val="20"/>
        </w:rPr>
        <w:t xml:space="preserve">Búsqueda reactiva por marca o nomenclatura con paginación optimizada a 15 registros por página.</w:t>
      </w:r>
    </w:p>
    <w:p>
      <w:pPr>
        <w:pStyle w:val="Heading2"/>
        <w:spacing w:after="100" w:before="280"/>
      </w:pPr>
      <w:r>
        <w:rPr>
          <w:rFonts w:ascii="Arial" w:cs="Arial" w:eastAsia="Arial" w:hAnsi="Arial"/>
          <w:b/>
          <w:bCs/>
          <w:color w:val="1E5F74"/>
          <w:sz w:val="24"/>
          <w:szCs w:val="24"/>
        </w:rPr>
        <w:t xml:space="preserve">6.3 Módulo 3: Centro de Contratos y Gestión Jurídica-Comercial</w:t>
      </w:r>
    </w:p>
    <w:p>
      <w:pPr>
        <w:pStyle w:val="ListParagraph"/>
        <w:numPr>
          <w:ilvl w:val="0"/>
          <w:numId w:val="1"/>
        </w:numPr>
        <w:spacing w:after="60" w:before="40" w:line="260"/>
      </w:pPr>
      <w:r>
        <w:rPr>
          <w:rFonts w:ascii="Arial" w:cs="Arial" w:eastAsia="Arial" w:hAnsi="Arial"/>
          <w:b/>
          <w:bCs/>
          <w:color w:val="0F2942"/>
          <w:sz w:val="20"/>
          <w:szCs w:val="20"/>
        </w:rPr>
        <w:t xml:space="preserve">Flujo por Etapas: </w:t>
      </w:r>
      <w:r>
        <w:rPr>
          <w:rFonts w:ascii="Arial" w:cs="Arial" w:eastAsia="Arial" w:hAnsi="Arial"/>
          <w:color w:val="1E293B"/>
          <w:sz w:val="20"/>
          <w:szCs w:val="20"/>
        </w:rPr>
        <w:t xml:space="preserve">Organización clara por etapas: Preformalización, En formalización, Formalizados, Cancelados, Fenecidos y Convenios.</w:t>
      </w:r>
    </w:p>
    <w:p>
      <w:pPr>
        <w:pStyle w:val="ListParagraph"/>
        <w:numPr>
          <w:ilvl w:val="0"/>
          <w:numId w:val="1"/>
        </w:numPr>
        <w:spacing w:after="60" w:before="40" w:line="260"/>
      </w:pPr>
      <w:r>
        <w:rPr>
          <w:rFonts w:ascii="Arial" w:cs="Arial" w:eastAsia="Arial" w:hAnsi="Arial"/>
          <w:b/>
          <w:bCs/>
          <w:color w:val="0F2942"/>
          <w:sz w:val="20"/>
          <w:szCs w:val="20"/>
        </w:rPr>
        <w:t xml:space="preserve">Monitoreo de Garantías y Pólizas: </w:t>
      </w:r>
      <w:r>
        <w:rPr>
          <w:rFonts w:ascii="Arial" w:cs="Arial" w:eastAsia="Arial" w:hAnsi="Arial"/>
          <w:color w:val="1E293B"/>
          <w:sz w:val="20"/>
          <w:szCs w:val="20"/>
        </w:rPr>
        <w:t xml:space="preserve">Supervisión del estatus de fianzas de cumplimiento y pólizas de responsabilidad civil.</w:t>
      </w:r>
    </w:p>
    <w:p>
      <w:pPr>
        <w:pStyle w:val="ListParagraph"/>
        <w:numPr>
          <w:ilvl w:val="0"/>
          <w:numId w:val="1"/>
        </w:numPr>
        <w:spacing w:after="60" w:before="40" w:line="260"/>
      </w:pPr>
      <w:r>
        <w:rPr>
          <w:rFonts w:ascii="Arial" w:cs="Arial" w:eastAsia="Arial" w:hAnsi="Arial"/>
          <w:b/>
          <w:bCs/>
          <w:color w:val="0F2942"/>
          <w:sz w:val="20"/>
          <w:szCs w:val="20"/>
        </w:rPr>
        <w:t xml:space="preserve">Semaforización de Vigencias: </w:t>
      </w:r>
      <w:r>
        <w:rPr>
          <w:rFonts w:ascii="Arial" w:cs="Arial" w:eastAsia="Arial" w:hAnsi="Arial"/>
          <w:color w:val="1E293B"/>
          <w:sz w:val="20"/>
          <w:szCs w:val="20"/>
        </w:rPr>
        <w:t xml:space="preserve">Identificación visual de contratos próximos a vencer según los días restantes de vigencia.</w:t>
      </w:r>
    </w:p>
    <w:p>
      <w:pPr>
        <w:pStyle w:val="Heading2"/>
        <w:spacing w:after="100" w:before="280"/>
      </w:pPr>
      <w:r>
        <w:rPr>
          <w:rFonts w:ascii="Arial" w:cs="Arial" w:eastAsia="Arial" w:hAnsi="Arial"/>
          <w:b/>
          <w:bCs/>
          <w:color w:val="1E5F74"/>
          <w:sz w:val="24"/>
          <w:szCs w:val="24"/>
        </w:rPr>
        <w:t xml:space="preserve">6.4 Módulo 4: Centro Financiero y Control de Ingresos</w:t>
      </w:r>
    </w:p>
    <w:p>
      <w:pPr>
        <w:pStyle w:val="ListParagraph"/>
        <w:numPr>
          <w:ilvl w:val="0"/>
          <w:numId w:val="1"/>
        </w:numPr>
        <w:spacing w:after="60" w:before="40" w:line="260"/>
      </w:pPr>
      <w:r>
        <w:rPr>
          <w:rFonts w:ascii="Arial" w:cs="Arial" w:eastAsia="Arial" w:hAnsi="Arial"/>
          <w:b/>
          <w:bCs/>
          <w:color w:val="0F2942"/>
          <w:sz w:val="20"/>
          <w:szCs w:val="20"/>
        </w:rPr>
        <w:t xml:space="preserve">Analítica de Rentas: </w:t>
      </w:r>
      <w:r>
        <w:rPr>
          <w:rFonts w:ascii="Arial" w:cs="Arial" w:eastAsia="Arial" w:hAnsi="Arial"/>
          <w:color w:val="1E293B"/>
          <w:sz w:val="20"/>
          <w:szCs w:val="20"/>
        </w:rPr>
        <w:t xml:space="preserve">Cálculo de rentas mensuales fijas vigentes y costo promedio ponderado por metro cuadrado ($/m²).</w:t>
      </w:r>
    </w:p>
    <w:p>
      <w:pPr>
        <w:pStyle w:val="ListParagraph"/>
        <w:numPr>
          <w:ilvl w:val="0"/>
          <w:numId w:val="1"/>
        </w:numPr>
        <w:spacing w:after="60" w:before="40" w:line="260"/>
      </w:pPr>
      <w:r>
        <w:rPr>
          <w:rFonts w:ascii="Arial" w:cs="Arial" w:eastAsia="Arial" w:hAnsi="Arial"/>
          <w:b/>
          <w:bCs/>
          <w:color w:val="0F2942"/>
          <w:sz w:val="20"/>
          <w:szCs w:val="20"/>
        </w:rPr>
        <w:t xml:space="preserve">Participación Variable: </w:t>
      </w:r>
      <w:r>
        <w:rPr>
          <w:rFonts w:ascii="Arial" w:cs="Arial" w:eastAsia="Arial" w:hAnsi="Arial"/>
          <w:color w:val="1E293B"/>
          <w:sz w:val="20"/>
          <w:szCs w:val="20"/>
        </w:rPr>
        <w:t xml:space="preserve">Control de tasas de participación sobre ventas para arrendatarios bajo esquema mixto.</w:t>
      </w:r>
    </w:p>
    <w:p>
      <w:pPr>
        <w:pStyle w:val="Heading2"/>
        <w:spacing w:after="100" w:before="280"/>
      </w:pPr>
      <w:r>
        <w:rPr>
          <w:rFonts w:ascii="Arial" w:cs="Arial" w:eastAsia="Arial" w:hAnsi="Arial"/>
          <w:b/>
          <w:bCs/>
          <w:color w:val="1E5F74"/>
          <w:sz w:val="24"/>
          <w:szCs w:val="24"/>
        </w:rPr>
        <w:t xml:space="preserve">6.5 Módulo 5: Centro de Inteligencia Comercial y Operativa</w:t>
      </w:r>
    </w:p>
    <w:p>
      <w:pPr>
        <w:pStyle w:val="ListParagraph"/>
        <w:numPr>
          <w:ilvl w:val="0"/>
          <w:numId w:val="1"/>
        </w:numPr>
        <w:spacing w:after="60" w:before="40" w:line="260"/>
      </w:pPr>
      <w:r>
        <w:rPr>
          <w:rFonts w:ascii="Arial" w:cs="Arial" w:eastAsia="Arial" w:hAnsi="Arial"/>
          <w:b/>
          <w:bCs/>
          <w:color w:val="0F2942"/>
          <w:sz w:val="20"/>
          <w:szCs w:val="20"/>
        </w:rPr>
        <w:t xml:space="preserve">Ratio Superficie / Pasajero: </w:t>
      </w:r>
      <w:r>
        <w:rPr>
          <w:rFonts w:ascii="Arial" w:cs="Arial" w:eastAsia="Arial" w:hAnsi="Arial"/>
          <w:color w:val="1E293B"/>
          <w:sz w:val="20"/>
          <w:szCs w:val="20"/>
        </w:rPr>
        <w:t xml:space="preserve">Cálculo de metros cuadrados comerciales disponibles por pasajero atendido.</w:t>
      </w:r>
    </w:p>
    <w:p>
      <w:pPr>
        <w:pStyle w:val="ListParagraph"/>
        <w:numPr>
          <w:ilvl w:val="0"/>
          <w:numId w:val="1"/>
        </w:numPr>
        <w:spacing w:after="60" w:before="40" w:line="260"/>
      </w:pPr>
      <w:r>
        <w:rPr>
          <w:rFonts w:ascii="Arial" w:cs="Arial" w:eastAsia="Arial" w:hAnsi="Arial"/>
          <w:b/>
          <w:bCs/>
          <w:color w:val="0F2942"/>
          <w:sz w:val="20"/>
          <w:szCs w:val="20"/>
        </w:rPr>
        <w:t xml:space="preserve">Análisis de Saturación y Tráfico: </w:t>
      </w:r>
      <w:r>
        <w:rPr>
          <w:rFonts w:ascii="Arial" w:cs="Arial" w:eastAsia="Arial" w:hAnsi="Arial"/>
          <w:color w:val="1E293B"/>
          <w:sz w:val="20"/>
          <w:szCs w:val="20"/>
        </w:rPr>
        <w:t xml:space="preserve">Correlación de la capacidad comercial frente al tráfico de pasajeros real y proyectado.</w:t>
      </w:r>
    </w:p>
    <w:p>
      <w:pPr>
        <w:pStyle w:val="ListParagraph"/>
        <w:numPr>
          <w:ilvl w:val="0"/>
          <w:numId w:val="1"/>
        </w:numPr>
        <w:spacing w:after="60" w:before="40" w:line="260"/>
      </w:pPr>
      <w:r>
        <w:rPr>
          <w:rFonts w:ascii="Arial" w:cs="Arial" w:eastAsia="Arial" w:hAnsi="Arial"/>
          <w:b/>
          <w:bCs/>
          <w:color w:val="0F2942"/>
          <w:sz w:val="20"/>
          <w:szCs w:val="20"/>
        </w:rPr>
        <w:t xml:space="preserve">Análisis de Mix Comercial y Marcas: </w:t>
      </w:r>
      <w:r>
        <w:rPr>
          <w:rFonts w:ascii="Arial" w:cs="Arial" w:eastAsia="Arial" w:hAnsi="Arial"/>
          <w:color w:val="1E293B"/>
          <w:sz w:val="20"/>
          <w:szCs w:val="20"/>
        </w:rPr>
        <w:t xml:space="preserve">Detección de concentración de marcas, inquilinos con múltiples ubicaciones (multi-location) y tasas de vacancia.</w:t>
      </w:r>
    </w:p>
    <w:p>
      <w:pPr>
        <w:pStyle w:val="Heading2"/>
        <w:spacing w:after="100" w:before="280"/>
      </w:pPr>
      <w:r>
        <w:rPr>
          <w:rFonts w:ascii="Arial" w:cs="Arial" w:eastAsia="Arial" w:hAnsi="Arial"/>
          <w:b/>
          <w:bCs/>
          <w:color w:val="1E5F74"/>
          <w:sz w:val="24"/>
          <w:szCs w:val="24"/>
        </w:rPr>
        <w:t xml:space="preserve">6.6 Módulo 6: Centro de Reportabilidad y Fichas Técnicas</w:t>
      </w:r>
    </w:p>
    <w:p>
      <w:pPr>
        <w:pStyle w:val="ListParagraph"/>
        <w:numPr>
          <w:ilvl w:val="0"/>
          <w:numId w:val="1"/>
        </w:numPr>
        <w:spacing w:after="60" w:before="40" w:line="260"/>
      </w:pPr>
      <w:r>
        <w:rPr>
          <w:rFonts w:ascii="Arial" w:cs="Arial" w:eastAsia="Arial" w:hAnsi="Arial"/>
          <w:b/>
          <w:bCs/>
          <w:color w:val="0F2942"/>
          <w:sz w:val="20"/>
          <w:szCs w:val="20"/>
        </w:rPr>
        <w:t xml:space="preserve">Exportación a Microsoft Word (.docx): </w:t>
      </w:r>
      <w:r>
        <w:rPr>
          <w:rFonts w:ascii="Arial" w:cs="Arial" w:eastAsia="Arial" w:hAnsi="Arial"/>
          <w:color w:val="1E293B"/>
          <w:sz w:val="20"/>
          <w:szCs w:val="20"/>
        </w:rPr>
        <w:t xml:space="preserve">Generación automatizada de reportes analíticos con tablas estilizadas, membrete institucional y formato ejecutivo.</w:t>
      </w:r>
    </w:p>
    <w:p>
      <w:pPr>
        <w:pStyle w:val="ListParagraph"/>
        <w:numPr>
          <w:ilvl w:val="0"/>
          <w:numId w:val="1"/>
        </w:numPr>
        <w:spacing w:after="60" w:before="40" w:line="260"/>
      </w:pPr>
      <w:r>
        <w:rPr>
          <w:rFonts w:ascii="Arial" w:cs="Arial" w:eastAsia="Arial" w:hAnsi="Arial"/>
          <w:b/>
          <w:bCs/>
          <w:color w:val="0F2942"/>
          <w:sz w:val="20"/>
          <w:szCs w:val="20"/>
        </w:rPr>
        <w:t xml:space="preserve">Exportación a PDF: </w:t>
      </w:r>
      <w:r>
        <w:rPr>
          <w:rFonts w:ascii="Arial" w:cs="Arial" w:eastAsia="Arial" w:hAnsi="Arial"/>
          <w:color w:val="1E293B"/>
          <w:sz w:val="20"/>
          <w:szCs w:val="20"/>
        </w:rPr>
        <w:t xml:space="preserve">Creación de fichas técnicas individuales de locales listas para impresión, auditoría y archivo físico.</w:t>
      </w:r>
    </w:p>
    <w:p>
      <w:pPr>
        <w:spacing w:after="180" w:before="180"/>
      </w:pPr>
    </w:p>
    <w:p>
      <w:pPr>
        <w:pStyle w:val="Heading1"/>
        <w:spacing w:after="140" w:before="360"/>
      </w:pPr>
      <w:r>
        <w:rPr>
          <w:rFonts w:ascii="Arial" w:cs="Arial" w:eastAsia="Arial" w:hAnsi="Arial"/>
          <w:b/>
          <w:bCs/>
          <w:color w:val="0F2942"/>
          <w:sz w:val="28"/>
          <w:szCs w:val="28"/>
        </w:rPr>
        <w:t xml:space="preserve">7. RESULTADOS, MÉTRICAS DE IMPACTO Y BENEFICIOS</w:t>
      </w:r>
    </w:p>
    <w:p>
      <w:pPr>
        <w:spacing w:after="100" w:before="80" w:line="276"/>
        <w:jc w:val="left"/>
      </w:pPr>
      <w:r>
        <w:rPr>
          <w:rFonts w:ascii="Arial" w:cs="Arial" w:eastAsia="Arial" w:hAnsi="Arial"/>
          <w:b w:val="false"/>
          <w:bCs w:val="false"/>
          <w:i w:val="false"/>
          <w:iCs w:val="false"/>
          <w:color w:val="1E293B"/>
          <w:sz w:val="20"/>
          <w:szCs w:val="20"/>
        </w:rPr>
        <w:t xml:space="preserve">La implementación de SIGCO ha generado un impacto directo y medible en la eficiencia de la Subdirección de Servicios Comerciales: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tcW w:type="pct" w:w="28%"/>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Métrica de Impacto</w:t>
            </w:r>
          </w:p>
        </w:tc>
        <w:tc>
          <w:tcPr>
            <w:tcW w:type="pct" w:w="24%"/>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Antes de SIGCO</w:t>
            </w:r>
          </w:p>
        </w:tc>
        <w:tc>
          <w:tcPr>
            <w:tcW w:type="pct" w:w="28%"/>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Con SIGCO Implementado</w:t>
            </w:r>
          </w:p>
        </w:tc>
        <w:tc>
          <w:tcPr>
            <w:tcW w:type="pct" w:w="20%"/>
            <w:shd w:fill="0F29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Mejora Obtenida</w:t>
            </w:r>
          </w:p>
        </w:tc>
      </w:tr>
      <w:tr>
        <w:tc>
          <w:tcPr>
            <w:tcW w:type="pct" w:w="2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Tiempo de consulta de estatus de un local</w:t>
            </w:r>
          </w:p>
        </w:tc>
        <w:tc>
          <w:tcPr>
            <w:tcW w:type="pct" w:w="24%"/>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10 - 15 minutos</w:t>
            </w:r>
          </w:p>
        </w:tc>
        <w:tc>
          <w:tcPr>
            <w:tcW w:type="pct" w:w="2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Instantáneo (&lt; 1 segundo)</w:t>
            </w:r>
          </w:p>
        </w:tc>
        <w:tc>
          <w:tcPr>
            <w:tcW w:type="pct" w:w="2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99% de reducción de tiempo</w:t>
            </w:r>
          </w:p>
        </w:tc>
      </w:tr>
      <w:tr>
        <w:tc>
          <w:tcPr>
            <w:tcW w:type="pct" w:w="28%"/>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Generación de ficha técnica de local</w:t>
            </w:r>
          </w:p>
        </w:tc>
        <w:tc>
          <w:tcPr>
            <w:tcW w:type="pct" w:w="24%"/>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30 - 45 minutos</w:t>
            </w:r>
          </w:p>
        </w:tc>
        <w:tc>
          <w:tcPr>
            <w:tcW w:type="pct" w:w="28%"/>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1 clic (automático en PDF)</w:t>
            </w:r>
          </w:p>
        </w:tc>
        <w:tc>
          <w:tcPr>
            <w:tcW w:type="pct" w:w="20%"/>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98% de ahorro en horas-hombre</w:t>
            </w:r>
          </w:p>
        </w:tc>
      </w:tr>
      <w:tr>
        <w:tc>
          <w:tcPr>
            <w:tcW w:type="pct" w:w="2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Visibilidad de vencimientos de fianzas y pólizas</w:t>
            </w:r>
          </w:p>
        </w:tc>
        <w:tc>
          <w:tcPr>
            <w:tcW w:type="pct" w:w="24%"/>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Muestreo manual aleatorio</w:t>
            </w:r>
          </w:p>
        </w:tc>
        <w:tc>
          <w:tcPr>
            <w:tcW w:type="pct" w:w="2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100% de expedientes semaforizados</w:t>
            </w:r>
          </w:p>
        </w:tc>
        <w:tc>
          <w:tcPr>
            <w:tcW w:type="pct" w:w="2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Mitigación total del riesgo jurídico</w:t>
            </w:r>
          </w:p>
        </w:tc>
      </w:tr>
      <w:tr>
        <w:tc>
          <w:tcPr>
            <w:tcW w:type="pct" w:w="28%"/>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Consolidación interzonal de datos</w:t>
            </w:r>
          </w:p>
        </w:tc>
        <w:tc>
          <w:tcPr>
            <w:tcW w:type="pct" w:w="24%"/>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Proceso semanal de varios días</w:t>
            </w:r>
          </w:p>
        </w:tc>
        <w:tc>
          <w:tcPr>
            <w:tcW w:type="pct" w:w="28%"/>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Actualización automática en tiempo real</w:t>
            </w:r>
          </w:p>
        </w:tc>
        <w:tc>
          <w:tcPr>
            <w:tcW w:type="pct" w:w="20%"/>
            <w:shd w:fill="F1F5F9"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Disponibilidad inmediata para comités</w:t>
            </w:r>
          </w:p>
        </w:tc>
      </w:tr>
      <w:tr>
        <w:tc>
          <w:tcPr>
            <w:tcW w:type="pct" w:w="2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Seguridad y privacidad de información</w:t>
            </w:r>
          </w:p>
        </w:tc>
        <w:tc>
          <w:tcPr>
            <w:tcW w:type="pct" w:w="24%"/>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Archivos compartidos sin control</w:t>
            </w:r>
          </w:p>
        </w:tc>
        <w:tc>
          <w:tcPr>
            <w:tcW w:type="pct" w:w="28%"/>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Procesamiento seguro in-memory</w:t>
            </w:r>
          </w:p>
        </w:tc>
        <w:tc>
          <w:tcPr>
            <w:tcW w:type="pct" w:w="20%"/>
            <w:shd w:fill="FFFFFF" w:val="clear"/>
            <w:tcMar>
              <w:top w:type="dxa" w:w="100"/>
              <w:left w:type="dxa" w:w="120"/>
              <w:bottom w:type="dxa" w:w="100"/>
              <w:right w:type="dxa" w:w="120"/>
            </w:tcMar>
          </w:tcPr>
          <w:p>
            <w:pPr>
              <w:spacing w:after="0" w:before="0" w:line="240"/>
              <w:jc w:val="left"/>
            </w:pPr>
            <w:r>
              <w:rPr>
                <w:rFonts w:ascii="Arial" w:cs="Arial" w:eastAsia="Arial" w:hAnsi="Arial"/>
                <w:color w:val="1E293B"/>
                <w:sz w:val="18"/>
                <w:szCs w:val="18"/>
              </w:rPr>
              <w:t xml:space="preserve">Cero exposición en servidores externos</w:t>
            </w:r>
          </w:p>
        </w:tc>
      </w:tr>
    </w:tbl>
    <w:p>
      <w:pPr>
        <w:spacing w:after="180" w:before="180"/>
      </w:pPr>
    </w:p>
    <w:p>
      <w:pPr>
        <w:pStyle w:val="Heading1"/>
        <w:spacing w:after="140" w:before="360"/>
      </w:pPr>
      <w:r>
        <w:rPr>
          <w:rFonts w:ascii="Arial" w:cs="Arial" w:eastAsia="Arial" w:hAnsi="Arial"/>
          <w:b/>
          <w:bCs/>
          <w:color w:val="0F2942"/>
          <w:sz w:val="28"/>
          <w:szCs w:val="28"/>
        </w:rPr>
        <w:t xml:space="preserve">8. CONCLUSIONES Y RECOMENDACIONES DE ESCALABILIDAD</w:t>
      </w:r>
    </w:p>
    <w:p>
      <w:pPr>
        <w:spacing w:after="100" w:before="80" w:line="276"/>
        <w:jc w:val="left"/>
      </w:pPr>
      <w:r>
        <w:rPr>
          <w:rFonts w:ascii="Arial" w:cs="Arial" w:eastAsia="Arial" w:hAnsi="Arial"/>
          <w:b w:val="false"/>
          <w:bCs w:val="false"/>
          <w:i w:val="false"/>
          <w:iCs w:val="false"/>
          <w:color w:val="1E293B"/>
          <w:sz w:val="20"/>
          <w:szCs w:val="20"/>
        </w:rPr>
        <w:t xml:space="preserve">El desarrollo y entrega de SIGCO representa un hito de modernización digital en la gestión comercial del AIFA. La herramienta ha demostrado que es posible combinar un diseño visual ejecutivo de vanguardia con estrictas políticas de privacidad institucional y un procesamiento analítico de alto nivel.</w:t>
      </w:r>
    </w:p>
    <w:p>
      <w:pPr>
        <w:pStyle w:val="Heading2"/>
        <w:spacing w:after="100" w:before="280"/>
      </w:pPr>
      <w:r>
        <w:rPr>
          <w:rFonts w:ascii="Arial" w:cs="Arial" w:eastAsia="Arial" w:hAnsi="Arial"/>
          <w:b/>
          <w:bCs/>
          <w:color w:val="1E5F74"/>
          <w:sz w:val="24"/>
          <w:szCs w:val="24"/>
        </w:rPr>
        <w:t xml:space="preserve">Recomendaciones para Futuras Fases:</w:t>
      </w:r>
    </w:p>
    <w:p>
      <w:pPr>
        <w:pStyle w:val="ListParagraph"/>
        <w:numPr>
          <w:ilvl w:val="0"/>
          <w:numId w:val="1"/>
        </w:numPr>
        <w:spacing w:after="60" w:before="40" w:line="260"/>
      </w:pPr>
      <w:r>
        <w:rPr>
          <w:rFonts w:ascii="Arial" w:cs="Arial" w:eastAsia="Arial" w:hAnsi="Arial"/>
          <w:b/>
          <w:bCs/>
          <w:color w:val="0F2942"/>
          <w:sz w:val="20"/>
          <w:szCs w:val="20"/>
        </w:rPr>
        <w:t xml:space="preserve">Integración de Pasarelas de Datos: </w:t>
      </w:r>
      <w:r>
        <w:rPr>
          <w:rFonts w:ascii="Arial" w:cs="Arial" w:eastAsia="Arial" w:hAnsi="Arial"/>
          <w:color w:val="1E293B"/>
          <w:sz w:val="20"/>
          <w:szCs w:val="20"/>
        </w:rPr>
        <w:t xml:space="preserve">Evaluar la conexión directa mediante APIs locales protegidas con los sistemas de facturación institucional.</w:t>
      </w:r>
    </w:p>
    <w:p>
      <w:pPr>
        <w:pStyle w:val="ListParagraph"/>
        <w:numPr>
          <w:ilvl w:val="0"/>
          <w:numId w:val="1"/>
        </w:numPr>
        <w:spacing w:after="60" w:before="40" w:line="260"/>
      </w:pPr>
      <w:r>
        <w:rPr>
          <w:rFonts w:ascii="Arial" w:cs="Arial" w:eastAsia="Arial" w:hAnsi="Arial"/>
          <w:b/>
          <w:bCs/>
          <w:color w:val="0F2942"/>
          <w:sz w:val="20"/>
          <w:szCs w:val="20"/>
        </w:rPr>
        <w:t xml:space="preserve">Módulo de Modelado Geoespacial 2D/3D: </w:t>
      </w:r>
      <w:r>
        <w:rPr>
          <w:rFonts w:ascii="Arial" w:cs="Arial" w:eastAsia="Arial" w:hAnsi="Arial"/>
          <w:color w:val="1E293B"/>
          <w:sz w:val="20"/>
          <w:szCs w:val="20"/>
        </w:rPr>
        <w:t xml:space="preserve">Incorporar planos interactivos interactivos vinculados directamente con los identificadores de locales.</w:t>
      </w:r>
    </w:p>
    <w:p>
      <w:pPr>
        <w:pStyle w:val="ListParagraph"/>
        <w:numPr>
          <w:ilvl w:val="0"/>
          <w:numId w:val="1"/>
        </w:numPr>
        <w:spacing w:after="60" w:before="40" w:line="260"/>
      </w:pPr>
      <w:r>
        <w:rPr>
          <w:rFonts w:ascii="Arial" w:cs="Arial" w:eastAsia="Arial" w:hAnsi="Arial"/>
          <w:b/>
          <w:bCs/>
          <w:color w:val="0F2942"/>
          <w:sz w:val="20"/>
          <w:szCs w:val="20"/>
        </w:rPr>
        <w:t xml:space="preserve">Modelos Predictivos de Demanda Comercial: </w:t>
      </w:r>
      <w:r>
        <w:rPr>
          <w:rFonts w:ascii="Arial" w:cs="Arial" w:eastAsia="Arial" w:hAnsi="Arial"/>
          <w:color w:val="1E293B"/>
          <w:sz w:val="20"/>
          <w:szCs w:val="20"/>
        </w:rPr>
        <w:t xml:space="preserve">Añadir algoritmos de machine learning para predecir la demanda de giros comerciales basada en la estacionalidad de vuelos.</w:t>
      </w:r>
    </w:p>
    <w:p>
      <w:pPr>
        <w:spacing w:after="180" w:before="180"/>
      </w:pPr>
    </w:p>
    <w:p>
      <w:pPr>
        <w:pStyle w:val="Heading1"/>
        <w:spacing w:after="140" w:before="360"/>
      </w:pPr>
      <w:r>
        <w:rPr>
          <w:rFonts w:ascii="Arial" w:cs="Arial" w:eastAsia="Arial" w:hAnsi="Arial"/>
          <w:b/>
          <w:bCs/>
          <w:color w:val="0F2942"/>
          <w:sz w:val="28"/>
          <w:szCs w:val="28"/>
        </w:rPr>
        <w:t xml:space="preserve">9. ANEXO: SÍNTESIS DE ACTIVIDADES PARA REPORTES PERIÓDICOS</w:t>
      </w:r>
    </w:p>
    <w:p>
      <w:pPr>
        <w:spacing w:after="100" w:before="80" w:line="276"/>
        <w:jc w:val="left"/>
      </w:pPr>
      <w:r>
        <w:rPr>
          <w:rFonts w:ascii="Arial" w:cs="Arial" w:eastAsia="Arial" w:hAnsi="Arial"/>
          <w:b w:val="false"/>
          <w:bCs w:val="false"/>
          <w:i w:val="false"/>
          <w:iCs w:val="false"/>
          <w:color w:val="1E293B"/>
          <w:sz w:val="20"/>
          <w:szCs w:val="20"/>
        </w:rPr>
        <w:t xml:space="preserve">El siguiente bloque contiene la redacción ejecutiva estándar lista para ser integrada en informes mensuales de actividades, bitácoras de servicio o currículum profesional:</w:t>
      </w:r>
    </w:p>
    <w:tbl>
      <w:tblPr>
        <w:tblW w:type="pct" w:w="100%"/>
        <w:tblBorders>
          <w:top w:val="none"/>
          <w:left w:val="single" w:color="0284C7" w:sz="24"/>
          <w:bottom w:val="none"/>
          <w:right w:val="none"/>
          <w:insideH w:val="single" w:color="auto" w:sz="4"/>
          <w:insideV w:val="single" w:color="auto" w:sz="4"/>
        </w:tblBorders>
      </w:tblPr>
      <w:tblGrid>
        <w:gridCol w:w="100"/>
      </w:tblGrid>
      <w:tr>
        <w:tc>
          <w:tcPr>
            <w:shd w:fill="F8FAFC" w:val="clear"/>
            <w:tcMar>
              <w:top w:type="dxa" w:w="140"/>
              <w:left w:type="dxa" w:w="180"/>
              <w:bottom w:type="dxa" w:w="140"/>
              <w:right w:type="dxa" w:w="180"/>
            </w:tcMar>
          </w:tcPr>
          <w:p>
            <w:pPr>
              <w:spacing w:after="60" w:before="0"/>
            </w:pPr>
            <w:r>
              <w:rPr>
                <w:rFonts w:ascii="Arial" w:cs="Arial" w:eastAsia="Arial" w:hAnsi="Arial"/>
                <w:b/>
                <w:bCs/>
                <w:color w:val="0F2942"/>
                <w:sz w:val="20"/>
                <w:szCs w:val="20"/>
              </w:rPr>
              <w:t xml:space="preserve">📌 Texto Sugerido para Informe de Actividades Laborales / Profesionales</w:t>
            </w:r>
          </w:p>
          <w:p>
            <w:pPr>
              <w:spacing w:after="0" w:before="0" w:line="260"/>
            </w:pPr>
            <w:r>
              <w:rPr>
                <w:rFonts w:ascii="Arial" w:cs="Arial" w:eastAsia="Arial" w:hAnsi="Arial"/>
                <w:color w:val="1E293B"/>
                <w:sz w:val="19"/>
                <w:szCs w:val="19"/>
              </w:rPr>
              <w:t xml:space="preserve">Actividad: Lideré y ejecuté el desarrollo del Sistema Integral de Gestión Comercial y Operativa (SIGCO - GIAC) para el AIFA, construyendo una plataforma web SPA con React 19, TypeScript y TailwindCSS que centraliza la administración física, contractual y financiera de más de 7 zonas comerciales. Implementé una arquitectura Zero-Storage con procesamiento in-memory que garantiza la confidencialidad de los datos, un semáforo de vencimientos para contratos y pólizas de seguro, un módulo de inteligencia comercial que vincula tráfico de pasajeros con m² comerciales, y un motor de exportación automatizada de reportes en formatos Word (.docx) y PDF.</w:t>
            </w:r>
          </w:p>
        </w:tc>
      </w:tr>
    </w:tbl>
    <w:p>
      <w:pPr>
        <w:spacing w:after="100" w:before="240"/>
      </w:pPr>
    </w:p>
    <w:p>
      <w:pPr>
        <w:jc w:val="center"/>
      </w:pPr>
      <w:r>
        <w:rPr>
          <w:rFonts w:ascii="Arial" w:cs="Arial" w:eastAsia="Arial" w:hAnsi="Arial"/>
          <w:b/>
          <w:bCs/>
          <w:color w:val="64748B"/>
          <w:sz w:val="18"/>
          <w:szCs w:val="18"/>
        </w:rPr>
        <w:t xml:space="preserve">--- FIN DEL INFORME TÉCNICO DE ENTREGABLE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4748B"/>
        <w:sz w:val="16"/>
        <w:szCs w:val="16"/>
      </w:rPr>
      <w:t xml:space="preserve">Confidencial - Uso Interno AIFA / Subdirección de Servicios Comerciales</w:t>
    </w:r>
    <w:r>
      <w:rPr>
        <w:rFonts w:ascii="Arial" w:cs="Arial" w:eastAsia="Arial" w:hAnsi="Arial"/>
        <w:color w:val="64748B"/>
        <w:sz w:val="16"/>
        <w:szCs w:val="16"/>
      </w:rPr>
      <w:t xml:space="preserve">   |   Página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de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Arial" w:cs="Arial" w:eastAsia="Arial" w:hAnsi="Arial"/>
        <w:color w:val="64748B"/>
        <w:sz w:val="16"/>
        <w:szCs w:val="16"/>
      </w:rPr>
      <w:t xml:space="preserve">SIGCO GIAC | Informe Final de Proyecto y Memoria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2026-08-31T17:24:50.361Z</dcterms:created>
  <dcterms:modified xsi:type="dcterms:W3CDTF">2026-08-31T17:24:50.362Z</dcterms:modified>
</cp:coreProperties>
</file>

<file path=docProps/custom.xml><?xml version="1.0" encoding="utf-8"?>
<Properties xmlns="http://schemas.openxmlformats.org/officeDocument/2006/custom-properties" xmlns:vt="http://schemas.openxmlformats.org/officeDocument/2006/docPropsVTypes"/>
</file>