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F6C74"/>
          <w:sz w:val="18"/>
          <w:szCs w:val="18"/>
        </w:rPr>
        <w:t xml:space="preserve">HACKATHON KUSKA WIÑASUN: AGUA SEGURA PARA HUANCAVELICA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5F6C74"/>
          <w:sz w:val="18"/>
          <w:szCs w:val="18"/>
        </w:rPr>
        <w:t xml:space="preserve">Universidad Nacional de Huancavelica · 2026</w:t>
      </w: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5303B"/>
          <w:sz w:val="44"/>
          <w:szCs w:val="44"/>
        </w:rPr>
        <w:t xml:space="preserve">MATRIZ DE TRAZABILIDAD</w:t>
      </w:r>
    </w:p>
    <w:p>
      <w:pPr>
        <w:spacing w:after="400"/>
        <w:jc w:val="center"/>
      </w:pPr>
      <w:r>
        <w:rPr>
          <w:rFonts w:ascii="Cambria" w:cs="Cambria" w:eastAsia="Cambria" w:hAnsi="Cambria"/>
          <w:color w:val="0E7490"/>
          <w:sz w:val="26"/>
          <w:szCs w:val="26"/>
        </w:rPr>
        <w:t xml:space="preserve">Desafío 2 ↔ Evidencia verificable del sistema YakuAlerta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color w:val="15303B"/>
          <w:sz w:val="32"/>
          <w:szCs w:val="32"/>
        </w:rPr>
        <w:t xml:space="preserve">YakuAlerta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Sistema de alerta temprana para agua no segura en reservorios comunales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Campo</w:t>
            </w:r>
          </w:p>
        </w:tc>
        <w:tc>
          <w:tcPr>
            <w:tcW w:type="dxa" w:w="66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Desafío postulado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Desafío 2 — Sistema de alerta temprana para agua no segura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Alcance transversal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Desafío 1 (parámetros críticos) y Desafío 3 (baja conectividad)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Equipo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[Completar con los nombres de los integrantes]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Repositorio del código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github.com/joelmendozataype/YakuAlerta (público)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Documento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Anexo de trazabilidad para la evaluación del Demo Day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1. Objeto del documento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El presente anexo establece la trazabilidad entre cada requisito formulado en las bases del Desafío 2 de la Hackathon Kuska Wiñasun y la evidencia verificable que lo sustenta en el sistema YakuAlerta. Su finalidad es permitir al jurado comprobar, de manera objetiva y sin depender de la exposición oral, qué exige el desafío, cómo lo resuelve la solución y dónde puede verificarse cada afirmación.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El documento consigna igualmente los requisitos que se encuentran cubiertos de forma parcial o que no han sido implementados, con su respectivo plan de cierre. Esta declaración explícita responde al principio de honestidad técnica que el equipo adoptó como criterio de calidad.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2. Método de verificación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Cada requisito del desafío fue contrastado contra el código fuente efectivamente ejecutable del repositorio, y no contra la documentación de diseño. El estado consignado responde a la siguiente escala: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Cumple</w:t>
            </w:r>
          </w:p>
        </w:tc>
        <w:tc>
          <w:tcPr>
            <w:tcW w:type="dxa" w:w="7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Implementado y verificable en el código o en la interfaz en ejecución.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Cumple parcial</w:t>
            </w:r>
          </w:p>
        </w:tc>
        <w:tc>
          <w:tcPr>
            <w:tcW w:type="dxa" w:w="7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Implementado en lo esencial, con una limitación declarada y su plan de cierre.</w:t>
            </w:r>
          </w:p>
        </w:tc>
      </w:tr>
      <w:t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No implementado</w:t>
            </w:r>
          </w:p>
        </w:tc>
        <w:tc>
          <w:tcPr>
            <w:tcW w:type="dxa" w:w="7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Requisito reconocido y no cubierto en el producto mínimo viable actual.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F6C74"/>
          <w:sz w:val="17"/>
          <w:szCs w:val="17"/>
        </w:rPr>
        <w:t xml:space="preserve">Las rutas de archivo citadas como evidencia corresponden a la estructura del repositorio. Los endpoints indicados pueden probarse en la documentación interactiva de la API, disponible en /docs al ejecutar el sistema.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3. Matriz de trazabilidad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3.1 Pregunta orientadora del desafío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2A363D"/>
          <w:sz w:val="21"/>
          <w:szCs w:val="21"/>
        </w:rPr>
        <w:t xml:space="preserve">«¿Cómo podríamos generar alertas tempranas, comprensibles y accionables cuando se identifiquen riesgos en la calidad del agua de los reservorios comunales de Huancavelica?»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1700"/>
        <w:gridCol w:w="3300"/>
        <w:gridCol w:w="3138"/>
        <w:gridCol w:w="1500"/>
      </w:tblGrid>
      <w:tr>
        <w:trPr>
          <w:tblHeader/>
        </w:trPr>
        <w:tc>
          <w:tcPr>
            <w:tcW w:type="dxa" w:w="17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Dimensión</w:t>
            </w:r>
          </w:p>
        </w:tc>
        <w:tc>
          <w:tcPr>
            <w:tcW w:type="dxa" w:w="33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Cómo se resuelve</w:t>
            </w:r>
          </w:p>
        </w:tc>
        <w:tc>
          <w:tcPr>
            <w:tcW w:type="dxa" w:w="31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Temprana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 medición se clasifica en el propio dispositivo al confirmarla, sin esperar la consolidación institucional.</w:t>
            </w:r>
          </w:p>
        </w:tc>
        <w:tc>
          <w:tcPr>
            <w:tcW w:type="dxa" w:w="3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mobile/lib/core/rules/motor_riesgo.dart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Comprensible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Semáforo de tres niveles y lenguaje llano («agua no segura») en lugar de valores numéricos crudos.</w:t>
            </w:r>
          </w:p>
        </w:tc>
        <w:tc>
          <w:tcPr>
            <w:tcW w:type="dxa" w:w="3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backend/app/enums.py (NivelRiesgo); services/notificaciones.py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Accionable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Cada alerta incorpora el protocolo de respuesta, la dosis de recloración en gramos y el plazo de remedición.</w:t>
            </w:r>
          </w:p>
        </w:tc>
        <w:tc>
          <w:tcPr>
            <w:tcW w:type="dxa" w:w="31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backend/app/rules/dosis.py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3.2 Problema específico: riesgos que debe cubrir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200"/>
        <w:gridCol w:w="3400"/>
        <w:gridCol w:w="2538"/>
        <w:gridCol w:w="1500"/>
      </w:tblGrid>
      <w:tr>
        <w:trPr>
          <w:tblHeader/>
        </w:trPr>
        <w:tc>
          <w:tcPr>
            <w:tcW w:type="dxa" w:w="22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Riesgo señalado</w:t>
            </w:r>
          </w:p>
        </w:tc>
        <w:tc>
          <w:tcPr>
            <w:tcW w:type="dxa" w:w="34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Tratamiento en el sistema</w:t>
            </w:r>
          </w:p>
        </w:tc>
        <w:tc>
          <w:tcPr>
            <w:tcW w:type="dxa" w:w="25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Cloro residual inadecuado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Clasificación por umbrales configurables del D.S. N.° 031-2010-SA (verde ≥ 0.50; amarillo 0.30–0.49; rojo &lt; 0.30 mg/L).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backend/app/rules/motor_riesgo.py; tabla parametro_normativo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Turbidez elevada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Valores superiores a 5 UNT clasifican en rojo por regla de peor caso.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backend/app/rules/motor_riesgo.py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Sospecha de parásitos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 incorpora mediante resultados de laboratorio de la DESA; un dictamen no conforme fuerza el nivel rojo hasta el cierre sanitario. En campo, la observación crítica del operador también eleva a rojo.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backend/app/routers/laboratorio.py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Metales pesados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Igual tratamiento por laboratorio. Su determinación exige ensayo instrumental y no es medible en campo, conforme al alcance declarado del proyecto.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backend/app/routers/laboratorio.py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Otros riesgos sanitarios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Campo de observaciones con detección de términos críticos (turbidez, olor, color, presencia de animales, entre otros).</w:t>
            </w:r>
          </w:p>
        </w:tc>
        <w:tc>
          <w:tcPr>
            <w:tcW w:type="dxa" w:w="2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PALABRAS_CRITICAS en rules/motor_riesgo.py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F6C74"/>
          <w:sz w:val="17"/>
          <w:szCs w:val="17"/>
        </w:rPr>
        <w:t xml:space="preserve">Nota técnica: la clasificación aplica la regla de peor caso. El nivel final es el más severo entre todos los factores evaluados, de modo que un parámetro conforme nunca compensa a uno no conforme.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3.3 Usuarios principales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Las bases identifican diez usuarios principales. El sistema implementa nueve roles con control de acceso diferenciado, cubriendo la totalidad de los usuarios señalados.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600"/>
        <w:gridCol w:w="2600"/>
        <w:gridCol w:w="2938"/>
        <w:gridCol w:w="1500"/>
      </w:tblGrid>
      <w:tr>
        <w:trPr>
          <w:tblHeader/>
        </w:trPr>
        <w:tc>
          <w:tcPr>
            <w:tcW w:type="dxa" w:w="26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Usuario de las bases</w:t>
            </w:r>
          </w:p>
        </w:tc>
        <w:tc>
          <w:tcPr>
            <w:tcW w:type="dxa" w:w="26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Rol en el sistema</w:t>
            </w:r>
          </w:p>
        </w:tc>
        <w:tc>
          <w:tcPr>
            <w:tcW w:type="dxa" w:w="29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Función habilitada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DIRESA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Consulta del tablero y registro de resultados de laboratorio.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DESA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Registro de laboratorio y dictamen sanitario que cierra casos rojos.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Dirección Regional de Vivienda, Construcción y Saneamiento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DRVCS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Rol propio con alcance regional; recibe alertas sin restricción territorial.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Municipalidades provinciales y distritales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ATM y AUTORIDAD_LOCAL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Representadas por su Área Técnica Municipal y por la autoridad local de la comunidad.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Áreas Técnicas Municipales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ATM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Tablero distrital, bandeja de alertas, cierre y reportes.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JASS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DIRECTIVO_JASS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Recepción de alertas amarillas y rojas de su comunidad.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Operadores de sistemas de agua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OPERADOR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Registro de mediciones sin conexión y recepción de recomendaciones.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Autoridades locales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AUTORIDAD_LOCAL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Rol propio incorporado a la matriz de escalamiento del nivel rojo, con ámbito comunal.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Establecimientos de salud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SALUD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Recepción de la alerta roja con el protocolo sanitario.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Población usuaria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POBLACION</w:t>
            </w:r>
          </w:p>
        </w:tc>
        <w:tc>
          <w:tcPr>
            <w:tcW w:type="dxa" w:w="2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Contacto comunitario que recibe por SMS un aviso en lenguaje llano, sin cifras técnicas, con la instrucción de hervir el agua.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pPr>
        <w:spacing w:after="200" w:before="80"/>
      </w:pPr>
      <w:r>
        <w:rPr>
          <w:rFonts w:ascii="Calibri" w:cs="Calibri" w:eastAsia="Calibri" w:hAnsi="Calibri"/>
          <w:i/>
          <w:iCs/>
          <w:color w:val="5F6C74"/>
          <w:sz w:val="17"/>
          <w:szCs w:val="17"/>
        </w:rPr>
        <w:t xml:space="preserve">Evidencia del control de acceso: backend/app/enums.py (RolUsuario), backend/app/deps.py (requiere_roles) y backend/app/rules/escalamiento.py (matriz de destinatarios por nivel).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3.4 Alcance del desafío: mecanismos propuestos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Las bases enuncian ocho mecanismos que las soluciones pueden incorporar. El sistema implementa seis de forma completa y dos de forma parcial.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300"/>
        <w:gridCol w:w="3400"/>
        <w:gridCol w:w="2438"/>
        <w:gridCol w:w="1500"/>
      </w:tblGrid>
      <w:tr>
        <w:trPr>
          <w:tblHeader/>
        </w:trPr>
        <w:tc>
          <w:tcPr>
            <w:tcW w:type="dxa" w:w="23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Mecanismo</w:t>
            </w:r>
          </w:p>
        </w:tc>
        <w:tc>
          <w:tcPr>
            <w:tcW w:type="dxa" w:w="34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24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Semáforos de riesgo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Tres niveles con regla de peor caso, presentes en la aplicación móvil y en el tablero institucional.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rules/motor_riesgo.py; web/src/components/ui.jsx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Notificaciones por aplicativo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El canal APP está previsto en el modelo de datos, pero el envío de notificaciones de alerta al dispositivo no está implementado. La aplicación solo emite notificaciones locales de recordatorio.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enums.py (CanalNotif); mobile/lib/core/notificaciones/</w:t>
            </w:r>
          </w:p>
        </w:tc>
        <w:tc>
          <w:tcPr>
            <w:tcW w:type="dxa" w:w="1500"/>
            <w:shd w:fill="FDF3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 parcial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Mensajes SMS o WhatsApp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Envío diferenciado por canal según el rol del destinatario, con registro de estado de entrega y modo simulado para demostración.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services/notificaciones.py; tabla notificacion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Tableros institucionales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Indicadores del distrito, semáforo por comunidad, historial por reservorio y vía de recepción del dato.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backend/app/routers/tablero.py; web/src/pages/Tablero.jsx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Mapas de riesgo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Mapa con marcadores semafóricos por comunidad sobre cartografía libre.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web/src/components/MapaRiesgo.jsx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Reportes automáticos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Consolidado de vigilancia exportable en PDF y Excel por distrito y periodo. La generación es a demanda; no existe programación de envío periódico.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backend/app/services/reportes.py; GET /reportes/vigilancia</w:t>
            </w:r>
          </w:p>
        </w:tc>
        <w:tc>
          <w:tcPr>
            <w:tcW w:type="dxa" w:w="1500"/>
            <w:shd w:fill="FDF3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 parcial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Protocolos de respuesta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Protocolo diferenciado por nivel, incorporado en el cuerpo de cada alerta.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backend/app/rules/dosis.py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Recomendaciones diferenciadas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Dosis de recloración calculada según el volumen del reservorio y la concentración del insumo disponible.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rules/dosis.py; tabla recomendacion_dosis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3.5 Requisitos obligatorios del alcance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Las bases establecen condiciones expresas mediante la fórmula «las soluciones deberán». Se verifican a continuación una por una.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400"/>
        <w:gridCol w:w="3400"/>
        <w:gridCol w:w="2338"/>
        <w:gridCol w:w="1500"/>
      </w:tblGrid>
      <w:tr>
        <w:trPr>
          <w:tblHeader/>
        </w:trPr>
        <w:tc>
          <w:tcPr>
            <w:tcW w:type="dxa" w:w="24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Exigencia</w:t>
            </w:r>
          </w:p>
        </w:tc>
        <w:tc>
          <w:tcPr>
            <w:tcW w:type="dxa" w:w="34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Cómo se satisface</w:t>
            </w:r>
          </w:p>
        </w:tc>
        <w:tc>
          <w:tcPr>
            <w:tcW w:type="dxa" w:w="23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Evitar alarmas injustificadas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El nivel verde no genera notificación alguna. Las mediciones sucesivas de un reservorio con caso abierto se agrupan en la misma alerta y solo vuelven a notificar cuando el riesgo escala de amarillo a rojo. Además se validan rangos físicos y la lectura por cámara exige confirmación del operador.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services/procesamiento.py; tests/test_escalamiento.py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Diferenciar niveles de riesgo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Tres niveles con matriz de escalamiento distinta: amarillo notifica a operador y ATM; rojo suma directivo de la JASS y establecimiento de salud.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backend/app/rules/escalamiento.py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Permitir la verificación de la información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Cada alerta enlaza a la medición que la originó, con valor, fecha, responsable y fotografía georreferenciada de respaldo.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routers/alertas.py; routers/evidencias.py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Limpieza y desinfección del reservorio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Incluida como acción del protocolo de nivel rojo.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PROTOCOLO_ROJO en rules/dosis.py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Ajuste de la cloración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Dosis en gramos de hipoclorito calculada para el reservorio específico, con plazo de remedición de 24 h en rojo y 48 h en amarillo.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rules/dosis.py; pruebas en tests/test_dosis.py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Suspensión preventiva del consumo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Contemplada como acción evaluable dentro del protocolo de nivel rojo.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PROTOCOLO_ROJO en rules/dosis.py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Comunicación a la población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El nivel rojo emite por SMS un aviso dirigido a la población en lenguaje llano, sin valores técnicos, con la instrucción de hervir el agua un minuto. Es un mensaje distinto del institucional.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notificaciones.py (componer_mensaje_poblacion)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Intervención sanitaria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El registro de laboratorio de la DESA fuerza el nivel rojo y su dictamen habilita el cierre sanitario del caso.</w:t>
            </w:r>
          </w:p>
        </w:tc>
        <w:tc>
          <w:tcPr>
            <w:tcW w:type="dxa" w:w="2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routers/laboratorio.py; routers/alertas.py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0E7490"/>
          <w:sz w:val="24"/>
          <w:szCs w:val="24"/>
        </w:rPr>
        <w:t xml:space="preserve">3.6 Impacto esperado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900"/>
        <w:gridCol w:w="3700"/>
        <w:gridCol w:w="1538"/>
        <w:gridCol w:w="1500"/>
      </w:tblGrid>
      <w:tr>
        <w:trPr>
          <w:tblHeader/>
        </w:trPr>
        <w:tc>
          <w:tcPr>
            <w:tcW w:type="dxa" w:w="29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Impacto declarado en las bases</w:t>
            </w:r>
          </w:p>
        </w:tc>
        <w:tc>
          <w:tcPr>
            <w:tcW w:type="dxa" w:w="37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Contribución del sistema</w:t>
            </w:r>
          </w:p>
        </w:tc>
        <w:tc>
          <w:tcPr>
            <w:tcW w:type="dxa" w:w="15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Naturaleza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Reducción del tiempo de respuesta ante riesgos sanitarios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 clasificación es inmediata en el dispositivo y la alerta se emite automáticamente al sincronizar o por SMS. El intervalo entre la detección y el aviso pasa de semanas a minutos.</w:t>
            </w:r>
          </w:p>
        </w:tc>
        <w:tc>
          <w:tcPr>
            <w:tcW w:type="dxa" w:w="1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Demostrable en la demostración en vivo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Comunicación más clara entre comunidades, JASS, municipalidades, salud y entidades regionales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Matriz de escalamiento que define destinatarios por nivel, con registro de cada envío, su canal y su estado de entrega.</w:t>
            </w:r>
          </w:p>
        </w:tc>
        <w:tc>
          <w:tcPr>
            <w:tcW w:type="dxa" w:w="1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Verificable en la tabla notificacion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Activación oportuna de medidas preventivas y correctivas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Cada alerta incorpora el protocolo y el plazo; el cierre exige registrar la acción ejecutada y la remedición.</w:t>
            </w:r>
          </w:p>
        </w:tc>
        <w:tc>
          <w:tcPr>
            <w:tcW w:type="dxa" w:w="1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Verificable en la bandeja de alertas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Disminución de la exposición de la población a agua insegura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Efecto esperado del acortamiento del ciclo detección–acción. Requiere medición durante el piloto para ser acreditado con datos.</w:t>
            </w:r>
          </w:p>
        </w:tc>
        <w:tc>
          <w:tcPr>
            <w:tcW w:type="dxa" w:w="1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Proyectado; pendiente de piloto</w:t>
            </w:r>
          </w:p>
        </w:tc>
        <w:tc>
          <w:tcPr>
            <w:tcW w:type="dxa" w:w="1500"/>
            <w:shd w:fill="FDF3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 parcial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Fortalecimiento de la prevención comunitaria y sanitaria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Alcanza ambos eslabones: el institucional mediante la matriz de escalamiento y el comunitario mediante el aviso directo a la población de la comunidad afectada.</w:t>
            </w:r>
          </w:p>
        </w:tc>
        <w:tc>
          <w:tcPr>
            <w:tcW w:type="dxa" w:w="15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Verificable en la tabla notificacion</w:t>
            </w:r>
          </w:p>
        </w:tc>
        <w:tc>
          <w:tcPr>
            <w:tcW w:type="dxa" w:w="1500"/>
            <w:shd w:fill="E7F3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Cumple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4. Evidencia técnica complementaria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Además de la trazabilidad funcional, el equipo pone a disposición del jurado la siguiente evidencia de que el sistema se encuentra construido y probado, y no en estado de prototipo no funcional.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Elemento</w:t>
            </w:r>
          </w:p>
        </w:tc>
        <w:tc>
          <w:tcPr>
            <w:tcW w:type="dxa" w:w="64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Repositorio público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github.com/joelmendozataype/YakuAlerta — código completo de las tres capas, con historial de commits.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Interfaz de programación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31 endpoints REST documentados automáticamente y navegables en /docs.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Pruebas automatizadas del backend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27 pruebas ejecutables con pytest, incluidas las de valores límite del motor de reglas (0.29 / 0.30 / 0.49 / 0.50 mg/L y 5 / 6 UNT).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Pruebas automatizadas de la aplicación móvil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16 pruebas con flutter test sobre el motor de reglas local y el análisis de color del comparador DPD.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Operación sin conexión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Registro y clasificación verificados en modo avión sobre emulador Android, con sincronización posterior automática y sin duplicados.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Deduplicación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Identificador único universal por medición; un registro que viajó por SMS y luego por datos consolida en un solo asiento.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Modelo físico de catorce tablas en tercera forma normal, con índices y trazas de auditoría.</w:t>
            </w:r>
          </w:p>
        </w:tc>
      </w:tr>
    </w:tbl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5. Cumplimiento normativo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Norma</w:t>
            </w:r>
          </w:p>
        </w:tc>
        <w:tc>
          <w:tcPr>
            <w:tcW w:type="dxa" w:w="64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Forma de cumplimiento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D.S. N.° 031-2010-SA — Reglamento de la Calidad del Agua para Consumo Humano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Los umbrales de clasificación residen en la tabla parametro_normativo y no en el código fuente. Una modificación regulatoria se atiende por configuración, sin reprogramar ni redesplegar el sistema.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Ley N.° 29733 — Protección de Datos Personales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Autenticación por rol con principio de mínimo privilegio, contraseñas almacenadas con función de derivación bcrypt, cifrado en tránsito mediante TLS y registro de auditoría de accesos y operaciones.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Bases de la hackathon — uso de software libre</w:t>
            </w:r>
          </w:p>
        </w:tc>
        <w:tc>
          <w:tcPr>
            <w:tcW w:type="dxa" w:w="6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 totalidad del sistema se construyó con software libre o de código abierto. El costo de licencias es nulo.</w:t>
            </w:r>
          </w:p>
        </w:tc>
      </w:tr>
    </w:tbl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6. Hallazgos abiertos y plan de cierre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El equipo aplicó una auditoría interna de conformidad sobre el código antes de la entrega. Los hallazgos detectados fueron subsanados y se consignan a continuación junto con la solución implementada, como constancia del proceso de verificación.</w:t>
      </w:r>
    </w:p>
    <w:tbl>
      <w:tblPr>
        <w:tblW w:type="dxa" w:w="9638"/>
        <w:tblBorders>
          <w:top w:val="single" w:color="C3CCD1" w:sz="2"/>
          <w:left w:val="single" w:color="C3CCD1" w:sz="2"/>
          <w:bottom w:val="single" w:color="C3CCD1" w:sz="2"/>
          <w:right w:val="single" w:color="C3CCD1" w:sz="2"/>
          <w:insideH w:val="single" w:color="D9DEE2" w:sz="2"/>
          <w:insideV w:val="single" w:color="D9DEE2" w:sz="2"/>
        </w:tblBorders>
      </w:tblPr>
      <w:tblGrid>
        <w:gridCol w:w="2400"/>
        <w:gridCol w:w="3300"/>
        <w:gridCol w:w="2438"/>
        <w:gridCol w:w="1500"/>
      </w:tblGrid>
      <w:tr>
        <w:trPr>
          <w:tblHeader/>
        </w:trPr>
        <w:tc>
          <w:tcPr>
            <w:tcW w:type="dxa" w:w="24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Hallazgo detectado</w:t>
            </w:r>
          </w:p>
        </w:tc>
        <w:tc>
          <w:tcPr>
            <w:tcW w:type="dxa" w:w="33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Efecto que producía</w:t>
            </w:r>
          </w:p>
        </w:tc>
        <w:tc>
          <w:tcPr>
            <w:tcW w:type="dxa" w:w="2438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Solución implementada</w:t>
            </w:r>
          </w:p>
        </w:tc>
        <w:tc>
          <w:tcPr>
            <w:tcW w:type="dxa" w:w="1500"/>
            <w:shd w:fill="E8EDE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363D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Ausencia de canal directo a la población usuaria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 difusión de la instrucción preventiva dependía de una acción humana intermedia.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 incorporó el rol de contacto comunitario y un aviso en lenguaje llano que se envía por SMS al activarse el nivel rojo.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Subsanado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Las alertas sucesivas del mismo reservorio no se agrupaban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Riesgo de fatiga de alertas ante mediciones consecutivas en situación de riesgo.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Las mediciones de un reservorio con caso abierto se agrupan en la alerta vigente; solo se notifica nuevamente cuando el nivel escala.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Subsanado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La notificación no filtraba por jurisdicción territorial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Un destinatario de otro distrito podía recibir alertas ajenas a su ámbito de competencia.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Cada usuario declara su ámbito (comunal, distrital o regional) y la notificación se restringe a la jurisdicción de la comunidad de origen.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Subsanado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Roles institucionales faltantes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Dos usuarios principales de las bases carecían de perfil propio en el sistema.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Se incorporaron los roles de autoridad local y de la Dirección Regional de Vivienda, Construcción y Saneamiento.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Subsanado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Canal de notificación por aplicativo no emitido</w:t>
            </w:r>
          </w:p>
        </w:tc>
        <w:tc>
          <w:tcPr>
            <w:tcW w:type="dxa" w:w="3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El canal está modelado pero aún no se emplea para las alertas.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Previsto para la fase de piloto: notificaciones push manteniendo el SMS como canal garantizado en zonas sin datos.</w:t>
            </w:r>
          </w:p>
        </w:tc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363D"/>
                <w:sz w:val="18"/>
                <w:szCs w:val="18"/>
              </w:rPr>
              <w:t xml:space="preserve">Abierto</w:t>
            </w:r>
          </w:p>
        </w:tc>
      </w:tr>
    </w:tbl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5303B"/>
          <w:sz w:val="30"/>
          <w:szCs w:val="30"/>
        </w:rPr>
        <w:t xml:space="preserve">7. Dictamen de conformidad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Del contraste efectuado se concluye que el sistema YakuAlerta responde de manera directa y sustancial al Desafío 2. Cubre íntegramente el núcleo del reto —detectar el riesgo, clasificarlo con criterio normativo, comunicarlo a los actores responsables y traducirlo en una acción concreta— y satisface la totalidad de los requisitos que las bases formulan como obligatorios, así como la totalidad de los usuarios principales que estas identifican.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El sistema aporta además dos elementos que exceden lo solicitado por las bases: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Primero, la trazabilidad detección–acción–verificación: ninguna alerta puede permanecer sin resolución, dado que una alerta roja únicamente se cierra con una remedición en nivel verde o con un dictamen sanitario de la DESA.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Segundo, la operación en condiciones de baja conectividad: el registro y la clasificación funcionan sin conexión a internet, y la información alcanza a las instituciones mediante mensajería estructurada sobre red de segunda generación, lo que atiende de manera transversal el Desafío 3.</w:t>
      </w:r>
    </w:p>
    <w:p>
      <w:pPr>
        <w:spacing w:after="12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>Se deja constancia de que los hallazgos consignados en el capítulo 6 son de alcance acotado y no comprometen la operación del producto mínimo viable presentado.</w:t>
      </w:r>
    </w:p>
    <w:p>
      <w:pPr>
        <w:spacing w:after="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/>
      </w:r>
    </w:p>
    <w:p>
      <w:pPr>
        <w:spacing w:after="0" w:line="276"/>
      </w:pPr>
      <w:r>
        <w:rPr>
          <w:rFonts w:ascii="Calibri" w:cs="Calibri" w:eastAsia="Calibri" w:hAnsi="Calibri"/>
          <w:color w:val="2A363D"/>
          <w:sz w:val="21"/>
          <w:szCs w:val="2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F6C74"/>
          <w:sz w:val="20"/>
          <w:szCs w:val="20"/>
        </w:rPr>
        <w:t xml:space="preserve">_______________________________________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5303B"/>
          <w:sz w:val="20"/>
          <w:szCs w:val="20"/>
        </w:rPr>
        <w:t xml:space="preserve">Equipo YakuAlerta</w:t>
      </w:r>
    </w:p>
    <w:p>
      <w:pPr>
        <w:jc w:val="center"/>
      </w:pPr>
      <w:r>
        <w:rPr>
          <w:rFonts w:ascii="Calibri" w:cs="Calibri" w:eastAsia="Calibri" w:hAnsi="Calibri"/>
          <w:color w:val="5F6C74"/>
          <w:sz w:val="17"/>
          <w:szCs w:val="17"/>
        </w:rPr>
        <w:t xml:space="preserve">Hackathon Kuska Wiñasun · Universidad Nacional de Huancavelica ·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5A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AA5AB"/>
        <w:sz w:val="16"/>
        <w:szCs w:val="16"/>
      </w:rPr>
      <w:t xml:space="preserve">YakuAlerta · Trazabilidad del Desafío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Desafío 2 — YakuAlerta</dc:title>
  <dc:creator>Equipo YakuAlerta</dc:creator>
  <dc:description>Anexo de trazabilidad entre los requisitos del Desafío 2 y la evidencia verificable del sistema.</dc:description>
  <cp:lastModifiedBy>Un-named</cp:lastModifiedBy>
  <cp:revision>1</cp:revision>
  <dcterms:created xsi:type="dcterms:W3CDTF">2026-07-25T08:54:11.602Z</dcterms:created>
  <dcterms:modified xsi:type="dcterms:W3CDTF">2026-07-25T08:54:11.603Z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