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7128"/>
        <w:gridCol w:w="2340"/>
      </w:tblGrid>
      <w:tr w:rsidR="00162ABC">
        <w:tc>
          <w:tcPr>
            <w:tcW w:w="7128" w:type="dxa"/>
            <w:shd w:val="clear" w:color="auto" w:fill="auto"/>
            <w:vAlign w:val="center"/>
          </w:tcPr>
          <w:p w:rsidR="00162ABC" w:rsidRDefault="00162ABC" w:rsidP="00241952">
            <w:pPr>
              <w:rPr>
                <w:noProof/>
              </w:rPr>
            </w:pPr>
            <w:r>
              <w:rPr>
                <w:noProof/>
              </w:rPr>
              <w:drawing>
                <wp:inline distT="0" distB="0" distL="0" distR="0">
                  <wp:extent cx="2402840" cy="563245"/>
                  <wp:effectExtent l="0" t="0" r="0" b="825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2840" cy="563245"/>
                          </a:xfrm>
                          <a:prstGeom prst="rect">
                            <a:avLst/>
                          </a:prstGeom>
                          <a:noFill/>
                          <a:ln>
                            <a:noFill/>
                          </a:ln>
                        </pic:spPr>
                      </pic:pic>
                    </a:graphicData>
                  </a:graphic>
                </wp:inline>
              </w:drawing>
            </w:r>
          </w:p>
        </w:tc>
        <w:tc>
          <w:tcPr>
            <w:tcW w:w="2340" w:type="dxa"/>
            <w:shd w:val="clear" w:color="auto" w:fill="auto"/>
            <w:vAlign w:val="center"/>
          </w:tcPr>
          <w:p w:rsidR="00162ABC" w:rsidRPr="00164388" w:rsidRDefault="00162ABC" w:rsidP="00162ABC">
            <w:pPr>
              <w:spacing w:after="0" w:line="240" w:lineRule="auto"/>
              <w:rPr>
                <w:rFonts w:ascii="Arial" w:hAnsi="Arial" w:cs="Arial"/>
                <w:noProof/>
                <w:color w:val="808080"/>
                <w:sz w:val="18"/>
                <w:szCs w:val="18"/>
              </w:rPr>
            </w:pPr>
            <w:r w:rsidRPr="00164388">
              <w:rPr>
                <w:rFonts w:ascii="Arial" w:hAnsi="Arial" w:cs="Arial"/>
                <w:noProof/>
                <w:color w:val="808080"/>
                <w:sz w:val="18"/>
                <w:szCs w:val="18"/>
              </w:rPr>
              <w:t>Halotechnics, Inc.</w:t>
            </w:r>
          </w:p>
          <w:p w:rsidR="00162ABC" w:rsidRPr="00164388" w:rsidRDefault="00162ABC" w:rsidP="00162ABC">
            <w:pPr>
              <w:spacing w:after="0" w:line="240" w:lineRule="auto"/>
              <w:rPr>
                <w:rFonts w:ascii="Arial" w:hAnsi="Arial" w:cs="Arial"/>
                <w:noProof/>
                <w:color w:val="808080"/>
                <w:sz w:val="18"/>
                <w:szCs w:val="18"/>
              </w:rPr>
            </w:pPr>
            <w:r w:rsidRPr="00164388">
              <w:rPr>
                <w:rFonts w:ascii="Arial" w:hAnsi="Arial" w:cs="Arial"/>
                <w:noProof/>
                <w:color w:val="808080"/>
                <w:sz w:val="18"/>
                <w:szCs w:val="18"/>
              </w:rPr>
              <w:t>5980 Horton St. Suite 450</w:t>
            </w:r>
          </w:p>
          <w:p w:rsidR="00162ABC" w:rsidRPr="00164388" w:rsidRDefault="00162ABC" w:rsidP="00162ABC">
            <w:pPr>
              <w:spacing w:after="0" w:line="240" w:lineRule="auto"/>
              <w:rPr>
                <w:rFonts w:ascii="Arial" w:hAnsi="Arial" w:cs="Arial"/>
                <w:noProof/>
                <w:color w:val="808080"/>
                <w:sz w:val="18"/>
                <w:szCs w:val="18"/>
              </w:rPr>
            </w:pPr>
            <w:r w:rsidRPr="00164388">
              <w:rPr>
                <w:rFonts w:ascii="Arial" w:hAnsi="Arial" w:cs="Arial"/>
                <w:noProof/>
                <w:color w:val="808080"/>
                <w:sz w:val="18"/>
                <w:szCs w:val="18"/>
              </w:rPr>
              <w:t>Emeryville, CA 94608</w:t>
            </w:r>
          </w:p>
          <w:p w:rsidR="00162ABC" w:rsidRDefault="00162ABC" w:rsidP="00162ABC">
            <w:pPr>
              <w:spacing w:after="0" w:line="240" w:lineRule="auto"/>
              <w:rPr>
                <w:noProof/>
              </w:rPr>
            </w:pPr>
            <w:r w:rsidRPr="00164388">
              <w:rPr>
                <w:rFonts w:ascii="Arial" w:hAnsi="Arial" w:cs="Arial"/>
                <w:noProof/>
                <w:color w:val="808080"/>
                <w:sz w:val="18"/>
                <w:szCs w:val="18"/>
              </w:rPr>
              <w:t>www.halotechnics.com</w:t>
            </w:r>
          </w:p>
        </w:tc>
      </w:tr>
    </w:tbl>
    <w:p w:rsidR="00162ABC" w:rsidRDefault="00162ABC" w:rsidP="00162ABC"/>
    <w:p w:rsidR="00162ABC" w:rsidRPr="00901B9D" w:rsidRDefault="00162ABC" w:rsidP="00162ABC">
      <w:pPr>
        <w:rPr>
          <w:sz w:val="28"/>
          <w:szCs w:val="28"/>
        </w:rPr>
      </w:pPr>
      <w:r w:rsidRPr="00162ABC">
        <w:rPr>
          <w:sz w:val="28"/>
          <w:szCs w:val="28"/>
        </w:rPr>
        <w:t xml:space="preserve">Halotechnics Intellectual Property Portfolio </w:t>
      </w:r>
      <w:r w:rsidR="006214BE">
        <w:rPr>
          <w:sz w:val="28"/>
          <w:szCs w:val="28"/>
        </w:rPr>
        <w:t>and Strategy</w:t>
      </w:r>
    </w:p>
    <w:p w:rsidR="00162ABC" w:rsidRDefault="001D20F1" w:rsidP="00162ABC">
      <w:r>
        <w:t>October 31</w:t>
      </w:r>
      <w:r w:rsidR="00162ABC" w:rsidRPr="00162ABC">
        <w:t>, 2013</w:t>
      </w:r>
    </w:p>
    <w:p w:rsidR="006214BE" w:rsidRDefault="006214BE" w:rsidP="001D17B3"/>
    <w:p w:rsidR="001D17B3" w:rsidRDefault="001D17B3" w:rsidP="001D17B3">
      <w:r>
        <w:t xml:space="preserve">Halotechnics has </w:t>
      </w:r>
      <w:r w:rsidR="001D20F1">
        <w:t>eight</w:t>
      </w:r>
      <w:r>
        <w:t xml:space="preserve"> patent</w:t>
      </w:r>
      <w:r w:rsidR="00E9642B">
        <w:t>s pending that</w:t>
      </w:r>
      <w:r>
        <w:t xml:space="preserve"> </w:t>
      </w:r>
      <w:r w:rsidR="00E9642B">
        <w:t>cover</w:t>
      </w:r>
      <w:r>
        <w:t xml:space="preserve"> the composition of matter</w:t>
      </w:r>
      <w:r w:rsidR="00741CC3">
        <w:t>, system design,</w:t>
      </w:r>
      <w:r>
        <w:t xml:space="preserve"> and use of our products. </w:t>
      </w:r>
      <w:r w:rsidR="0040156C">
        <w:t>Our intellectual property</w:t>
      </w:r>
      <w:r>
        <w:t xml:space="preserve"> fall</w:t>
      </w:r>
      <w:r w:rsidR="0040156C">
        <w:t>s</w:t>
      </w:r>
      <w:r>
        <w:t xml:space="preserve"> in the following general categories:</w:t>
      </w:r>
    </w:p>
    <w:p w:rsidR="001D17B3" w:rsidRDefault="001D17B3" w:rsidP="001D17B3">
      <w:pPr>
        <w:pStyle w:val="ListParagraph"/>
        <w:numPr>
          <w:ilvl w:val="0"/>
          <w:numId w:val="3"/>
        </w:numPr>
      </w:pPr>
      <w:r w:rsidRPr="00BC49E7">
        <w:rPr>
          <w:u w:val="single"/>
        </w:rPr>
        <w:t>Composition of matter.</w:t>
      </w:r>
      <w:r>
        <w:t xml:space="preserve"> These patent claims cover the proportion of each constituent in the preferred mixtures; the formula.</w:t>
      </w:r>
    </w:p>
    <w:p w:rsidR="001D17B3" w:rsidRDefault="001D17B3" w:rsidP="001D17B3">
      <w:pPr>
        <w:pStyle w:val="ListParagraph"/>
        <w:numPr>
          <w:ilvl w:val="0"/>
          <w:numId w:val="3"/>
        </w:numPr>
      </w:pPr>
      <w:r w:rsidRPr="00BC49E7">
        <w:rPr>
          <w:u w:val="single"/>
        </w:rPr>
        <w:t>Synthesis process.</w:t>
      </w:r>
      <w:r>
        <w:t xml:space="preserve"> These patent claims specify the temperature, duration, and other steps and techniques for synthesizing </w:t>
      </w:r>
      <w:r w:rsidR="00217585">
        <w:t>our</w:t>
      </w:r>
      <w:r>
        <w:t xml:space="preserve"> proprietary materials.</w:t>
      </w:r>
      <w:r w:rsidR="002A7322">
        <w:t xml:space="preserve"> We typically protect glass synthesis steps as trade secrets (glass manufacturing requires sophisticated process development and cannot be reverse-engineered).</w:t>
      </w:r>
    </w:p>
    <w:p w:rsidR="001D17B3" w:rsidRDefault="001D17B3" w:rsidP="001D17B3">
      <w:pPr>
        <w:pStyle w:val="ListParagraph"/>
        <w:numPr>
          <w:ilvl w:val="0"/>
          <w:numId w:val="3"/>
        </w:numPr>
      </w:pPr>
      <w:r w:rsidRPr="00BC49E7">
        <w:rPr>
          <w:u w:val="single"/>
        </w:rPr>
        <w:t>Novel use.</w:t>
      </w:r>
      <w:r>
        <w:t xml:space="preserve"> </w:t>
      </w:r>
      <w:r w:rsidR="00C54E79">
        <w:t>We sometimes claim</w:t>
      </w:r>
      <w:r>
        <w:t xml:space="preserve"> an existing material for a novel use, analogous to a pharmaceutical firm patenting a previously known chemical compound to treat a disease.</w:t>
      </w:r>
    </w:p>
    <w:p w:rsidR="001D17B3" w:rsidRDefault="001D17B3" w:rsidP="001D17B3">
      <w:pPr>
        <w:pStyle w:val="ListParagraph"/>
        <w:numPr>
          <w:ilvl w:val="0"/>
          <w:numId w:val="3"/>
        </w:numPr>
      </w:pPr>
      <w:r w:rsidRPr="00BC49E7">
        <w:rPr>
          <w:u w:val="single"/>
        </w:rPr>
        <w:t>Related equipment</w:t>
      </w:r>
      <w:r w:rsidR="0098516F">
        <w:rPr>
          <w:u w:val="single"/>
        </w:rPr>
        <w:t xml:space="preserve"> and system design</w:t>
      </w:r>
      <w:r w:rsidRPr="00BC49E7">
        <w:rPr>
          <w:u w:val="single"/>
        </w:rPr>
        <w:t>.</w:t>
      </w:r>
      <w:r>
        <w:t xml:space="preserve"> We </w:t>
      </w:r>
      <w:r w:rsidR="00C82D2F">
        <w:t xml:space="preserve">have </w:t>
      </w:r>
      <w:r>
        <w:t>expand</w:t>
      </w:r>
      <w:r w:rsidR="00C82D2F">
        <w:t>ed</w:t>
      </w:r>
      <w:r>
        <w:t xml:space="preserve"> our IP portfolio to include related technology for wetted components in the plant: </w:t>
      </w:r>
      <w:r w:rsidR="00052BBB">
        <w:t xml:space="preserve">anti-corrosion additives, </w:t>
      </w:r>
      <w:r>
        <w:t>coatings, pumps, tanks, system design</w:t>
      </w:r>
      <w:r w:rsidR="005818BD">
        <w:t>s</w:t>
      </w:r>
      <w:r w:rsidR="00F92F66">
        <w:t>, and control algorithms</w:t>
      </w:r>
      <w:r>
        <w:t>.</w:t>
      </w:r>
    </w:p>
    <w:p w:rsidR="001D17B3" w:rsidRDefault="001D17B3" w:rsidP="001D17B3">
      <w:r>
        <w:t xml:space="preserve">We are working with the Silicon Valley IP law firm Kilpatrick Townsend &amp; Stockton to </w:t>
      </w:r>
      <w:r w:rsidR="001D2A24">
        <w:t>draft and prosecute</w:t>
      </w:r>
      <w:r>
        <w:t xml:space="preserve"> patents covering </w:t>
      </w:r>
      <w:r w:rsidR="009B2352">
        <w:t>our technology</w:t>
      </w:r>
      <w:r>
        <w:t xml:space="preserve">. The attorneys at Kilpatrick have extensive experience in protecting compositions of matter, and in particular inorganic materials like molten salt and glass. We believe we will be able to defend our products in commercial applications by covering the broad application and composition as well as the specific mixture of the product. A recent patent granted to Sandia National </w:t>
      </w:r>
      <w:r w:rsidRPr="00ED7970">
        <w:t xml:space="preserve">Laboratories </w:t>
      </w:r>
      <w:r>
        <w:t>[</w:t>
      </w:r>
      <w:r w:rsidRPr="00ED7970">
        <w:footnoteReference w:id="1"/>
      </w:r>
      <w:r>
        <w:t>]</w:t>
      </w:r>
      <w:r w:rsidRPr="00ED7970">
        <w:t xml:space="preserve"> covering</w:t>
      </w:r>
      <w:r>
        <w:t xml:space="preserve"> a novel molten salt mixture shows that there is precedent for issuing patents in this space. We believe we have freedom to operate and commercialize our novel </w:t>
      </w:r>
      <w:r w:rsidR="006A3EDF">
        <w:t>designs and</w:t>
      </w:r>
      <w:r w:rsidR="00C0516E">
        <w:t xml:space="preserve"> </w:t>
      </w:r>
      <w:r>
        <w:t xml:space="preserve">materials. We file both domestic patents as well as international patents in countries we expect our products to be used (for example, </w:t>
      </w:r>
      <w:r w:rsidR="00C0516E">
        <w:t xml:space="preserve">Germany, </w:t>
      </w:r>
      <w:r>
        <w:t>Spain, Australia, South Africa, and others). We protect the enabling details of our product development capabilities as trade secrets</w:t>
      </w:r>
      <w:r w:rsidR="00FC2808">
        <w:t xml:space="preserve"> (high throughput chemistry techniques and software tools)</w:t>
      </w:r>
      <w:r>
        <w:t>.</w:t>
      </w:r>
    </w:p>
    <w:p w:rsidR="001D17B3" w:rsidRDefault="0054468F">
      <w:pPr>
        <w:rPr>
          <w:b/>
        </w:rPr>
      </w:pPr>
      <w:r>
        <w:t>See the following list of active patent cases. We expect to file more patents in Q4 2013, in particular</w:t>
      </w:r>
      <w:r w:rsidR="00521676">
        <w:t>:</w:t>
      </w:r>
      <w:r>
        <w:t xml:space="preserve"> </w:t>
      </w:r>
      <w:r w:rsidR="00521676">
        <w:t xml:space="preserve">(1) </w:t>
      </w:r>
      <w:r>
        <w:t>heat pump thermal storage system design</w:t>
      </w:r>
      <w:r w:rsidR="00521676">
        <w:t>,</w:t>
      </w:r>
      <w:r>
        <w:t xml:space="preserve"> and </w:t>
      </w:r>
      <w:r w:rsidR="00521676">
        <w:t xml:space="preserve">(2) </w:t>
      </w:r>
      <w:r>
        <w:t>molten glass international applications.</w:t>
      </w:r>
      <w:r w:rsidR="001D17B3">
        <w:rPr>
          <w:b/>
        </w:rPr>
        <w:br w:type="page"/>
      </w:r>
    </w:p>
    <w:tbl>
      <w:tblPr>
        <w:tblStyle w:val="LightShading-Accent1"/>
        <w:tblW w:w="0" w:type="auto"/>
        <w:tblLook w:val="04A0"/>
      </w:tblPr>
      <w:tblGrid>
        <w:gridCol w:w="9576"/>
      </w:tblGrid>
      <w:tr w:rsidR="00705881" w:rsidRPr="00705881" w:rsidTr="00704908">
        <w:trPr>
          <w:cnfStyle w:val="100000000000"/>
        </w:trPr>
        <w:tc>
          <w:tcPr>
            <w:cnfStyle w:val="001000000000"/>
            <w:tcW w:w="9576" w:type="dxa"/>
            <w:shd w:val="clear" w:color="auto" w:fill="auto"/>
          </w:tcPr>
          <w:p w:rsidR="004817A5" w:rsidRPr="007F05DB" w:rsidRDefault="004817A5" w:rsidP="00705881">
            <w:pPr>
              <w:pStyle w:val="ListParagraph"/>
              <w:numPr>
                <w:ilvl w:val="0"/>
                <w:numId w:val="2"/>
              </w:numPr>
              <w:rPr>
                <w:color w:val="auto"/>
                <w:u w:val="single"/>
              </w:rPr>
            </w:pPr>
            <w:r w:rsidRPr="007F05DB">
              <w:rPr>
                <w:color w:val="auto"/>
                <w:u w:val="single"/>
              </w:rPr>
              <w:t>Salt</w:t>
            </w:r>
            <w:r w:rsidR="00A9046D">
              <w:rPr>
                <w:color w:val="auto"/>
                <w:u w:val="single"/>
              </w:rPr>
              <w:t>s</w:t>
            </w:r>
            <w:r w:rsidRPr="007F05DB">
              <w:rPr>
                <w:color w:val="auto"/>
                <w:u w:val="single"/>
              </w:rPr>
              <w:t>tream 500</w:t>
            </w:r>
            <w:r w:rsidR="00933050">
              <w:rPr>
                <w:color w:val="auto"/>
                <w:u w:val="single"/>
              </w:rPr>
              <w:t xml:space="preserve"> / Saltstream 300</w:t>
            </w:r>
          </w:p>
          <w:p w:rsidR="004817A5" w:rsidRPr="00705881" w:rsidRDefault="004817A5" w:rsidP="00594BBC">
            <w:pPr>
              <w:rPr>
                <w:b w:val="0"/>
                <w:color w:val="auto"/>
                <w:u w:val="single"/>
              </w:rPr>
            </w:pPr>
          </w:p>
          <w:p w:rsidR="004817A5" w:rsidRPr="00705881" w:rsidRDefault="004817A5" w:rsidP="00594BBC">
            <w:pPr>
              <w:ind w:left="360"/>
              <w:rPr>
                <w:b w:val="0"/>
                <w:color w:val="auto"/>
              </w:rPr>
            </w:pPr>
            <w:r w:rsidRPr="00705881">
              <w:rPr>
                <w:b w:val="0"/>
                <w:i/>
                <w:color w:val="auto"/>
              </w:rPr>
              <w:t>Title:</w:t>
            </w:r>
            <w:r w:rsidRPr="00705881">
              <w:rPr>
                <w:b w:val="0"/>
                <w:color w:val="auto"/>
              </w:rPr>
              <w:t xml:space="preserve"> Inorganic Salt Heat Transfer Fluid</w:t>
            </w:r>
          </w:p>
          <w:p w:rsidR="004817A5" w:rsidRPr="00705881" w:rsidRDefault="004817A5" w:rsidP="00594BBC">
            <w:pPr>
              <w:ind w:left="360"/>
              <w:rPr>
                <w:b w:val="0"/>
                <w:color w:val="auto"/>
              </w:rPr>
            </w:pPr>
          </w:p>
          <w:p w:rsidR="004817A5" w:rsidRPr="00705881" w:rsidRDefault="004817A5" w:rsidP="00594BBC">
            <w:pPr>
              <w:ind w:left="360"/>
              <w:rPr>
                <w:b w:val="0"/>
                <w:color w:val="auto"/>
              </w:rPr>
            </w:pPr>
            <w:r w:rsidRPr="00705881">
              <w:rPr>
                <w:b w:val="0"/>
                <w:i/>
                <w:color w:val="auto"/>
              </w:rPr>
              <w:t>Patent:</w:t>
            </w:r>
            <w:r w:rsidR="00395B7F">
              <w:rPr>
                <w:b w:val="0"/>
                <w:color w:val="auto"/>
              </w:rPr>
              <w:t xml:space="preserve"> </w:t>
            </w:r>
            <w:r w:rsidRPr="00705881">
              <w:rPr>
                <w:b w:val="0"/>
                <w:color w:val="auto"/>
              </w:rPr>
              <w:t>US Patent Application No. 13/088605</w:t>
            </w:r>
          </w:p>
          <w:p w:rsidR="004817A5" w:rsidRPr="00705881" w:rsidRDefault="004817A5" w:rsidP="00594BBC">
            <w:pPr>
              <w:ind w:left="360"/>
              <w:rPr>
                <w:b w:val="0"/>
                <w:i/>
                <w:color w:val="auto"/>
              </w:rPr>
            </w:pPr>
          </w:p>
          <w:p w:rsidR="004817A5" w:rsidRPr="00705881" w:rsidRDefault="004817A5" w:rsidP="00BE0165">
            <w:pPr>
              <w:ind w:left="360"/>
              <w:jc w:val="both"/>
              <w:rPr>
                <w:b w:val="0"/>
                <w:color w:val="auto"/>
              </w:rPr>
            </w:pPr>
            <w:r w:rsidRPr="00705881">
              <w:rPr>
                <w:b w:val="0"/>
                <w:i/>
                <w:color w:val="auto"/>
              </w:rPr>
              <w:t>Summary:</w:t>
            </w:r>
            <w:r w:rsidRPr="00705881">
              <w:rPr>
                <w:b w:val="0"/>
                <w:color w:val="auto"/>
              </w:rPr>
              <w:t xml:space="preserve"> This invention exploits eutectic behavior with a novel composition of inorganic salts, resulting in a low melting point below 80 °C. This heat transfer fluid is thermally stable up to 500 °C.</w:t>
            </w:r>
          </w:p>
          <w:p w:rsidR="004817A5" w:rsidRPr="00705881" w:rsidRDefault="004817A5" w:rsidP="00594BBC">
            <w:pPr>
              <w:ind w:left="360"/>
              <w:rPr>
                <w:b w:val="0"/>
                <w:color w:val="auto"/>
              </w:rPr>
            </w:pPr>
          </w:p>
          <w:p w:rsidR="004817A5" w:rsidRPr="00705881" w:rsidRDefault="004817A5" w:rsidP="00594BBC">
            <w:pPr>
              <w:ind w:left="360"/>
              <w:rPr>
                <w:b w:val="0"/>
                <w:color w:val="auto"/>
              </w:rPr>
            </w:pPr>
            <w:r w:rsidRPr="00705881">
              <w:rPr>
                <w:b w:val="0"/>
                <w:i/>
                <w:color w:val="auto"/>
              </w:rPr>
              <w:t>Status:</w:t>
            </w:r>
            <w:r w:rsidRPr="00705881">
              <w:rPr>
                <w:b w:val="0"/>
                <w:color w:val="auto"/>
              </w:rPr>
              <w:t xml:space="preserve"> </w:t>
            </w:r>
            <w:r w:rsidR="00BF7A73">
              <w:rPr>
                <w:b w:val="0"/>
                <w:color w:val="auto"/>
              </w:rPr>
              <w:t xml:space="preserve">US </w:t>
            </w:r>
            <w:r w:rsidRPr="00705881">
              <w:rPr>
                <w:b w:val="0"/>
                <w:color w:val="auto"/>
              </w:rPr>
              <w:t>application filed April 2011</w:t>
            </w:r>
            <w:r w:rsidR="00A011F5">
              <w:rPr>
                <w:b w:val="0"/>
                <w:color w:val="auto"/>
              </w:rPr>
              <w:t xml:space="preserve"> (priority date April 2010)</w:t>
            </w:r>
            <w:r w:rsidRPr="00705881">
              <w:rPr>
                <w:b w:val="0"/>
                <w:color w:val="auto"/>
              </w:rPr>
              <w:t>.</w:t>
            </w:r>
          </w:p>
          <w:p w:rsidR="004817A5" w:rsidRPr="00705881" w:rsidRDefault="004817A5" w:rsidP="00594BBC">
            <w:pPr>
              <w:rPr>
                <w:b w:val="0"/>
                <w:color w:val="auto"/>
              </w:rPr>
            </w:pPr>
          </w:p>
        </w:tc>
      </w:tr>
      <w:tr w:rsidR="00705881" w:rsidRPr="00705881" w:rsidTr="00704908">
        <w:trPr>
          <w:cnfStyle w:val="000000100000"/>
        </w:trPr>
        <w:tc>
          <w:tcPr>
            <w:cnfStyle w:val="001000000000"/>
            <w:tcW w:w="9576" w:type="dxa"/>
            <w:shd w:val="clear" w:color="auto" w:fill="auto"/>
          </w:tcPr>
          <w:p w:rsidR="004817A5" w:rsidRPr="007F05DB" w:rsidRDefault="004817A5" w:rsidP="00705881">
            <w:pPr>
              <w:pStyle w:val="ListParagraph"/>
              <w:numPr>
                <w:ilvl w:val="0"/>
                <w:numId w:val="2"/>
              </w:numPr>
              <w:rPr>
                <w:color w:val="auto"/>
                <w:u w:val="single"/>
              </w:rPr>
            </w:pPr>
            <w:r w:rsidRPr="007F05DB">
              <w:rPr>
                <w:color w:val="auto"/>
                <w:u w:val="single"/>
              </w:rPr>
              <w:t>Salt</w:t>
            </w:r>
            <w:r w:rsidR="00A9046D">
              <w:rPr>
                <w:color w:val="auto"/>
                <w:u w:val="single"/>
              </w:rPr>
              <w:t>s</w:t>
            </w:r>
            <w:r w:rsidRPr="007F05DB">
              <w:rPr>
                <w:color w:val="auto"/>
                <w:u w:val="single"/>
              </w:rPr>
              <w:t>tream 565</w:t>
            </w:r>
          </w:p>
          <w:p w:rsidR="004817A5" w:rsidRPr="00705881" w:rsidRDefault="004817A5" w:rsidP="00594BBC">
            <w:pPr>
              <w:rPr>
                <w:b w:val="0"/>
                <w:color w:val="auto"/>
                <w:u w:val="single"/>
              </w:rPr>
            </w:pPr>
          </w:p>
          <w:p w:rsidR="004817A5" w:rsidRPr="00705881" w:rsidRDefault="004817A5" w:rsidP="00594BBC">
            <w:pPr>
              <w:ind w:left="360"/>
              <w:rPr>
                <w:b w:val="0"/>
                <w:color w:val="auto"/>
              </w:rPr>
            </w:pPr>
            <w:r w:rsidRPr="00705881">
              <w:rPr>
                <w:b w:val="0"/>
                <w:i/>
                <w:color w:val="auto"/>
              </w:rPr>
              <w:t>Title:</w:t>
            </w:r>
            <w:r w:rsidRPr="00705881">
              <w:rPr>
                <w:b w:val="0"/>
                <w:color w:val="auto"/>
              </w:rPr>
              <w:t xml:space="preserve"> Molten Salt Material for Heat Transfer and Thermal Energy Storage</w:t>
            </w:r>
          </w:p>
          <w:p w:rsidR="004817A5" w:rsidRPr="00705881" w:rsidRDefault="004817A5" w:rsidP="00594BBC">
            <w:pPr>
              <w:ind w:left="360"/>
              <w:rPr>
                <w:b w:val="0"/>
                <w:color w:val="auto"/>
              </w:rPr>
            </w:pPr>
          </w:p>
          <w:p w:rsidR="004817A5" w:rsidRPr="00705881" w:rsidRDefault="004817A5" w:rsidP="00594BBC">
            <w:pPr>
              <w:ind w:left="360"/>
              <w:rPr>
                <w:b w:val="0"/>
                <w:i/>
                <w:color w:val="auto"/>
              </w:rPr>
            </w:pPr>
            <w:r w:rsidRPr="00705881">
              <w:rPr>
                <w:b w:val="0"/>
                <w:i/>
                <w:color w:val="auto"/>
              </w:rPr>
              <w:t>Patent:</w:t>
            </w:r>
            <w:r w:rsidR="00395B7F">
              <w:rPr>
                <w:b w:val="0"/>
                <w:color w:val="auto"/>
              </w:rPr>
              <w:t xml:space="preserve"> </w:t>
            </w:r>
            <w:r w:rsidRPr="00705881">
              <w:rPr>
                <w:b w:val="0"/>
                <w:color w:val="auto"/>
              </w:rPr>
              <w:t>US Patent Application No. 61/485,491</w:t>
            </w:r>
          </w:p>
          <w:p w:rsidR="004817A5" w:rsidRPr="00705881" w:rsidRDefault="004817A5" w:rsidP="00594BBC">
            <w:pPr>
              <w:ind w:left="360"/>
              <w:rPr>
                <w:b w:val="0"/>
                <w:i/>
                <w:color w:val="auto"/>
              </w:rPr>
            </w:pPr>
          </w:p>
          <w:p w:rsidR="004817A5" w:rsidRPr="00705881" w:rsidRDefault="004817A5" w:rsidP="00BE0165">
            <w:pPr>
              <w:ind w:left="360"/>
              <w:jc w:val="both"/>
              <w:rPr>
                <w:b w:val="0"/>
                <w:color w:val="auto"/>
              </w:rPr>
            </w:pPr>
            <w:r w:rsidRPr="00705881">
              <w:rPr>
                <w:b w:val="0"/>
                <w:i/>
                <w:color w:val="auto"/>
              </w:rPr>
              <w:t>Summary:</w:t>
            </w:r>
            <w:r w:rsidRPr="00705881">
              <w:rPr>
                <w:b w:val="0"/>
                <w:color w:val="auto"/>
              </w:rPr>
              <w:t xml:space="preserve"> This molten salt heat transfer fluid establishes an operating range of 250 – 565 °C. Such a range is comparable to conventional 60/40 Solar Salt, making Salt</w:t>
            </w:r>
            <w:r w:rsidR="00D909C8">
              <w:rPr>
                <w:b w:val="0"/>
                <w:color w:val="auto"/>
              </w:rPr>
              <w:t>s</w:t>
            </w:r>
            <w:r w:rsidRPr="00705881">
              <w:rPr>
                <w:b w:val="0"/>
                <w:color w:val="auto"/>
              </w:rPr>
              <w:t xml:space="preserve">tream 565 suitable for drop-in replacement </w:t>
            </w:r>
            <w:r w:rsidR="008E63C7">
              <w:rPr>
                <w:b w:val="0"/>
                <w:color w:val="auto"/>
              </w:rPr>
              <w:t xml:space="preserve">in </w:t>
            </w:r>
            <w:r w:rsidR="00F87E67">
              <w:rPr>
                <w:b w:val="0"/>
                <w:color w:val="auto"/>
              </w:rPr>
              <w:t>molten salt energy storage systems</w:t>
            </w:r>
            <w:r w:rsidR="00705881">
              <w:rPr>
                <w:b w:val="0"/>
                <w:color w:val="auto"/>
              </w:rPr>
              <w:t>, but</w:t>
            </w:r>
            <w:r w:rsidRPr="00705881">
              <w:rPr>
                <w:b w:val="0"/>
                <w:color w:val="auto"/>
              </w:rPr>
              <w:t xml:space="preserve"> with a reduction in cost.  </w:t>
            </w:r>
          </w:p>
          <w:p w:rsidR="004817A5" w:rsidRPr="00705881" w:rsidRDefault="004817A5" w:rsidP="00594BBC">
            <w:pPr>
              <w:ind w:left="360"/>
              <w:rPr>
                <w:b w:val="0"/>
                <w:i/>
                <w:color w:val="auto"/>
              </w:rPr>
            </w:pPr>
          </w:p>
          <w:p w:rsidR="004817A5" w:rsidRPr="00705881" w:rsidRDefault="004817A5" w:rsidP="00594BBC">
            <w:pPr>
              <w:ind w:left="360"/>
              <w:rPr>
                <w:b w:val="0"/>
                <w:color w:val="auto"/>
              </w:rPr>
            </w:pPr>
            <w:r w:rsidRPr="00705881">
              <w:rPr>
                <w:b w:val="0"/>
                <w:i/>
                <w:color w:val="auto"/>
              </w:rPr>
              <w:t>Status:</w:t>
            </w:r>
            <w:r w:rsidRPr="00705881">
              <w:rPr>
                <w:b w:val="0"/>
                <w:color w:val="auto"/>
              </w:rPr>
              <w:t xml:space="preserve"> </w:t>
            </w:r>
            <w:r w:rsidR="00395B7F">
              <w:rPr>
                <w:b w:val="0"/>
                <w:color w:val="auto"/>
              </w:rPr>
              <w:t>US and</w:t>
            </w:r>
            <w:r w:rsidRPr="00705881">
              <w:rPr>
                <w:b w:val="0"/>
                <w:color w:val="auto"/>
              </w:rPr>
              <w:t xml:space="preserve"> </w:t>
            </w:r>
            <w:r w:rsidR="00BF7A73">
              <w:rPr>
                <w:b w:val="0"/>
                <w:color w:val="auto"/>
              </w:rPr>
              <w:t xml:space="preserve">PCT/GCC </w:t>
            </w:r>
            <w:r w:rsidRPr="00705881">
              <w:rPr>
                <w:b w:val="0"/>
                <w:color w:val="auto"/>
              </w:rPr>
              <w:t>application</w:t>
            </w:r>
            <w:r w:rsidR="00395B7F">
              <w:rPr>
                <w:b w:val="0"/>
                <w:color w:val="auto"/>
              </w:rPr>
              <w:t>s</w:t>
            </w:r>
            <w:r w:rsidRPr="00705881">
              <w:rPr>
                <w:b w:val="0"/>
                <w:color w:val="auto"/>
              </w:rPr>
              <w:t xml:space="preserve"> filed May 2012</w:t>
            </w:r>
            <w:r w:rsidR="00A011F5">
              <w:rPr>
                <w:b w:val="0"/>
                <w:color w:val="auto"/>
              </w:rPr>
              <w:t xml:space="preserve"> (priority date May 2011)</w:t>
            </w:r>
            <w:r w:rsidRPr="00705881">
              <w:rPr>
                <w:b w:val="0"/>
                <w:color w:val="auto"/>
              </w:rPr>
              <w:t>.</w:t>
            </w:r>
          </w:p>
          <w:p w:rsidR="004817A5" w:rsidRPr="00705881" w:rsidRDefault="004817A5" w:rsidP="00594BBC">
            <w:pPr>
              <w:rPr>
                <w:b w:val="0"/>
                <w:color w:val="auto"/>
              </w:rPr>
            </w:pPr>
          </w:p>
        </w:tc>
      </w:tr>
      <w:tr w:rsidR="00705881" w:rsidRPr="00705881" w:rsidTr="00704908">
        <w:tc>
          <w:tcPr>
            <w:cnfStyle w:val="001000000000"/>
            <w:tcW w:w="9576" w:type="dxa"/>
            <w:shd w:val="clear" w:color="auto" w:fill="auto"/>
          </w:tcPr>
          <w:p w:rsidR="004817A5" w:rsidRPr="007F05DB" w:rsidRDefault="004E7411" w:rsidP="00705881">
            <w:pPr>
              <w:pStyle w:val="ListParagraph"/>
              <w:numPr>
                <w:ilvl w:val="0"/>
                <w:numId w:val="2"/>
              </w:numPr>
              <w:rPr>
                <w:color w:val="auto"/>
                <w:u w:val="single"/>
              </w:rPr>
            </w:pPr>
            <w:r>
              <w:rPr>
                <w:color w:val="auto"/>
                <w:u w:val="single"/>
              </w:rPr>
              <w:t>Eutectic Chloride Salt</w:t>
            </w:r>
          </w:p>
          <w:p w:rsidR="004817A5" w:rsidRPr="00705881" w:rsidRDefault="004817A5" w:rsidP="00594BBC">
            <w:pPr>
              <w:rPr>
                <w:b w:val="0"/>
                <w:color w:val="auto"/>
                <w:u w:val="single"/>
              </w:rPr>
            </w:pPr>
          </w:p>
          <w:p w:rsidR="004817A5" w:rsidRPr="00705881" w:rsidRDefault="004817A5" w:rsidP="00594BBC">
            <w:pPr>
              <w:ind w:left="360"/>
              <w:rPr>
                <w:b w:val="0"/>
                <w:color w:val="auto"/>
              </w:rPr>
            </w:pPr>
            <w:r w:rsidRPr="00705881">
              <w:rPr>
                <w:b w:val="0"/>
                <w:i/>
                <w:color w:val="auto"/>
              </w:rPr>
              <w:t>Title:</w:t>
            </w:r>
            <w:r w:rsidRPr="00705881">
              <w:rPr>
                <w:b w:val="0"/>
                <w:color w:val="auto"/>
              </w:rPr>
              <w:t xml:space="preserve"> Thermal Energy Storage with Molten Salt</w:t>
            </w:r>
          </w:p>
          <w:p w:rsidR="004817A5" w:rsidRPr="00705881" w:rsidRDefault="004817A5" w:rsidP="00594BBC">
            <w:pPr>
              <w:ind w:left="360"/>
              <w:rPr>
                <w:b w:val="0"/>
                <w:i/>
                <w:color w:val="auto"/>
              </w:rPr>
            </w:pPr>
          </w:p>
          <w:p w:rsidR="004817A5" w:rsidRPr="00705881" w:rsidRDefault="004817A5" w:rsidP="00594BBC">
            <w:pPr>
              <w:ind w:left="360"/>
              <w:rPr>
                <w:b w:val="0"/>
                <w:i/>
                <w:color w:val="auto"/>
              </w:rPr>
            </w:pPr>
            <w:r w:rsidRPr="00705881">
              <w:rPr>
                <w:b w:val="0"/>
                <w:i/>
                <w:color w:val="auto"/>
              </w:rPr>
              <w:t>Patent:</w:t>
            </w:r>
            <w:r w:rsidR="00395B7F">
              <w:rPr>
                <w:b w:val="0"/>
                <w:color w:val="auto"/>
              </w:rPr>
              <w:t xml:space="preserve"> </w:t>
            </w:r>
            <w:r w:rsidRPr="00705881">
              <w:rPr>
                <w:b w:val="0"/>
                <w:color w:val="auto"/>
              </w:rPr>
              <w:t>US Patent Application No. 61/494,272</w:t>
            </w:r>
          </w:p>
          <w:p w:rsidR="004817A5" w:rsidRPr="00705881" w:rsidRDefault="004817A5" w:rsidP="00594BBC">
            <w:pPr>
              <w:ind w:left="360"/>
              <w:rPr>
                <w:b w:val="0"/>
                <w:i/>
                <w:color w:val="auto"/>
              </w:rPr>
            </w:pPr>
          </w:p>
          <w:p w:rsidR="004817A5" w:rsidRPr="00705881" w:rsidRDefault="004817A5" w:rsidP="00BE0165">
            <w:pPr>
              <w:ind w:left="360"/>
              <w:jc w:val="both"/>
              <w:rPr>
                <w:b w:val="0"/>
                <w:color w:val="auto"/>
              </w:rPr>
            </w:pPr>
            <w:r w:rsidRPr="00705881">
              <w:rPr>
                <w:b w:val="0"/>
                <w:i/>
                <w:color w:val="auto"/>
              </w:rPr>
              <w:t>Summary:</w:t>
            </w:r>
            <w:r w:rsidRPr="00705881">
              <w:rPr>
                <w:b w:val="0"/>
                <w:color w:val="auto"/>
              </w:rPr>
              <w:t xml:space="preserve"> The molten salt heat transfer fluid detailed herein has a melting point of 250 °C and is thermally stable up to 700 °C. Such an innovation in molten salt heat transfer and thermal energy storage allows steam turbines to operate in super-critical conditions, a more energy-efficient power cycle.</w:t>
            </w:r>
            <w:r w:rsidR="00C63103">
              <w:rPr>
                <w:b w:val="0"/>
                <w:color w:val="auto"/>
              </w:rPr>
              <w:t xml:space="preserve"> </w:t>
            </w:r>
            <w:r w:rsidR="004E7411">
              <w:rPr>
                <w:b w:val="0"/>
                <w:color w:val="auto"/>
              </w:rPr>
              <w:t>Other applications include electrolyte in thermal batteries.</w:t>
            </w:r>
          </w:p>
          <w:p w:rsidR="004817A5" w:rsidRPr="00705881" w:rsidRDefault="004817A5" w:rsidP="00594BBC">
            <w:pPr>
              <w:ind w:left="360"/>
              <w:rPr>
                <w:b w:val="0"/>
                <w:i/>
                <w:color w:val="auto"/>
              </w:rPr>
            </w:pPr>
          </w:p>
          <w:p w:rsidR="004817A5" w:rsidRPr="00705881" w:rsidRDefault="004817A5" w:rsidP="00594BBC">
            <w:pPr>
              <w:ind w:left="360"/>
              <w:rPr>
                <w:b w:val="0"/>
                <w:color w:val="auto"/>
              </w:rPr>
            </w:pPr>
            <w:r w:rsidRPr="00705881">
              <w:rPr>
                <w:b w:val="0"/>
                <w:i/>
                <w:color w:val="auto"/>
              </w:rPr>
              <w:t>Status:</w:t>
            </w:r>
            <w:r w:rsidRPr="00705881">
              <w:rPr>
                <w:b w:val="0"/>
                <w:color w:val="auto"/>
              </w:rPr>
              <w:t xml:space="preserve"> </w:t>
            </w:r>
            <w:r w:rsidR="007F05DB">
              <w:rPr>
                <w:b w:val="0"/>
                <w:color w:val="auto"/>
              </w:rPr>
              <w:t xml:space="preserve">US </w:t>
            </w:r>
            <w:r w:rsidRPr="00705881">
              <w:rPr>
                <w:b w:val="0"/>
                <w:color w:val="auto"/>
              </w:rPr>
              <w:t>application filed June 2012</w:t>
            </w:r>
            <w:r w:rsidR="00A011F5">
              <w:rPr>
                <w:b w:val="0"/>
                <w:color w:val="auto"/>
              </w:rPr>
              <w:t xml:space="preserve"> (priority date June 2011)</w:t>
            </w:r>
            <w:r w:rsidRPr="00705881">
              <w:rPr>
                <w:b w:val="0"/>
                <w:color w:val="auto"/>
              </w:rPr>
              <w:t>.</w:t>
            </w:r>
          </w:p>
          <w:p w:rsidR="004817A5" w:rsidRPr="00705881" w:rsidRDefault="004817A5" w:rsidP="00594BBC">
            <w:pPr>
              <w:rPr>
                <w:b w:val="0"/>
                <w:color w:val="auto"/>
              </w:rPr>
            </w:pPr>
          </w:p>
        </w:tc>
      </w:tr>
      <w:tr w:rsidR="00705881" w:rsidRPr="00705881" w:rsidTr="00704908">
        <w:trPr>
          <w:cnfStyle w:val="000000100000"/>
        </w:trPr>
        <w:tc>
          <w:tcPr>
            <w:cnfStyle w:val="001000000000"/>
            <w:tcW w:w="9576" w:type="dxa"/>
            <w:shd w:val="clear" w:color="auto" w:fill="auto"/>
          </w:tcPr>
          <w:p w:rsidR="004817A5" w:rsidRPr="007F05DB" w:rsidRDefault="004817A5" w:rsidP="00705881">
            <w:pPr>
              <w:pStyle w:val="ListParagraph"/>
              <w:numPr>
                <w:ilvl w:val="0"/>
                <w:numId w:val="2"/>
              </w:numPr>
              <w:rPr>
                <w:color w:val="auto"/>
                <w:u w:val="single"/>
              </w:rPr>
            </w:pPr>
            <w:r w:rsidRPr="007F05DB">
              <w:rPr>
                <w:color w:val="auto"/>
                <w:u w:val="single"/>
              </w:rPr>
              <w:t>Salt</w:t>
            </w:r>
            <w:r w:rsidR="00A9046D">
              <w:rPr>
                <w:color w:val="auto"/>
                <w:u w:val="single"/>
              </w:rPr>
              <w:t>s</w:t>
            </w:r>
            <w:r w:rsidR="00994607">
              <w:rPr>
                <w:color w:val="auto"/>
                <w:u w:val="single"/>
              </w:rPr>
              <w:t>tream 700</w:t>
            </w:r>
            <w:r w:rsidRPr="007F05DB">
              <w:rPr>
                <w:color w:val="auto"/>
                <w:u w:val="single"/>
              </w:rPr>
              <w:t xml:space="preserve">, </w:t>
            </w:r>
            <w:r w:rsidR="00324E8F">
              <w:rPr>
                <w:color w:val="auto"/>
                <w:u w:val="single"/>
              </w:rPr>
              <w:t>Advanced Heat Transfer Fluid</w:t>
            </w:r>
          </w:p>
          <w:p w:rsidR="004817A5" w:rsidRPr="00705881" w:rsidRDefault="004817A5" w:rsidP="00594BBC">
            <w:pPr>
              <w:ind w:left="360"/>
              <w:rPr>
                <w:b w:val="0"/>
                <w:i/>
                <w:color w:val="auto"/>
              </w:rPr>
            </w:pPr>
          </w:p>
          <w:p w:rsidR="004817A5" w:rsidRPr="00705881" w:rsidRDefault="004817A5" w:rsidP="00594BBC">
            <w:pPr>
              <w:ind w:left="360"/>
              <w:rPr>
                <w:b w:val="0"/>
                <w:color w:val="auto"/>
              </w:rPr>
            </w:pPr>
            <w:r w:rsidRPr="00705881">
              <w:rPr>
                <w:b w:val="0"/>
                <w:i/>
                <w:color w:val="auto"/>
              </w:rPr>
              <w:t>Title:</w:t>
            </w:r>
            <w:r w:rsidRPr="00705881">
              <w:rPr>
                <w:b w:val="0"/>
                <w:color w:val="auto"/>
              </w:rPr>
              <w:t xml:space="preserve"> Advanced Molten Salt for Solar Thermal Power Generation with Supercritical Steam Turbines</w:t>
            </w:r>
          </w:p>
          <w:p w:rsidR="004817A5" w:rsidRPr="00705881" w:rsidRDefault="004817A5" w:rsidP="00594BBC">
            <w:pPr>
              <w:ind w:left="360"/>
              <w:rPr>
                <w:b w:val="0"/>
                <w:i/>
                <w:color w:val="auto"/>
              </w:rPr>
            </w:pPr>
          </w:p>
          <w:p w:rsidR="004817A5" w:rsidRPr="00705881" w:rsidRDefault="004817A5" w:rsidP="00594BBC">
            <w:pPr>
              <w:ind w:left="360"/>
              <w:rPr>
                <w:b w:val="0"/>
                <w:i/>
                <w:color w:val="auto"/>
              </w:rPr>
            </w:pPr>
            <w:r w:rsidRPr="00705881">
              <w:rPr>
                <w:b w:val="0"/>
                <w:i/>
                <w:color w:val="auto"/>
              </w:rPr>
              <w:t>Patent:</w:t>
            </w:r>
            <w:r w:rsidR="00395B7F">
              <w:rPr>
                <w:b w:val="0"/>
                <w:color w:val="auto"/>
              </w:rPr>
              <w:t xml:space="preserve"> </w:t>
            </w:r>
            <w:r w:rsidRPr="00705881">
              <w:rPr>
                <w:b w:val="0"/>
                <w:color w:val="auto"/>
              </w:rPr>
              <w:t>US Patent Application No. 61/592,859</w:t>
            </w:r>
          </w:p>
          <w:p w:rsidR="004817A5" w:rsidRPr="00705881" w:rsidRDefault="004817A5" w:rsidP="00594BBC">
            <w:pPr>
              <w:ind w:left="360"/>
              <w:rPr>
                <w:b w:val="0"/>
                <w:i/>
                <w:color w:val="auto"/>
              </w:rPr>
            </w:pPr>
          </w:p>
          <w:p w:rsidR="004817A5" w:rsidRPr="00705881" w:rsidRDefault="004817A5" w:rsidP="00BE0165">
            <w:pPr>
              <w:ind w:left="360"/>
              <w:jc w:val="both"/>
              <w:rPr>
                <w:b w:val="0"/>
                <w:color w:val="auto"/>
              </w:rPr>
            </w:pPr>
            <w:r w:rsidRPr="00705881">
              <w:rPr>
                <w:b w:val="0"/>
                <w:i/>
                <w:color w:val="auto"/>
              </w:rPr>
              <w:t>Summary:</w:t>
            </w:r>
            <w:r w:rsidRPr="00705881">
              <w:rPr>
                <w:b w:val="0"/>
                <w:color w:val="auto"/>
              </w:rPr>
              <w:t xml:space="preserve"> This molten salt heat transfer fluid </w:t>
            </w:r>
            <w:r w:rsidR="00E76F5F">
              <w:rPr>
                <w:b w:val="0"/>
                <w:color w:val="auto"/>
              </w:rPr>
              <w:t>enables applications at extreme temperatures</w:t>
            </w:r>
            <w:r w:rsidRPr="00705881">
              <w:rPr>
                <w:b w:val="0"/>
                <w:color w:val="auto"/>
              </w:rPr>
              <w:t xml:space="preserve">. </w:t>
            </w:r>
            <w:r w:rsidR="008A3A56">
              <w:rPr>
                <w:b w:val="0"/>
                <w:color w:val="auto"/>
              </w:rPr>
              <w:t>T</w:t>
            </w:r>
            <w:r w:rsidRPr="00705881">
              <w:rPr>
                <w:b w:val="0"/>
                <w:color w:val="auto"/>
              </w:rPr>
              <w:t xml:space="preserve">his novel family of compositions </w:t>
            </w:r>
            <w:r w:rsidR="0085036C">
              <w:rPr>
                <w:b w:val="0"/>
                <w:color w:val="auto"/>
              </w:rPr>
              <w:t>allows</w:t>
            </w:r>
            <w:r w:rsidRPr="00705881">
              <w:rPr>
                <w:b w:val="0"/>
                <w:color w:val="auto"/>
              </w:rPr>
              <w:t xml:space="preserve"> </w:t>
            </w:r>
            <w:r w:rsidR="0085036C">
              <w:rPr>
                <w:b w:val="0"/>
                <w:color w:val="auto"/>
              </w:rPr>
              <w:t>the use of advanced technology in power generation (</w:t>
            </w:r>
            <w:r w:rsidRPr="00705881">
              <w:rPr>
                <w:b w:val="0"/>
                <w:color w:val="auto"/>
              </w:rPr>
              <w:t xml:space="preserve">super-critical steam turbines </w:t>
            </w:r>
            <w:r w:rsidR="0085036C">
              <w:rPr>
                <w:b w:val="0"/>
                <w:color w:val="auto"/>
              </w:rPr>
              <w:t>and super-critical CO</w:t>
            </w:r>
            <w:r w:rsidR="0085036C" w:rsidRPr="00B67CAE">
              <w:rPr>
                <w:b w:val="0"/>
                <w:color w:val="auto"/>
                <w:vertAlign w:val="subscript"/>
              </w:rPr>
              <w:t>2</w:t>
            </w:r>
            <w:r w:rsidR="0085036C">
              <w:rPr>
                <w:b w:val="0"/>
                <w:color w:val="auto"/>
              </w:rPr>
              <w:t>)</w:t>
            </w:r>
            <w:r w:rsidRPr="00705881">
              <w:rPr>
                <w:b w:val="0"/>
                <w:color w:val="auto"/>
              </w:rPr>
              <w:t xml:space="preserve">. </w:t>
            </w:r>
            <w:r w:rsidR="004E7411">
              <w:rPr>
                <w:b w:val="0"/>
                <w:color w:val="auto"/>
              </w:rPr>
              <w:t>Other applications include in-situ oil shale conversion, chemical synthesis, and high temperature actuators.</w:t>
            </w:r>
          </w:p>
          <w:p w:rsidR="004817A5" w:rsidRPr="00705881" w:rsidRDefault="004817A5" w:rsidP="00594BBC">
            <w:pPr>
              <w:ind w:left="360"/>
              <w:rPr>
                <w:b w:val="0"/>
                <w:i/>
                <w:color w:val="auto"/>
              </w:rPr>
            </w:pPr>
          </w:p>
          <w:p w:rsidR="004817A5" w:rsidRPr="00705881" w:rsidRDefault="004817A5" w:rsidP="00594BBC">
            <w:pPr>
              <w:ind w:left="360"/>
              <w:rPr>
                <w:b w:val="0"/>
                <w:color w:val="auto"/>
              </w:rPr>
            </w:pPr>
            <w:r w:rsidRPr="00705881">
              <w:rPr>
                <w:b w:val="0"/>
                <w:i/>
                <w:color w:val="auto"/>
              </w:rPr>
              <w:t>Status:</w:t>
            </w:r>
            <w:r w:rsidRPr="00705881">
              <w:rPr>
                <w:b w:val="0"/>
                <w:color w:val="auto"/>
              </w:rPr>
              <w:t xml:space="preserve"> </w:t>
            </w:r>
            <w:r w:rsidR="00395B7F">
              <w:rPr>
                <w:b w:val="0"/>
                <w:color w:val="auto"/>
              </w:rPr>
              <w:t xml:space="preserve">US and </w:t>
            </w:r>
            <w:r w:rsidR="007F05DB">
              <w:rPr>
                <w:b w:val="0"/>
                <w:color w:val="auto"/>
              </w:rPr>
              <w:t>PCT</w:t>
            </w:r>
            <w:r w:rsidR="00DD0D57">
              <w:rPr>
                <w:b w:val="0"/>
                <w:color w:val="auto"/>
              </w:rPr>
              <w:t>/GCC</w:t>
            </w:r>
            <w:r w:rsidRPr="00705881">
              <w:rPr>
                <w:b w:val="0"/>
                <w:color w:val="auto"/>
              </w:rPr>
              <w:t xml:space="preserve"> application</w:t>
            </w:r>
            <w:r w:rsidR="00395B7F">
              <w:rPr>
                <w:b w:val="0"/>
                <w:color w:val="auto"/>
              </w:rPr>
              <w:t>s</w:t>
            </w:r>
            <w:r w:rsidRPr="00705881">
              <w:rPr>
                <w:b w:val="0"/>
                <w:color w:val="auto"/>
              </w:rPr>
              <w:t xml:space="preserve"> filed January 201</w:t>
            </w:r>
            <w:r w:rsidR="00DD0D57">
              <w:rPr>
                <w:b w:val="0"/>
                <w:color w:val="auto"/>
              </w:rPr>
              <w:t>3</w:t>
            </w:r>
            <w:r w:rsidR="00A011F5">
              <w:rPr>
                <w:b w:val="0"/>
                <w:color w:val="auto"/>
              </w:rPr>
              <w:t xml:space="preserve"> (priority date January 2012)</w:t>
            </w:r>
            <w:r w:rsidRPr="00705881">
              <w:rPr>
                <w:b w:val="0"/>
                <w:color w:val="auto"/>
              </w:rPr>
              <w:t>.</w:t>
            </w:r>
          </w:p>
          <w:p w:rsidR="004817A5" w:rsidRPr="00705881" w:rsidRDefault="004817A5" w:rsidP="00594BBC">
            <w:pPr>
              <w:rPr>
                <w:b w:val="0"/>
                <w:color w:val="auto"/>
              </w:rPr>
            </w:pPr>
          </w:p>
        </w:tc>
      </w:tr>
      <w:tr w:rsidR="00F13643" w:rsidRPr="00705881" w:rsidTr="00704908">
        <w:tc>
          <w:tcPr>
            <w:cnfStyle w:val="001000000000"/>
            <w:tcW w:w="9576" w:type="dxa"/>
            <w:shd w:val="clear" w:color="auto" w:fill="auto"/>
          </w:tcPr>
          <w:p w:rsidR="00F13643" w:rsidRPr="007F05DB" w:rsidRDefault="00F13643" w:rsidP="00D43A4F">
            <w:pPr>
              <w:pStyle w:val="ListParagraph"/>
              <w:numPr>
                <w:ilvl w:val="0"/>
                <w:numId w:val="2"/>
              </w:numPr>
              <w:rPr>
                <w:color w:val="auto"/>
                <w:u w:val="single"/>
              </w:rPr>
            </w:pPr>
            <w:r w:rsidRPr="007F05DB">
              <w:rPr>
                <w:color w:val="auto"/>
                <w:u w:val="single"/>
              </w:rPr>
              <w:t>Haloglass CK</w:t>
            </w:r>
          </w:p>
          <w:p w:rsidR="00F13643" w:rsidRPr="00705881" w:rsidRDefault="00F13643" w:rsidP="00D43A4F">
            <w:pPr>
              <w:ind w:left="360"/>
              <w:rPr>
                <w:b w:val="0"/>
                <w:i/>
                <w:color w:val="auto"/>
              </w:rPr>
            </w:pPr>
          </w:p>
          <w:p w:rsidR="00F13643" w:rsidRPr="00705881" w:rsidRDefault="00F13643" w:rsidP="00D43A4F">
            <w:pPr>
              <w:ind w:left="360"/>
              <w:rPr>
                <w:b w:val="0"/>
                <w:color w:val="auto"/>
              </w:rPr>
            </w:pPr>
            <w:r w:rsidRPr="00705881">
              <w:rPr>
                <w:b w:val="0"/>
                <w:i/>
                <w:color w:val="auto"/>
              </w:rPr>
              <w:t>Title:</w:t>
            </w:r>
            <w:r w:rsidRPr="00705881">
              <w:rPr>
                <w:b w:val="0"/>
                <w:color w:val="auto"/>
              </w:rPr>
              <w:t xml:space="preserve"> </w:t>
            </w:r>
            <w:r>
              <w:rPr>
                <w:b w:val="0"/>
                <w:color w:val="auto"/>
              </w:rPr>
              <w:t>Eutectic Glass Mixtures</w:t>
            </w:r>
          </w:p>
          <w:p w:rsidR="00F13643" w:rsidRPr="00705881" w:rsidRDefault="00F13643" w:rsidP="00D43A4F">
            <w:pPr>
              <w:ind w:left="360"/>
              <w:rPr>
                <w:b w:val="0"/>
                <w:i/>
                <w:color w:val="auto"/>
              </w:rPr>
            </w:pPr>
          </w:p>
          <w:p w:rsidR="00F13643" w:rsidRPr="00705881" w:rsidRDefault="00F13643" w:rsidP="00D43A4F">
            <w:pPr>
              <w:ind w:left="360"/>
              <w:rPr>
                <w:b w:val="0"/>
                <w:i/>
                <w:color w:val="auto"/>
              </w:rPr>
            </w:pPr>
            <w:r w:rsidRPr="00705881">
              <w:rPr>
                <w:b w:val="0"/>
                <w:i/>
                <w:color w:val="auto"/>
              </w:rPr>
              <w:t>Patent:</w:t>
            </w:r>
            <w:r>
              <w:rPr>
                <w:b w:val="0"/>
                <w:color w:val="auto"/>
              </w:rPr>
              <w:t xml:space="preserve"> </w:t>
            </w:r>
            <w:r w:rsidRPr="00705881">
              <w:rPr>
                <w:b w:val="0"/>
                <w:color w:val="auto"/>
              </w:rPr>
              <w:t xml:space="preserve">US Patent Application No. </w:t>
            </w:r>
            <w:r w:rsidR="0007309C" w:rsidRPr="0007309C">
              <w:rPr>
                <w:b w:val="0"/>
                <w:color w:val="auto"/>
              </w:rPr>
              <w:t>61/891,562</w:t>
            </w:r>
          </w:p>
          <w:p w:rsidR="00F13643" w:rsidRPr="00705881" w:rsidRDefault="00F13643" w:rsidP="00D43A4F">
            <w:pPr>
              <w:ind w:left="360"/>
              <w:rPr>
                <w:b w:val="0"/>
                <w:i/>
                <w:color w:val="auto"/>
              </w:rPr>
            </w:pPr>
          </w:p>
          <w:p w:rsidR="00F13643" w:rsidRPr="00705881" w:rsidRDefault="00F13643" w:rsidP="00D43A4F">
            <w:pPr>
              <w:ind w:left="360"/>
              <w:jc w:val="both"/>
              <w:rPr>
                <w:b w:val="0"/>
                <w:color w:val="auto"/>
              </w:rPr>
            </w:pPr>
            <w:r w:rsidRPr="00705881">
              <w:rPr>
                <w:b w:val="0"/>
                <w:i/>
                <w:color w:val="auto"/>
              </w:rPr>
              <w:t>Summary:</w:t>
            </w:r>
            <w:r w:rsidRPr="00705881">
              <w:rPr>
                <w:b w:val="0"/>
                <w:color w:val="auto"/>
              </w:rPr>
              <w:t xml:space="preserve"> </w:t>
            </w:r>
            <w:r>
              <w:rPr>
                <w:b w:val="0"/>
                <w:color w:val="auto"/>
              </w:rPr>
              <w:t>Haloglass CK</w:t>
            </w:r>
            <w:r w:rsidRPr="00395B7F">
              <w:rPr>
                <w:b w:val="0"/>
                <w:color w:val="auto"/>
              </w:rPr>
              <w:t xml:space="preserve"> has a melting point below 400 °C and is thermally stable up to 1200 °C. </w:t>
            </w:r>
            <w:r>
              <w:rPr>
                <w:b w:val="0"/>
                <w:color w:val="auto"/>
              </w:rPr>
              <w:t>This fluid has extremely low viscosity over its entire operating range, making it suitable for high performance engineering applications.</w:t>
            </w:r>
          </w:p>
          <w:p w:rsidR="00F13643" w:rsidRPr="00705881" w:rsidRDefault="00F13643" w:rsidP="00D43A4F">
            <w:pPr>
              <w:ind w:left="360"/>
              <w:rPr>
                <w:b w:val="0"/>
                <w:i/>
                <w:color w:val="auto"/>
              </w:rPr>
            </w:pPr>
          </w:p>
          <w:p w:rsidR="00F13643" w:rsidRPr="00705881" w:rsidRDefault="00F13643" w:rsidP="00D43A4F">
            <w:pPr>
              <w:ind w:left="360"/>
              <w:rPr>
                <w:b w:val="0"/>
                <w:color w:val="auto"/>
              </w:rPr>
            </w:pPr>
            <w:r w:rsidRPr="00705881">
              <w:rPr>
                <w:b w:val="0"/>
                <w:i/>
                <w:color w:val="auto"/>
              </w:rPr>
              <w:t>Status:</w:t>
            </w:r>
            <w:r w:rsidRPr="00705881">
              <w:rPr>
                <w:b w:val="0"/>
                <w:color w:val="auto"/>
              </w:rPr>
              <w:t xml:space="preserve"> Provisional</w:t>
            </w:r>
            <w:r>
              <w:rPr>
                <w:b w:val="0"/>
                <w:color w:val="auto"/>
              </w:rPr>
              <w:t xml:space="preserve"> US</w:t>
            </w:r>
            <w:r w:rsidRPr="00705881">
              <w:rPr>
                <w:b w:val="0"/>
                <w:color w:val="auto"/>
              </w:rPr>
              <w:t xml:space="preserve"> application filed </w:t>
            </w:r>
            <w:r>
              <w:rPr>
                <w:b w:val="0"/>
                <w:color w:val="auto"/>
              </w:rPr>
              <w:t>October</w:t>
            </w:r>
            <w:r w:rsidRPr="00705881">
              <w:rPr>
                <w:b w:val="0"/>
                <w:color w:val="auto"/>
              </w:rPr>
              <w:t xml:space="preserve"> 201</w:t>
            </w:r>
            <w:r w:rsidR="00211DD2">
              <w:rPr>
                <w:b w:val="0"/>
                <w:color w:val="auto"/>
              </w:rPr>
              <w:t>3</w:t>
            </w:r>
            <w:r w:rsidRPr="00705881">
              <w:rPr>
                <w:b w:val="0"/>
                <w:color w:val="auto"/>
              </w:rPr>
              <w:t>.</w:t>
            </w:r>
          </w:p>
          <w:p w:rsidR="00F13643" w:rsidRPr="00705881" w:rsidRDefault="00F13643" w:rsidP="00D43A4F">
            <w:pPr>
              <w:rPr>
                <w:b w:val="0"/>
                <w:color w:val="auto"/>
              </w:rPr>
            </w:pPr>
          </w:p>
        </w:tc>
      </w:tr>
      <w:tr w:rsidR="00F13643" w:rsidRPr="00705881" w:rsidTr="00704908">
        <w:trPr>
          <w:cnfStyle w:val="000000100000"/>
        </w:trPr>
        <w:tc>
          <w:tcPr>
            <w:cnfStyle w:val="001000000000"/>
            <w:tcW w:w="9576" w:type="dxa"/>
            <w:shd w:val="clear" w:color="auto" w:fill="auto"/>
          </w:tcPr>
          <w:p w:rsidR="00F13643" w:rsidRPr="007F05DB" w:rsidRDefault="00F13643" w:rsidP="00D43A4F">
            <w:pPr>
              <w:pStyle w:val="ListParagraph"/>
              <w:numPr>
                <w:ilvl w:val="0"/>
                <w:numId w:val="2"/>
              </w:numPr>
              <w:rPr>
                <w:color w:val="auto"/>
                <w:u w:val="single"/>
              </w:rPr>
            </w:pPr>
            <w:r>
              <w:rPr>
                <w:color w:val="auto"/>
                <w:u w:val="single"/>
              </w:rPr>
              <w:t>Thermal Electricity Storage System</w:t>
            </w:r>
          </w:p>
          <w:p w:rsidR="00F13643" w:rsidRPr="00705881" w:rsidRDefault="00F13643" w:rsidP="00D43A4F">
            <w:pPr>
              <w:ind w:left="360"/>
              <w:rPr>
                <w:b w:val="0"/>
                <w:i/>
                <w:color w:val="auto"/>
              </w:rPr>
            </w:pPr>
          </w:p>
          <w:p w:rsidR="00F13643" w:rsidRPr="00705881" w:rsidRDefault="00F13643" w:rsidP="00D43A4F">
            <w:pPr>
              <w:ind w:left="360"/>
              <w:rPr>
                <w:b w:val="0"/>
                <w:color w:val="auto"/>
              </w:rPr>
            </w:pPr>
            <w:r w:rsidRPr="00705881">
              <w:rPr>
                <w:b w:val="0"/>
                <w:i/>
                <w:color w:val="auto"/>
              </w:rPr>
              <w:t>Title:</w:t>
            </w:r>
            <w:r w:rsidRPr="00705881">
              <w:rPr>
                <w:b w:val="0"/>
                <w:color w:val="auto"/>
              </w:rPr>
              <w:t xml:space="preserve"> </w:t>
            </w:r>
            <w:r>
              <w:rPr>
                <w:b w:val="0"/>
                <w:color w:val="auto"/>
              </w:rPr>
              <w:t>Reversible Heat Engine for Electricity Storage (RHEES)</w:t>
            </w:r>
          </w:p>
          <w:p w:rsidR="00F13643" w:rsidRPr="00705881" w:rsidRDefault="00F13643" w:rsidP="00D43A4F">
            <w:pPr>
              <w:ind w:left="360"/>
              <w:rPr>
                <w:b w:val="0"/>
                <w:i/>
                <w:color w:val="auto"/>
              </w:rPr>
            </w:pPr>
          </w:p>
          <w:p w:rsidR="00F13643" w:rsidRPr="00705881" w:rsidRDefault="00F13643" w:rsidP="00D43A4F">
            <w:pPr>
              <w:ind w:left="360"/>
              <w:rPr>
                <w:b w:val="0"/>
                <w:i/>
                <w:color w:val="auto"/>
              </w:rPr>
            </w:pPr>
            <w:r w:rsidRPr="00705881">
              <w:rPr>
                <w:b w:val="0"/>
                <w:i/>
                <w:color w:val="auto"/>
              </w:rPr>
              <w:t>Patent:</w:t>
            </w:r>
            <w:r w:rsidRPr="00705881">
              <w:rPr>
                <w:b w:val="0"/>
                <w:color w:val="auto"/>
              </w:rPr>
              <w:t xml:space="preserve"> US Patent Application No. </w:t>
            </w:r>
            <w:r w:rsidR="0007309C" w:rsidRPr="0007309C">
              <w:rPr>
                <w:b w:val="0"/>
                <w:color w:val="auto"/>
              </w:rPr>
              <w:t>61/895,606</w:t>
            </w:r>
            <w:bookmarkStart w:id="0" w:name="_GoBack"/>
            <w:bookmarkEnd w:id="0"/>
          </w:p>
          <w:p w:rsidR="00F13643" w:rsidRPr="00705881" w:rsidRDefault="00F13643" w:rsidP="00D43A4F">
            <w:pPr>
              <w:ind w:left="360"/>
              <w:rPr>
                <w:b w:val="0"/>
                <w:i/>
                <w:color w:val="auto"/>
              </w:rPr>
            </w:pPr>
          </w:p>
          <w:p w:rsidR="00F13643" w:rsidRDefault="00F13643" w:rsidP="00D43A4F">
            <w:pPr>
              <w:ind w:left="360"/>
              <w:jc w:val="both"/>
              <w:rPr>
                <w:b w:val="0"/>
                <w:color w:val="auto"/>
              </w:rPr>
            </w:pPr>
            <w:r w:rsidRPr="002E2C8B">
              <w:rPr>
                <w:b w:val="0"/>
                <w:i/>
                <w:color w:val="auto"/>
              </w:rPr>
              <w:t>Summary:</w:t>
            </w:r>
            <w:r w:rsidRPr="002E2C8B">
              <w:rPr>
                <w:b w:val="0"/>
                <w:color w:val="auto"/>
              </w:rPr>
              <w:t xml:space="preserve"> The RHEES system represents Halotechnics answer to grid scale electricity storage, where </w:t>
            </w:r>
            <w:r>
              <w:rPr>
                <w:b w:val="0"/>
                <w:color w:val="auto"/>
              </w:rPr>
              <w:t>leveraging heat to store electricity</w:t>
            </w:r>
            <w:r w:rsidRPr="002E2C8B">
              <w:rPr>
                <w:b w:val="0"/>
                <w:color w:val="auto"/>
              </w:rPr>
              <w:t xml:space="preserve"> enables sufficient scalability to stabilize intermittent renewable power generation. </w:t>
            </w:r>
            <w:r>
              <w:rPr>
                <w:b w:val="0"/>
                <w:color w:val="auto"/>
              </w:rPr>
              <w:t xml:space="preserve">This system has clear advantages over existing battery technologies, where safety, lifetime durability, and cost are key performance metrics. </w:t>
            </w:r>
          </w:p>
          <w:p w:rsidR="00F13643" w:rsidRDefault="00F13643" w:rsidP="00D43A4F">
            <w:pPr>
              <w:ind w:left="360"/>
              <w:jc w:val="both"/>
              <w:rPr>
                <w:b w:val="0"/>
                <w:color w:val="auto"/>
              </w:rPr>
            </w:pPr>
          </w:p>
          <w:p w:rsidR="00F13643" w:rsidRDefault="00F13643" w:rsidP="00D43A4F">
            <w:pPr>
              <w:ind w:left="360"/>
              <w:jc w:val="both"/>
              <w:rPr>
                <w:b w:val="0"/>
                <w:color w:val="auto"/>
              </w:rPr>
            </w:pPr>
            <w:r w:rsidRPr="002E2C8B">
              <w:rPr>
                <w:b w:val="0"/>
                <w:color w:val="auto"/>
              </w:rPr>
              <w:t xml:space="preserve">The invention described herein utilizes </w:t>
            </w:r>
            <w:r>
              <w:rPr>
                <w:b w:val="0"/>
                <w:color w:val="auto"/>
              </w:rPr>
              <w:t xml:space="preserve">a </w:t>
            </w:r>
            <w:r w:rsidRPr="002E2C8B">
              <w:rPr>
                <w:b w:val="0"/>
                <w:color w:val="auto"/>
              </w:rPr>
              <w:t xml:space="preserve">low-cost, reliable thermal storage system coupled to </w:t>
            </w:r>
            <w:r>
              <w:rPr>
                <w:b w:val="0"/>
                <w:color w:val="auto"/>
              </w:rPr>
              <w:t>efficient turbomachinery</w:t>
            </w:r>
            <w:r w:rsidRPr="002E2C8B">
              <w:rPr>
                <w:b w:val="0"/>
                <w:color w:val="auto"/>
              </w:rPr>
              <w:t xml:space="preserve"> for charging and discharging. This device can use proven turbomachinery </w:t>
            </w:r>
            <w:r>
              <w:rPr>
                <w:b w:val="0"/>
                <w:color w:val="auto"/>
              </w:rPr>
              <w:t>technology</w:t>
            </w:r>
            <w:r w:rsidRPr="002E2C8B">
              <w:rPr>
                <w:b w:val="0"/>
                <w:color w:val="auto"/>
              </w:rPr>
              <w:t xml:space="preserve"> to compress a gas to high temperature and then store that heat in a low-cost molten salt</w:t>
            </w:r>
            <w:r>
              <w:rPr>
                <w:b w:val="0"/>
                <w:color w:val="auto"/>
              </w:rPr>
              <w:t xml:space="preserve"> or molten glass.</w:t>
            </w:r>
          </w:p>
          <w:p w:rsidR="00F13643" w:rsidRDefault="00F13643" w:rsidP="00D43A4F">
            <w:pPr>
              <w:ind w:left="360"/>
              <w:jc w:val="both"/>
              <w:rPr>
                <w:b w:val="0"/>
                <w:color w:val="auto"/>
              </w:rPr>
            </w:pPr>
          </w:p>
          <w:p w:rsidR="00F13643" w:rsidRPr="002E2C8B" w:rsidRDefault="00F13643" w:rsidP="00D43A4F">
            <w:pPr>
              <w:ind w:left="360"/>
              <w:jc w:val="both"/>
              <w:rPr>
                <w:b w:val="0"/>
                <w:color w:val="auto"/>
              </w:rPr>
            </w:pPr>
            <w:r>
              <w:rPr>
                <w:b w:val="0"/>
                <w:color w:val="auto"/>
              </w:rPr>
              <w:t>The RHEES system has already attracted attention from an energy industry strategic partner.</w:t>
            </w:r>
          </w:p>
          <w:p w:rsidR="00F13643" w:rsidRPr="00705881" w:rsidRDefault="00F13643" w:rsidP="00D43A4F">
            <w:pPr>
              <w:ind w:left="360"/>
              <w:rPr>
                <w:b w:val="0"/>
                <w:i/>
                <w:color w:val="auto"/>
              </w:rPr>
            </w:pPr>
          </w:p>
          <w:p w:rsidR="00F13643" w:rsidRPr="00705881" w:rsidRDefault="00F13643" w:rsidP="00D43A4F">
            <w:pPr>
              <w:ind w:left="360"/>
              <w:rPr>
                <w:b w:val="0"/>
                <w:color w:val="auto"/>
              </w:rPr>
            </w:pPr>
            <w:r w:rsidRPr="00705881">
              <w:rPr>
                <w:b w:val="0"/>
                <w:i/>
                <w:color w:val="auto"/>
              </w:rPr>
              <w:t>Status:</w:t>
            </w:r>
            <w:r w:rsidRPr="00705881">
              <w:rPr>
                <w:b w:val="0"/>
                <w:color w:val="auto"/>
              </w:rPr>
              <w:t xml:space="preserve"> Provisional</w:t>
            </w:r>
            <w:r>
              <w:rPr>
                <w:b w:val="0"/>
                <w:color w:val="auto"/>
              </w:rPr>
              <w:t xml:space="preserve"> US</w:t>
            </w:r>
            <w:r w:rsidRPr="00705881">
              <w:rPr>
                <w:b w:val="0"/>
                <w:color w:val="auto"/>
              </w:rPr>
              <w:t xml:space="preserve"> application filed </w:t>
            </w:r>
            <w:r>
              <w:rPr>
                <w:b w:val="0"/>
                <w:color w:val="auto"/>
              </w:rPr>
              <w:t>October</w:t>
            </w:r>
            <w:r w:rsidRPr="00705881">
              <w:rPr>
                <w:b w:val="0"/>
                <w:color w:val="auto"/>
              </w:rPr>
              <w:t xml:space="preserve"> 201</w:t>
            </w:r>
            <w:r w:rsidR="00662753">
              <w:rPr>
                <w:b w:val="0"/>
                <w:color w:val="auto"/>
              </w:rPr>
              <w:t>3</w:t>
            </w:r>
            <w:r w:rsidRPr="00705881">
              <w:rPr>
                <w:b w:val="0"/>
                <w:color w:val="auto"/>
              </w:rPr>
              <w:t>.</w:t>
            </w:r>
          </w:p>
          <w:p w:rsidR="00F13643" w:rsidRPr="00705881" w:rsidRDefault="00F13643" w:rsidP="00D43A4F">
            <w:pPr>
              <w:ind w:left="360"/>
              <w:rPr>
                <w:b w:val="0"/>
                <w:color w:val="auto"/>
              </w:rPr>
            </w:pPr>
          </w:p>
        </w:tc>
      </w:tr>
      <w:tr w:rsidR="00F13643" w:rsidRPr="00705881" w:rsidTr="00704908">
        <w:tc>
          <w:tcPr>
            <w:cnfStyle w:val="001000000000"/>
            <w:tcW w:w="9576" w:type="dxa"/>
            <w:shd w:val="clear" w:color="auto" w:fill="auto"/>
          </w:tcPr>
          <w:p w:rsidR="00F13643" w:rsidRPr="007F05DB" w:rsidRDefault="00F13643" w:rsidP="00D43A4F">
            <w:pPr>
              <w:pStyle w:val="ListParagraph"/>
              <w:numPr>
                <w:ilvl w:val="0"/>
                <w:numId w:val="2"/>
              </w:numPr>
              <w:rPr>
                <w:i/>
                <w:color w:val="auto"/>
              </w:rPr>
            </w:pPr>
            <w:r>
              <w:rPr>
                <w:color w:val="auto"/>
                <w:u w:val="single"/>
              </w:rPr>
              <w:t>High Temperature Molten Glass Pump</w:t>
            </w:r>
          </w:p>
          <w:p w:rsidR="00F13643" w:rsidRPr="007F05DB" w:rsidRDefault="00F13643" w:rsidP="00D43A4F">
            <w:pPr>
              <w:pStyle w:val="ListParagraph"/>
              <w:rPr>
                <w:b w:val="0"/>
                <w:i/>
                <w:color w:val="auto"/>
              </w:rPr>
            </w:pPr>
          </w:p>
          <w:p w:rsidR="00F13643" w:rsidRPr="00705881" w:rsidRDefault="00F13643" w:rsidP="00D43A4F">
            <w:pPr>
              <w:ind w:left="360"/>
              <w:rPr>
                <w:b w:val="0"/>
                <w:color w:val="auto"/>
              </w:rPr>
            </w:pPr>
            <w:r w:rsidRPr="00705881">
              <w:rPr>
                <w:b w:val="0"/>
                <w:i/>
                <w:color w:val="auto"/>
              </w:rPr>
              <w:t>Title:</w:t>
            </w:r>
            <w:r w:rsidRPr="00705881">
              <w:rPr>
                <w:b w:val="0"/>
                <w:color w:val="auto"/>
              </w:rPr>
              <w:t xml:space="preserve"> </w:t>
            </w:r>
            <w:r w:rsidRPr="00395B7F">
              <w:rPr>
                <w:b w:val="0"/>
                <w:color w:val="auto"/>
              </w:rPr>
              <w:t>Check Valve Pump for High-Temperature Molten Glass</w:t>
            </w:r>
          </w:p>
          <w:p w:rsidR="00F13643" w:rsidRPr="00705881" w:rsidRDefault="00F13643" w:rsidP="00D43A4F">
            <w:pPr>
              <w:ind w:left="360"/>
              <w:rPr>
                <w:b w:val="0"/>
                <w:i/>
                <w:color w:val="auto"/>
              </w:rPr>
            </w:pPr>
          </w:p>
          <w:p w:rsidR="00F13643" w:rsidRPr="00705881" w:rsidRDefault="00F13643" w:rsidP="00D43A4F">
            <w:pPr>
              <w:ind w:left="360"/>
              <w:rPr>
                <w:b w:val="0"/>
                <w:i/>
                <w:color w:val="auto"/>
              </w:rPr>
            </w:pPr>
            <w:r w:rsidRPr="00705881">
              <w:rPr>
                <w:b w:val="0"/>
                <w:i/>
                <w:color w:val="auto"/>
              </w:rPr>
              <w:t>Patent:</w:t>
            </w:r>
            <w:r>
              <w:rPr>
                <w:b w:val="0"/>
                <w:color w:val="auto"/>
              </w:rPr>
              <w:t xml:space="preserve"> </w:t>
            </w:r>
            <w:r w:rsidRPr="00705881">
              <w:rPr>
                <w:b w:val="0"/>
                <w:color w:val="auto"/>
              </w:rPr>
              <w:t>US Patent Application No. 61/</w:t>
            </w:r>
            <w:r>
              <w:rPr>
                <w:b w:val="0"/>
                <w:color w:val="auto"/>
              </w:rPr>
              <w:t>727,271</w:t>
            </w:r>
          </w:p>
          <w:p w:rsidR="00F13643" w:rsidRPr="00705881" w:rsidRDefault="00F13643" w:rsidP="00D43A4F">
            <w:pPr>
              <w:ind w:left="360"/>
              <w:rPr>
                <w:b w:val="0"/>
                <w:i/>
                <w:color w:val="auto"/>
              </w:rPr>
            </w:pPr>
          </w:p>
          <w:p w:rsidR="00F13643" w:rsidRPr="00705881" w:rsidRDefault="00F13643" w:rsidP="00D43A4F">
            <w:pPr>
              <w:ind w:left="360"/>
              <w:jc w:val="both"/>
              <w:rPr>
                <w:b w:val="0"/>
                <w:color w:val="auto"/>
              </w:rPr>
            </w:pPr>
            <w:r w:rsidRPr="00705881">
              <w:rPr>
                <w:b w:val="0"/>
                <w:i/>
                <w:color w:val="auto"/>
              </w:rPr>
              <w:t>Summary:</w:t>
            </w:r>
            <w:r w:rsidRPr="00705881">
              <w:rPr>
                <w:b w:val="0"/>
                <w:color w:val="auto"/>
              </w:rPr>
              <w:t xml:space="preserve"> </w:t>
            </w:r>
            <w:r>
              <w:rPr>
                <w:b w:val="0"/>
                <w:color w:val="auto"/>
              </w:rPr>
              <w:t xml:space="preserve">This patent describes a pump mechanism for efficiently moving molten glass. In the glass industry, no such innovation currently exists, where molten glass tanks currently rely upon gravity or manual bailing to facilitate glass movement. Halotechnics molten glass pump will be a key system component in our glass prototype thermal storage system, and would scale to larger industrial applications. </w:t>
            </w:r>
            <w:r w:rsidRPr="00705881">
              <w:rPr>
                <w:b w:val="0"/>
                <w:color w:val="auto"/>
              </w:rPr>
              <w:t xml:space="preserve"> </w:t>
            </w:r>
          </w:p>
          <w:p w:rsidR="00F13643" w:rsidRPr="00705881" w:rsidRDefault="00F13643" w:rsidP="00D43A4F">
            <w:pPr>
              <w:ind w:left="360"/>
              <w:rPr>
                <w:b w:val="0"/>
                <w:i/>
                <w:color w:val="auto"/>
              </w:rPr>
            </w:pPr>
          </w:p>
          <w:p w:rsidR="00F13643" w:rsidRPr="00705881" w:rsidRDefault="00F13643" w:rsidP="00D43A4F">
            <w:pPr>
              <w:ind w:left="360"/>
              <w:rPr>
                <w:b w:val="0"/>
                <w:color w:val="auto"/>
              </w:rPr>
            </w:pPr>
            <w:r w:rsidRPr="00705881">
              <w:rPr>
                <w:b w:val="0"/>
                <w:i/>
                <w:color w:val="auto"/>
              </w:rPr>
              <w:t>Status:</w:t>
            </w:r>
            <w:r w:rsidRPr="00705881">
              <w:rPr>
                <w:b w:val="0"/>
                <w:color w:val="auto"/>
              </w:rPr>
              <w:t xml:space="preserve"> Provisional</w:t>
            </w:r>
            <w:r>
              <w:rPr>
                <w:b w:val="0"/>
                <w:color w:val="auto"/>
              </w:rPr>
              <w:t xml:space="preserve"> US</w:t>
            </w:r>
            <w:r w:rsidRPr="00705881">
              <w:rPr>
                <w:b w:val="0"/>
                <w:color w:val="auto"/>
              </w:rPr>
              <w:t xml:space="preserve"> application filed </w:t>
            </w:r>
            <w:r>
              <w:rPr>
                <w:b w:val="0"/>
                <w:color w:val="auto"/>
              </w:rPr>
              <w:t>November</w:t>
            </w:r>
            <w:r w:rsidRPr="00705881">
              <w:rPr>
                <w:b w:val="0"/>
                <w:color w:val="auto"/>
              </w:rPr>
              <w:t xml:space="preserve"> 2012.</w:t>
            </w:r>
          </w:p>
          <w:p w:rsidR="00F13643" w:rsidRPr="007F05DB" w:rsidRDefault="00F13643" w:rsidP="00D43A4F">
            <w:pPr>
              <w:pStyle w:val="ListParagraph"/>
              <w:rPr>
                <w:u w:val="single"/>
              </w:rPr>
            </w:pPr>
          </w:p>
        </w:tc>
      </w:tr>
      <w:tr w:rsidR="00F13643" w:rsidRPr="00705881" w:rsidTr="00704908">
        <w:trPr>
          <w:cnfStyle w:val="000000100000"/>
        </w:trPr>
        <w:tc>
          <w:tcPr>
            <w:cnfStyle w:val="001000000000"/>
            <w:tcW w:w="9576" w:type="dxa"/>
            <w:shd w:val="clear" w:color="auto" w:fill="auto"/>
          </w:tcPr>
          <w:p w:rsidR="00F13643" w:rsidRPr="007F05DB" w:rsidRDefault="00F13643" w:rsidP="00D43A4F">
            <w:pPr>
              <w:pStyle w:val="ListParagraph"/>
              <w:numPr>
                <w:ilvl w:val="0"/>
                <w:numId w:val="2"/>
              </w:numPr>
              <w:rPr>
                <w:i/>
                <w:color w:val="auto"/>
              </w:rPr>
            </w:pPr>
            <w:r>
              <w:rPr>
                <w:color w:val="auto"/>
                <w:u w:val="single"/>
              </w:rPr>
              <w:t>Haloglass RX</w:t>
            </w:r>
          </w:p>
          <w:p w:rsidR="00F13643" w:rsidRPr="007F05DB" w:rsidRDefault="00F13643" w:rsidP="00D43A4F">
            <w:pPr>
              <w:pStyle w:val="ListParagraph"/>
              <w:rPr>
                <w:b w:val="0"/>
                <w:i/>
                <w:color w:val="auto"/>
              </w:rPr>
            </w:pPr>
          </w:p>
          <w:p w:rsidR="00F13643" w:rsidRDefault="00F13643" w:rsidP="00D43A4F">
            <w:pPr>
              <w:ind w:left="360"/>
              <w:rPr>
                <w:rFonts w:ascii="Calibri" w:hAnsi="Calibri" w:cs="Calibri"/>
                <w:color w:val="000000"/>
              </w:rPr>
            </w:pPr>
            <w:r w:rsidRPr="00705881">
              <w:rPr>
                <w:b w:val="0"/>
                <w:i/>
                <w:color w:val="auto"/>
              </w:rPr>
              <w:t>Title:</w:t>
            </w:r>
            <w:r w:rsidRPr="00705881">
              <w:rPr>
                <w:b w:val="0"/>
                <w:color w:val="auto"/>
              </w:rPr>
              <w:t xml:space="preserve"> </w:t>
            </w:r>
            <w:r w:rsidRPr="00395B7F">
              <w:rPr>
                <w:rFonts w:ascii="Calibri" w:hAnsi="Calibri" w:cs="Calibri"/>
                <w:b w:val="0"/>
                <w:color w:val="000000"/>
              </w:rPr>
              <w:t>Very Low Cost, Low-Viscosity Liquid Glass for H</w:t>
            </w:r>
            <w:r>
              <w:rPr>
                <w:rFonts w:ascii="Calibri" w:hAnsi="Calibri" w:cs="Calibri"/>
                <w:b w:val="0"/>
                <w:color w:val="000000"/>
              </w:rPr>
              <w:t xml:space="preserve">eat </w:t>
            </w:r>
            <w:r w:rsidRPr="00395B7F">
              <w:rPr>
                <w:rFonts w:ascii="Calibri" w:hAnsi="Calibri" w:cs="Calibri"/>
                <w:b w:val="0"/>
                <w:color w:val="000000"/>
              </w:rPr>
              <w:t>T</w:t>
            </w:r>
            <w:r>
              <w:rPr>
                <w:rFonts w:ascii="Calibri" w:hAnsi="Calibri" w:cs="Calibri"/>
                <w:b w:val="0"/>
                <w:color w:val="000000"/>
              </w:rPr>
              <w:t>ransfer</w:t>
            </w:r>
            <w:r w:rsidRPr="00395B7F">
              <w:rPr>
                <w:rFonts w:ascii="Calibri" w:hAnsi="Calibri" w:cs="Calibri"/>
                <w:b w:val="0"/>
                <w:color w:val="000000"/>
              </w:rPr>
              <w:t xml:space="preserve"> and T</w:t>
            </w:r>
            <w:r>
              <w:rPr>
                <w:rFonts w:ascii="Calibri" w:hAnsi="Calibri" w:cs="Calibri"/>
                <w:b w:val="0"/>
                <w:color w:val="000000"/>
              </w:rPr>
              <w:t xml:space="preserve">hermal </w:t>
            </w:r>
            <w:r w:rsidRPr="00395B7F">
              <w:rPr>
                <w:rFonts w:ascii="Calibri" w:hAnsi="Calibri" w:cs="Calibri"/>
                <w:b w:val="0"/>
                <w:color w:val="000000"/>
              </w:rPr>
              <w:t>E</w:t>
            </w:r>
            <w:r>
              <w:rPr>
                <w:rFonts w:ascii="Calibri" w:hAnsi="Calibri" w:cs="Calibri"/>
                <w:b w:val="0"/>
                <w:color w:val="000000"/>
              </w:rPr>
              <w:t xml:space="preserve">nergy </w:t>
            </w:r>
            <w:r w:rsidRPr="00395B7F">
              <w:rPr>
                <w:rFonts w:ascii="Calibri" w:hAnsi="Calibri" w:cs="Calibri"/>
                <w:b w:val="0"/>
                <w:color w:val="000000"/>
              </w:rPr>
              <w:t>S</w:t>
            </w:r>
            <w:r>
              <w:rPr>
                <w:rFonts w:ascii="Calibri" w:hAnsi="Calibri" w:cs="Calibri"/>
                <w:b w:val="0"/>
                <w:color w:val="000000"/>
              </w:rPr>
              <w:t>torage</w:t>
            </w:r>
          </w:p>
          <w:p w:rsidR="00F13643" w:rsidRPr="00705881" w:rsidRDefault="00F13643" w:rsidP="00D43A4F">
            <w:pPr>
              <w:ind w:left="360"/>
              <w:rPr>
                <w:b w:val="0"/>
                <w:i/>
                <w:color w:val="auto"/>
              </w:rPr>
            </w:pPr>
          </w:p>
          <w:p w:rsidR="00F13643" w:rsidRPr="00705881" w:rsidRDefault="00F13643" w:rsidP="00D43A4F">
            <w:pPr>
              <w:ind w:left="360"/>
              <w:rPr>
                <w:b w:val="0"/>
                <w:i/>
                <w:color w:val="auto"/>
              </w:rPr>
            </w:pPr>
            <w:r w:rsidRPr="00705881">
              <w:rPr>
                <w:b w:val="0"/>
                <w:i/>
                <w:color w:val="auto"/>
              </w:rPr>
              <w:t>Patent:</w:t>
            </w:r>
            <w:r>
              <w:rPr>
                <w:b w:val="0"/>
                <w:color w:val="auto"/>
              </w:rPr>
              <w:t xml:space="preserve"> </w:t>
            </w:r>
            <w:r w:rsidRPr="00705881">
              <w:rPr>
                <w:b w:val="0"/>
                <w:color w:val="auto"/>
              </w:rPr>
              <w:t>US Patent Application</w:t>
            </w:r>
            <w:r>
              <w:rPr>
                <w:b w:val="0"/>
                <w:color w:val="auto"/>
              </w:rPr>
              <w:t>s</w:t>
            </w:r>
            <w:r w:rsidRPr="00705881">
              <w:rPr>
                <w:b w:val="0"/>
                <w:color w:val="auto"/>
              </w:rPr>
              <w:t xml:space="preserve"> No. </w:t>
            </w:r>
            <w:r>
              <w:rPr>
                <w:b w:val="0"/>
                <w:color w:val="auto"/>
              </w:rPr>
              <w:t xml:space="preserve">61/723,929 and </w:t>
            </w:r>
            <w:r w:rsidRPr="00705881">
              <w:rPr>
                <w:b w:val="0"/>
                <w:color w:val="auto"/>
              </w:rPr>
              <w:t>61/</w:t>
            </w:r>
            <w:r>
              <w:rPr>
                <w:b w:val="0"/>
                <w:color w:val="auto"/>
              </w:rPr>
              <w:t xml:space="preserve">783,989 </w:t>
            </w:r>
          </w:p>
          <w:p w:rsidR="00F13643" w:rsidRPr="00705881" w:rsidRDefault="00F13643" w:rsidP="00D43A4F">
            <w:pPr>
              <w:ind w:left="360"/>
              <w:rPr>
                <w:b w:val="0"/>
                <w:i/>
                <w:color w:val="auto"/>
              </w:rPr>
            </w:pPr>
          </w:p>
          <w:p w:rsidR="00F13643" w:rsidRPr="00705881" w:rsidRDefault="00F13643" w:rsidP="00D43A4F">
            <w:pPr>
              <w:ind w:left="360"/>
              <w:jc w:val="both"/>
              <w:rPr>
                <w:b w:val="0"/>
                <w:color w:val="auto"/>
              </w:rPr>
            </w:pPr>
            <w:r w:rsidRPr="00705881">
              <w:rPr>
                <w:b w:val="0"/>
                <w:i/>
                <w:color w:val="auto"/>
              </w:rPr>
              <w:t>Summary:</w:t>
            </w:r>
            <w:r w:rsidRPr="00705881">
              <w:rPr>
                <w:b w:val="0"/>
                <w:color w:val="auto"/>
              </w:rPr>
              <w:t xml:space="preserve"> </w:t>
            </w:r>
            <w:r>
              <w:rPr>
                <w:b w:val="0"/>
                <w:color w:val="auto"/>
              </w:rPr>
              <w:t xml:space="preserve">Haloglass RX enables applications at unprecedented temperatures, exhibiting a liquid operating range of 450 – 1200 °C. The composition covered in the patent is based upon non-toxic, earth-abundant materials that are currently mined in millions of metric tons per year.   </w:t>
            </w:r>
            <w:r w:rsidRPr="00705881">
              <w:rPr>
                <w:b w:val="0"/>
                <w:color w:val="auto"/>
              </w:rPr>
              <w:t xml:space="preserve"> </w:t>
            </w:r>
          </w:p>
          <w:p w:rsidR="00F13643" w:rsidRPr="00705881" w:rsidRDefault="00F13643" w:rsidP="00D43A4F">
            <w:pPr>
              <w:ind w:left="360"/>
              <w:rPr>
                <w:b w:val="0"/>
                <w:i/>
                <w:color w:val="auto"/>
              </w:rPr>
            </w:pPr>
          </w:p>
          <w:p w:rsidR="00F13643" w:rsidRPr="00705881" w:rsidRDefault="00F13643" w:rsidP="00D43A4F">
            <w:pPr>
              <w:ind w:left="360"/>
              <w:rPr>
                <w:b w:val="0"/>
                <w:color w:val="auto"/>
              </w:rPr>
            </w:pPr>
            <w:r w:rsidRPr="00705881">
              <w:rPr>
                <w:b w:val="0"/>
                <w:i/>
                <w:color w:val="auto"/>
              </w:rPr>
              <w:t>Status:</w:t>
            </w:r>
            <w:r w:rsidRPr="00705881">
              <w:rPr>
                <w:b w:val="0"/>
                <w:color w:val="auto"/>
              </w:rPr>
              <w:t xml:space="preserve"> Provisional</w:t>
            </w:r>
            <w:r>
              <w:rPr>
                <w:b w:val="0"/>
                <w:color w:val="auto"/>
              </w:rPr>
              <w:t xml:space="preserve"> US</w:t>
            </w:r>
            <w:r w:rsidRPr="00705881">
              <w:rPr>
                <w:b w:val="0"/>
                <w:color w:val="auto"/>
              </w:rPr>
              <w:t xml:space="preserve"> application</w:t>
            </w:r>
            <w:r>
              <w:rPr>
                <w:b w:val="0"/>
                <w:color w:val="auto"/>
              </w:rPr>
              <w:t>s</w:t>
            </w:r>
            <w:r w:rsidRPr="00705881">
              <w:rPr>
                <w:b w:val="0"/>
                <w:color w:val="auto"/>
              </w:rPr>
              <w:t xml:space="preserve"> filed </w:t>
            </w:r>
            <w:r>
              <w:rPr>
                <w:b w:val="0"/>
                <w:color w:val="auto"/>
              </w:rPr>
              <w:t>in November 2012 and March</w:t>
            </w:r>
            <w:r w:rsidRPr="00705881">
              <w:rPr>
                <w:b w:val="0"/>
                <w:color w:val="auto"/>
              </w:rPr>
              <w:t xml:space="preserve"> 201</w:t>
            </w:r>
            <w:r>
              <w:rPr>
                <w:b w:val="0"/>
                <w:color w:val="auto"/>
              </w:rPr>
              <w:t>3</w:t>
            </w:r>
            <w:r w:rsidRPr="00705881">
              <w:rPr>
                <w:b w:val="0"/>
                <w:color w:val="auto"/>
              </w:rPr>
              <w:t>.</w:t>
            </w:r>
          </w:p>
          <w:p w:rsidR="00F13643" w:rsidRDefault="00F13643" w:rsidP="00D43A4F">
            <w:pPr>
              <w:pStyle w:val="ListParagraph"/>
              <w:rPr>
                <w:u w:val="single"/>
              </w:rPr>
            </w:pPr>
          </w:p>
        </w:tc>
      </w:tr>
      <w:tr w:rsidR="00F13643" w:rsidRPr="00705881" w:rsidTr="00704908">
        <w:tc>
          <w:tcPr>
            <w:cnfStyle w:val="001000000000"/>
            <w:tcW w:w="9576" w:type="dxa"/>
            <w:tcBorders>
              <w:bottom w:val="single" w:sz="8" w:space="0" w:color="4F81BD" w:themeColor="accent1"/>
            </w:tcBorders>
            <w:shd w:val="clear" w:color="auto" w:fill="auto"/>
          </w:tcPr>
          <w:p w:rsidR="00F13643" w:rsidRDefault="00F13643" w:rsidP="00395B7F">
            <w:pPr>
              <w:pStyle w:val="ListParagraph"/>
              <w:rPr>
                <w:u w:val="single"/>
              </w:rPr>
            </w:pPr>
          </w:p>
        </w:tc>
      </w:tr>
    </w:tbl>
    <w:p w:rsidR="004817A5" w:rsidRDefault="004817A5" w:rsidP="00705881">
      <w:pPr>
        <w:rPr>
          <w:b/>
        </w:rPr>
      </w:pPr>
    </w:p>
    <w:sectPr w:rsidR="004817A5" w:rsidSect="00A034AE">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D97" w:rsidRDefault="009D3D97" w:rsidP="00705881">
      <w:pPr>
        <w:spacing w:after="0" w:line="240" w:lineRule="auto"/>
      </w:pPr>
      <w:r>
        <w:separator/>
      </w:r>
    </w:p>
  </w:endnote>
  <w:endnote w:type="continuationSeparator" w:id="0">
    <w:p w:rsidR="009D3D97" w:rsidRDefault="009D3D97" w:rsidP="00705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9042A3">
      <w:tc>
        <w:tcPr>
          <w:tcW w:w="3192" w:type="dxa"/>
        </w:tcPr>
        <w:p w:rsidR="009042A3" w:rsidRDefault="009042A3">
          <w:pPr>
            <w:pStyle w:val="Footer"/>
          </w:pPr>
          <w:r>
            <w:t>© 2013 Halotechnics, Inc.</w:t>
          </w:r>
        </w:p>
      </w:tc>
      <w:tc>
        <w:tcPr>
          <w:tcW w:w="3192" w:type="dxa"/>
        </w:tcPr>
        <w:p w:rsidR="009042A3" w:rsidRDefault="00A034AE" w:rsidP="009042A3">
          <w:pPr>
            <w:pStyle w:val="Footer"/>
            <w:jc w:val="center"/>
          </w:pPr>
          <w:fldSimple w:instr=" PAGE   \* MERGEFORMAT ">
            <w:r w:rsidR="00704908">
              <w:rPr>
                <w:noProof/>
              </w:rPr>
              <w:t>1</w:t>
            </w:r>
          </w:fldSimple>
        </w:p>
      </w:tc>
      <w:tc>
        <w:tcPr>
          <w:tcW w:w="3192" w:type="dxa"/>
        </w:tcPr>
        <w:p w:rsidR="009042A3" w:rsidRDefault="009042A3" w:rsidP="009042A3">
          <w:pPr>
            <w:pStyle w:val="Footer"/>
            <w:jc w:val="right"/>
          </w:pPr>
          <w:r>
            <w:t>CONFIDENTIAL</w:t>
          </w:r>
        </w:p>
      </w:tc>
    </w:tr>
  </w:tbl>
  <w:p w:rsidR="009042A3" w:rsidRDefault="009042A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D97" w:rsidRDefault="009D3D97" w:rsidP="00705881">
      <w:pPr>
        <w:spacing w:after="0" w:line="240" w:lineRule="auto"/>
      </w:pPr>
      <w:r>
        <w:separator/>
      </w:r>
    </w:p>
  </w:footnote>
  <w:footnote w:type="continuationSeparator" w:id="0">
    <w:p w:rsidR="009D3D97" w:rsidRDefault="009D3D97" w:rsidP="00705881">
      <w:pPr>
        <w:spacing w:after="0" w:line="240" w:lineRule="auto"/>
      </w:pPr>
      <w:r>
        <w:continuationSeparator/>
      </w:r>
    </w:p>
  </w:footnote>
  <w:footnote w:id="1">
    <w:p w:rsidR="001D17B3" w:rsidRPr="002661E8" w:rsidRDefault="001D17B3" w:rsidP="001D17B3">
      <w:pPr>
        <w:pStyle w:val="FootnoteText"/>
        <w:rPr>
          <w:rFonts w:asciiTheme="minorHAnsi" w:hAnsiTheme="minorHAnsi"/>
        </w:rPr>
      </w:pPr>
      <w:r w:rsidRPr="002661E8">
        <w:rPr>
          <w:rFonts w:asciiTheme="minorHAnsi" w:hAnsiTheme="minorHAnsi"/>
        </w:rPr>
        <w:t>[</w:t>
      </w:r>
      <w:r w:rsidRPr="002661E8">
        <w:rPr>
          <w:rStyle w:val="FootnoteReference"/>
          <w:rFonts w:asciiTheme="minorHAnsi" w:hAnsiTheme="minorHAnsi"/>
        </w:rPr>
        <w:footnoteRef/>
      </w:r>
      <w:r w:rsidRPr="002661E8">
        <w:rPr>
          <w:rFonts w:asciiTheme="minorHAnsi" w:hAnsiTheme="minorHAnsi"/>
        </w:rPr>
        <w:t>] R. Bradshaw, D. Brosseau, “Low-melting point inorganic nitrate salt heat transfer fluid,” U.S. Patent 7,588,694, September 2009.</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06627"/>
    <w:multiLevelType w:val="hybridMultilevel"/>
    <w:tmpl w:val="406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C0873"/>
    <w:multiLevelType w:val="hybridMultilevel"/>
    <w:tmpl w:val="B622BBB0"/>
    <w:lvl w:ilvl="0" w:tplc="C79C63D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FE1B63"/>
    <w:multiLevelType w:val="hybridMultilevel"/>
    <w:tmpl w:val="C63E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rsids>
    <w:rsidRoot w:val="005360BA"/>
    <w:rsid w:val="00023C63"/>
    <w:rsid w:val="00052BBB"/>
    <w:rsid w:val="00062C67"/>
    <w:rsid w:val="0007309C"/>
    <w:rsid w:val="00103E40"/>
    <w:rsid w:val="00162ABC"/>
    <w:rsid w:val="001D17B3"/>
    <w:rsid w:val="001D20F1"/>
    <w:rsid w:val="001D2A24"/>
    <w:rsid w:val="00211DD2"/>
    <w:rsid w:val="00217585"/>
    <w:rsid w:val="002661E8"/>
    <w:rsid w:val="00276081"/>
    <w:rsid w:val="00295EDC"/>
    <w:rsid w:val="002A240E"/>
    <w:rsid w:val="002A7322"/>
    <w:rsid w:val="002E2C8B"/>
    <w:rsid w:val="002F750A"/>
    <w:rsid w:val="003036D3"/>
    <w:rsid w:val="00321845"/>
    <w:rsid w:val="00324E8F"/>
    <w:rsid w:val="003417E6"/>
    <w:rsid w:val="003506D0"/>
    <w:rsid w:val="0039249F"/>
    <w:rsid w:val="00395B7F"/>
    <w:rsid w:val="003F41D9"/>
    <w:rsid w:val="0040156C"/>
    <w:rsid w:val="00423495"/>
    <w:rsid w:val="004817A5"/>
    <w:rsid w:val="004E7411"/>
    <w:rsid w:val="00521676"/>
    <w:rsid w:val="00523584"/>
    <w:rsid w:val="005360BA"/>
    <w:rsid w:val="0054468F"/>
    <w:rsid w:val="005818BD"/>
    <w:rsid w:val="00596025"/>
    <w:rsid w:val="005C0560"/>
    <w:rsid w:val="005E3B22"/>
    <w:rsid w:val="006214BE"/>
    <w:rsid w:val="00630EC4"/>
    <w:rsid w:val="00662753"/>
    <w:rsid w:val="0067480B"/>
    <w:rsid w:val="00682F7B"/>
    <w:rsid w:val="006A3EDF"/>
    <w:rsid w:val="006F6BB5"/>
    <w:rsid w:val="00704908"/>
    <w:rsid w:val="00705881"/>
    <w:rsid w:val="00712646"/>
    <w:rsid w:val="00741CC3"/>
    <w:rsid w:val="00797A73"/>
    <w:rsid w:val="007F05DB"/>
    <w:rsid w:val="00806257"/>
    <w:rsid w:val="00806CB7"/>
    <w:rsid w:val="0085036C"/>
    <w:rsid w:val="008A13B3"/>
    <w:rsid w:val="008A3A56"/>
    <w:rsid w:val="008C0D66"/>
    <w:rsid w:val="008E63C7"/>
    <w:rsid w:val="009042A3"/>
    <w:rsid w:val="009178A2"/>
    <w:rsid w:val="00933050"/>
    <w:rsid w:val="0098516F"/>
    <w:rsid w:val="00994607"/>
    <w:rsid w:val="009B2352"/>
    <w:rsid w:val="009D3D97"/>
    <w:rsid w:val="009E0F66"/>
    <w:rsid w:val="009F57CB"/>
    <w:rsid w:val="00A011F5"/>
    <w:rsid w:val="00A034AE"/>
    <w:rsid w:val="00A17AE8"/>
    <w:rsid w:val="00A45FE8"/>
    <w:rsid w:val="00A61DEA"/>
    <w:rsid w:val="00A9046D"/>
    <w:rsid w:val="00AC73DF"/>
    <w:rsid w:val="00B211E6"/>
    <w:rsid w:val="00B43DB1"/>
    <w:rsid w:val="00B67CAE"/>
    <w:rsid w:val="00B70052"/>
    <w:rsid w:val="00BB02A8"/>
    <w:rsid w:val="00BE0165"/>
    <w:rsid w:val="00BF7A73"/>
    <w:rsid w:val="00C02FC0"/>
    <w:rsid w:val="00C0516E"/>
    <w:rsid w:val="00C33F40"/>
    <w:rsid w:val="00C54E79"/>
    <w:rsid w:val="00C63103"/>
    <w:rsid w:val="00C82D2F"/>
    <w:rsid w:val="00C94052"/>
    <w:rsid w:val="00CA2FD2"/>
    <w:rsid w:val="00CB1C32"/>
    <w:rsid w:val="00CB2394"/>
    <w:rsid w:val="00CD377C"/>
    <w:rsid w:val="00D03CA4"/>
    <w:rsid w:val="00D2170F"/>
    <w:rsid w:val="00D909C8"/>
    <w:rsid w:val="00DA440C"/>
    <w:rsid w:val="00DD0D57"/>
    <w:rsid w:val="00DD255D"/>
    <w:rsid w:val="00DE3EAD"/>
    <w:rsid w:val="00E76F5F"/>
    <w:rsid w:val="00E9642B"/>
    <w:rsid w:val="00EC3AB2"/>
    <w:rsid w:val="00F13643"/>
    <w:rsid w:val="00F37858"/>
    <w:rsid w:val="00F61338"/>
    <w:rsid w:val="00F80A4E"/>
    <w:rsid w:val="00F87E67"/>
    <w:rsid w:val="00F92F66"/>
    <w:rsid w:val="00FA6B65"/>
    <w:rsid w:val="00FB7A4B"/>
    <w:rsid w:val="00FC2808"/>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AE"/>
  </w:style>
  <w:style w:type="paragraph" w:styleId="Heading2">
    <w:name w:val="heading 2"/>
    <w:basedOn w:val="Normal"/>
    <w:next w:val="Normal"/>
    <w:link w:val="Heading2Char"/>
    <w:qFormat/>
    <w:rsid w:val="001D17B3"/>
    <w:pPr>
      <w:keepNext/>
      <w:spacing w:after="120" w:line="240" w:lineRule="auto"/>
      <w:outlineLvl w:val="1"/>
    </w:pPr>
    <w:rPr>
      <w:rFonts w:ascii="Times New Roman" w:eastAsia="Times New Roman" w:hAnsi="Times New Roman" w:cs="Arial"/>
      <w:bCs/>
      <w:i/>
      <w:color w:val="000000"/>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36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0BA"/>
    <w:rPr>
      <w:rFonts w:ascii="Tahoma" w:hAnsi="Tahoma" w:cs="Tahoma"/>
      <w:sz w:val="16"/>
      <w:szCs w:val="16"/>
    </w:rPr>
  </w:style>
  <w:style w:type="paragraph" w:styleId="ListParagraph">
    <w:name w:val="List Paragraph"/>
    <w:basedOn w:val="Normal"/>
    <w:uiPriority w:val="34"/>
    <w:qFormat/>
    <w:rsid w:val="005360BA"/>
    <w:pPr>
      <w:ind w:left="720"/>
      <w:contextualSpacing/>
    </w:pPr>
  </w:style>
  <w:style w:type="table" w:styleId="TableGrid">
    <w:name w:val="Table Grid"/>
    <w:basedOn w:val="TableNormal"/>
    <w:uiPriority w:val="59"/>
    <w:rsid w:val="00481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817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705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81"/>
  </w:style>
  <w:style w:type="paragraph" w:styleId="Footer">
    <w:name w:val="footer"/>
    <w:basedOn w:val="Normal"/>
    <w:link w:val="FooterChar"/>
    <w:uiPriority w:val="99"/>
    <w:unhideWhenUsed/>
    <w:rsid w:val="00705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81"/>
  </w:style>
  <w:style w:type="character" w:customStyle="1" w:styleId="Heading2Char">
    <w:name w:val="Heading 2 Char"/>
    <w:basedOn w:val="DefaultParagraphFont"/>
    <w:link w:val="Heading2"/>
    <w:rsid w:val="001D17B3"/>
    <w:rPr>
      <w:rFonts w:ascii="Times New Roman" w:eastAsia="Times New Roman" w:hAnsi="Times New Roman" w:cs="Arial"/>
      <w:bCs/>
      <w:i/>
      <w:color w:val="000000"/>
      <w:szCs w:val="28"/>
    </w:rPr>
  </w:style>
  <w:style w:type="paragraph" w:styleId="FootnoteText">
    <w:name w:val="footnote text"/>
    <w:basedOn w:val="Normal"/>
    <w:link w:val="FootnoteTextChar"/>
    <w:uiPriority w:val="99"/>
    <w:semiHidden/>
    <w:rsid w:val="001D17B3"/>
    <w:pPr>
      <w:spacing w:after="120" w:line="240" w:lineRule="auto"/>
      <w:ind w:left="360" w:hanging="36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uiPriority w:val="99"/>
    <w:semiHidden/>
    <w:rsid w:val="001D17B3"/>
    <w:rPr>
      <w:rFonts w:ascii="Times New Roman" w:eastAsia="Times New Roman" w:hAnsi="Times New Roman" w:cs="Times New Roman"/>
      <w:szCs w:val="20"/>
    </w:rPr>
  </w:style>
  <w:style w:type="character" w:styleId="FootnoteReference">
    <w:name w:val="footnote reference"/>
    <w:basedOn w:val="DefaultParagraphFont"/>
    <w:uiPriority w:val="99"/>
    <w:semiHidden/>
    <w:rsid w:val="001D17B3"/>
    <w:rPr>
      <w:sz w:val="22"/>
      <w:szCs w:val="22"/>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1D17B3"/>
    <w:pPr>
      <w:keepNext/>
      <w:spacing w:after="120" w:line="240" w:lineRule="auto"/>
      <w:outlineLvl w:val="1"/>
    </w:pPr>
    <w:rPr>
      <w:rFonts w:ascii="Times New Roman" w:eastAsia="Times New Roman" w:hAnsi="Times New Roman" w:cs="Arial"/>
      <w:bCs/>
      <w:i/>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0BA"/>
    <w:rPr>
      <w:rFonts w:ascii="Tahoma" w:hAnsi="Tahoma" w:cs="Tahoma"/>
      <w:sz w:val="16"/>
      <w:szCs w:val="16"/>
    </w:rPr>
  </w:style>
  <w:style w:type="paragraph" w:styleId="ListParagraph">
    <w:name w:val="List Paragraph"/>
    <w:basedOn w:val="Normal"/>
    <w:uiPriority w:val="34"/>
    <w:qFormat/>
    <w:rsid w:val="005360BA"/>
    <w:pPr>
      <w:ind w:left="720"/>
      <w:contextualSpacing/>
    </w:pPr>
  </w:style>
  <w:style w:type="table" w:styleId="TableGrid">
    <w:name w:val="Table Grid"/>
    <w:basedOn w:val="TableNormal"/>
    <w:uiPriority w:val="59"/>
    <w:rsid w:val="00481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817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705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81"/>
  </w:style>
  <w:style w:type="paragraph" w:styleId="Footer">
    <w:name w:val="footer"/>
    <w:basedOn w:val="Normal"/>
    <w:link w:val="FooterChar"/>
    <w:uiPriority w:val="99"/>
    <w:unhideWhenUsed/>
    <w:rsid w:val="00705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81"/>
  </w:style>
  <w:style w:type="character" w:customStyle="1" w:styleId="Heading2Char">
    <w:name w:val="Heading 2 Char"/>
    <w:basedOn w:val="DefaultParagraphFont"/>
    <w:link w:val="Heading2"/>
    <w:rsid w:val="001D17B3"/>
    <w:rPr>
      <w:rFonts w:ascii="Times New Roman" w:eastAsia="Times New Roman" w:hAnsi="Times New Roman" w:cs="Arial"/>
      <w:bCs/>
      <w:i/>
      <w:color w:val="000000"/>
      <w:szCs w:val="28"/>
    </w:rPr>
  </w:style>
  <w:style w:type="paragraph" w:styleId="FootnoteText">
    <w:name w:val="footnote text"/>
    <w:basedOn w:val="Normal"/>
    <w:link w:val="FootnoteTextChar"/>
    <w:uiPriority w:val="99"/>
    <w:semiHidden/>
    <w:rsid w:val="001D17B3"/>
    <w:pPr>
      <w:spacing w:after="120" w:line="240" w:lineRule="auto"/>
      <w:ind w:left="360" w:hanging="36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uiPriority w:val="99"/>
    <w:semiHidden/>
    <w:rsid w:val="001D17B3"/>
    <w:rPr>
      <w:rFonts w:ascii="Times New Roman" w:eastAsia="Times New Roman" w:hAnsi="Times New Roman" w:cs="Times New Roman"/>
      <w:szCs w:val="20"/>
    </w:rPr>
  </w:style>
  <w:style w:type="character" w:styleId="FootnoteReference">
    <w:name w:val="footnote reference"/>
    <w:basedOn w:val="DefaultParagraphFont"/>
    <w:uiPriority w:val="99"/>
    <w:semiHidden/>
    <w:rsid w:val="001D17B3"/>
    <w:rPr>
      <w:sz w:val="22"/>
      <w:szCs w:val="22"/>
      <w:vertAlign w:val="baseline"/>
    </w:rPr>
  </w:style>
</w:styles>
</file>

<file path=word/webSettings.xml><?xml version="1.0" encoding="utf-8"?>
<w:webSettings xmlns:r="http://schemas.openxmlformats.org/officeDocument/2006/relationships" xmlns:w="http://schemas.openxmlformats.org/wordprocessingml/2006/main">
  <w:divs>
    <w:div w:id="19571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1011</Words>
  <Characters>5766</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belkin</dc:creator>
  <cp:lastModifiedBy>Joel Moxley</cp:lastModifiedBy>
  <cp:revision>9</cp:revision>
  <cp:lastPrinted>2013-08-21T17:29:00Z</cp:lastPrinted>
  <dcterms:created xsi:type="dcterms:W3CDTF">2013-11-01T18:19:00Z</dcterms:created>
  <dcterms:modified xsi:type="dcterms:W3CDTF">2017-01-25T16:28:00Z</dcterms:modified>
</cp:coreProperties>
</file>