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E26BBB" w14:paraId="10C15A8F" w14:textId="77777777">
        <w:tc>
          <w:tcPr>
            <w:tcW w:w="9576" w:type="dxa"/>
          </w:tcPr>
          <w:p w14:paraId="6BCF74D1" w14:textId="77777777" w:rsidR="00E26BBB" w:rsidRDefault="00541329">
            <w:pPr>
              <w:pStyle w:val="BodyText"/>
              <w:spacing w:after="0"/>
              <w:ind w:firstLine="0"/>
              <w:jc w:val="both"/>
            </w:pPr>
            <w:r>
              <w:t>THIS TERM SHEET SUMMARIZES THE PRINCIPAL TERMS OF THE PROPOSED FINANCING OF RARESHARE, INC. (THE “</w:t>
            </w:r>
            <w:r>
              <w:rPr>
                <w:b/>
                <w:bCs/>
                <w:i/>
                <w:iCs/>
              </w:rPr>
              <w:t>COMPANY</w:t>
            </w:r>
            <w:r>
              <w:t>”). THIS TERM SHEET IS FOR DISCUSSION PURPOSES ONLY. THERE IS NO OBLIGATION ON THE PART OF ANY NEGOTIATING PARTY UNTIL A DEFINITIVE NOTE PURCHASE AGREEMENT IS SIGNED BY ALL PARTIES. THIS TERM SHEET DOES NOT CONSTITUTE EITHER AN OFFER TO SELL OR AN OFFER TO PURCHASE SECURITIES.</w:t>
            </w:r>
          </w:p>
        </w:tc>
      </w:tr>
    </w:tbl>
    <w:p w14:paraId="64BBD153" w14:textId="77777777" w:rsidR="00E26BBB" w:rsidRDefault="00541329">
      <w:pPr>
        <w:pStyle w:val="Title"/>
        <w:spacing w:before="120" w:after="0"/>
      </w:pPr>
      <w:r>
        <w:t>MEMORANDUM OF TERMS FOR</w:t>
      </w:r>
      <w:r>
        <w:br/>
        <w:t>CONVERTIBLE NOTES</w:t>
      </w:r>
    </w:p>
    <w:p w14:paraId="145A51E5" w14:textId="77777777" w:rsidR="00E26BBB" w:rsidRDefault="00541329">
      <w:pPr>
        <w:pStyle w:val="Subtitle"/>
        <w:spacing w:after="120"/>
      </w:pPr>
      <w:r>
        <w:t>June 2015</w:t>
      </w:r>
    </w:p>
    <w:p w14:paraId="68047184" w14:textId="77777777" w:rsidR="00E26BBB" w:rsidRDefault="00541329">
      <w:pPr>
        <w:pStyle w:val="BodyText"/>
        <w:spacing w:after="120"/>
      </w:pPr>
      <w:r>
        <w:t xml:space="preserve">This memorandum summarizes the major terms of a private placement of convertible notes of </w:t>
      </w:r>
      <w:r>
        <w:rPr>
          <w:rFonts w:ascii="Times New Roman Bold" w:hAnsi="Times New Roman Bold" w:cs="Times New Roman Bold"/>
          <w:b/>
          <w:bCs/>
          <w:smallCaps/>
        </w:rPr>
        <w:t>________, Inc.</w:t>
      </w:r>
      <w:r>
        <w:rPr>
          <w:b/>
          <w:bCs/>
        </w:rPr>
        <w:t xml:space="preserve"> </w:t>
      </w:r>
      <w:r>
        <w:t>(the “</w:t>
      </w:r>
      <w:r>
        <w:rPr>
          <w:b/>
          <w:bCs/>
          <w:i/>
          <w:iCs/>
        </w:rPr>
        <w:t>Company</w:t>
      </w:r>
      <w:r>
        <w:t>”), a corporation formed under the laws of the State of Delaware.</w:t>
      </w:r>
    </w:p>
    <w:p w14:paraId="0D83BF0E" w14:textId="77777777" w:rsidR="00E26BBB" w:rsidRDefault="00541329">
      <w:pPr>
        <w:pStyle w:val="SubtitleUnderline"/>
        <w:spacing w:after="120"/>
        <w:rPr>
          <w:b/>
          <w:bCs/>
        </w:rPr>
      </w:pPr>
      <w:r>
        <w:rPr>
          <w:b/>
          <w:bCs/>
        </w:rPr>
        <w:t>Proposed Private Placement</w:t>
      </w:r>
    </w:p>
    <w:tbl>
      <w:tblPr>
        <w:tblW w:w="9182" w:type="dxa"/>
        <w:tblInd w:w="114" w:type="dxa"/>
        <w:tblLook w:val="01E0" w:firstRow="1" w:lastRow="1" w:firstColumn="1" w:lastColumn="1" w:noHBand="0" w:noVBand="0"/>
      </w:tblPr>
      <w:tblGrid>
        <w:gridCol w:w="709"/>
        <w:gridCol w:w="2682"/>
        <w:gridCol w:w="5791"/>
      </w:tblGrid>
      <w:tr w:rsidR="00E26BBB" w14:paraId="09603E81" w14:textId="77777777">
        <w:tc>
          <w:tcPr>
            <w:tcW w:w="709" w:type="dxa"/>
          </w:tcPr>
          <w:p w14:paraId="1245375B" w14:textId="77777777" w:rsidR="00E26BBB" w:rsidRDefault="00E26BBB">
            <w:pPr>
              <w:pStyle w:val="ListNumber"/>
              <w:spacing w:after="120"/>
            </w:pPr>
          </w:p>
        </w:tc>
        <w:tc>
          <w:tcPr>
            <w:tcW w:w="2682" w:type="dxa"/>
          </w:tcPr>
          <w:p w14:paraId="04696B8A" w14:textId="77777777" w:rsidR="00E26BBB" w:rsidRDefault="00541329">
            <w:pPr>
              <w:pStyle w:val="BodyText"/>
              <w:spacing w:after="120"/>
              <w:ind w:firstLine="0"/>
              <w:rPr>
                <w:b/>
                <w:bCs/>
              </w:rPr>
            </w:pPr>
            <w:r>
              <w:rPr>
                <w:b/>
                <w:bCs/>
              </w:rPr>
              <w:t>Amount of Investment:</w:t>
            </w:r>
          </w:p>
        </w:tc>
        <w:tc>
          <w:tcPr>
            <w:tcW w:w="5791" w:type="dxa"/>
          </w:tcPr>
          <w:p w14:paraId="5B4F3990" w14:textId="77777777" w:rsidR="00E26BBB" w:rsidRDefault="00541329">
            <w:pPr>
              <w:pStyle w:val="BodyText"/>
              <w:spacing w:after="120"/>
              <w:ind w:firstLine="0"/>
            </w:pPr>
            <w:r>
              <w:t>$1,500,000</w:t>
            </w:r>
          </w:p>
        </w:tc>
      </w:tr>
      <w:tr w:rsidR="00E26BBB" w14:paraId="09A8C43A" w14:textId="77777777">
        <w:tc>
          <w:tcPr>
            <w:tcW w:w="709" w:type="dxa"/>
          </w:tcPr>
          <w:p w14:paraId="4C4A91A3" w14:textId="77777777" w:rsidR="00E26BBB" w:rsidRDefault="00E26BBB">
            <w:pPr>
              <w:pStyle w:val="ListNumber"/>
              <w:spacing w:after="120"/>
            </w:pPr>
          </w:p>
        </w:tc>
        <w:tc>
          <w:tcPr>
            <w:tcW w:w="2682" w:type="dxa"/>
          </w:tcPr>
          <w:p w14:paraId="63C1EB96" w14:textId="77777777" w:rsidR="00E26BBB" w:rsidRDefault="00541329">
            <w:pPr>
              <w:pStyle w:val="BodyText"/>
              <w:spacing w:after="120"/>
              <w:ind w:firstLine="0"/>
              <w:rPr>
                <w:b/>
                <w:bCs/>
              </w:rPr>
            </w:pPr>
            <w:r>
              <w:rPr>
                <w:b/>
                <w:bCs/>
              </w:rPr>
              <w:t>Investors:</w:t>
            </w:r>
          </w:p>
        </w:tc>
        <w:tc>
          <w:tcPr>
            <w:tcW w:w="5791" w:type="dxa"/>
          </w:tcPr>
          <w:p w14:paraId="2177BD60" w14:textId="77777777" w:rsidR="00E26BBB" w:rsidRDefault="00541329">
            <w:pPr>
              <w:pStyle w:val="BodyText"/>
              <w:spacing w:after="120"/>
              <w:ind w:firstLine="0"/>
            </w:pPr>
            <w:r>
              <w:t>Accredited Investors</w:t>
            </w:r>
          </w:p>
        </w:tc>
      </w:tr>
      <w:tr w:rsidR="00E26BBB" w14:paraId="1F2C6C29" w14:textId="77777777">
        <w:tc>
          <w:tcPr>
            <w:tcW w:w="709" w:type="dxa"/>
          </w:tcPr>
          <w:p w14:paraId="2A7C88F6" w14:textId="77777777" w:rsidR="00E26BBB" w:rsidRDefault="00E26BBB">
            <w:pPr>
              <w:pStyle w:val="ListNumber"/>
              <w:spacing w:after="120"/>
            </w:pPr>
          </w:p>
        </w:tc>
        <w:tc>
          <w:tcPr>
            <w:tcW w:w="2682" w:type="dxa"/>
          </w:tcPr>
          <w:p w14:paraId="069F1F6F" w14:textId="77777777" w:rsidR="00E26BBB" w:rsidRDefault="00541329">
            <w:pPr>
              <w:pStyle w:val="BodyText"/>
              <w:spacing w:after="120"/>
              <w:ind w:firstLine="0"/>
              <w:rPr>
                <w:b/>
                <w:bCs/>
              </w:rPr>
            </w:pPr>
            <w:r>
              <w:rPr>
                <w:b/>
                <w:bCs/>
              </w:rPr>
              <w:t>Type of Security:</w:t>
            </w:r>
          </w:p>
        </w:tc>
        <w:tc>
          <w:tcPr>
            <w:tcW w:w="5791" w:type="dxa"/>
          </w:tcPr>
          <w:p w14:paraId="2185A58A" w14:textId="77777777" w:rsidR="00E26BBB" w:rsidRDefault="00541329">
            <w:pPr>
              <w:pStyle w:val="BodyText"/>
              <w:spacing w:after="120"/>
              <w:ind w:firstLine="0"/>
            </w:pPr>
            <w:r>
              <w:t>Convertible Note</w:t>
            </w:r>
          </w:p>
        </w:tc>
      </w:tr>
      <w:tr w:rsidR="00E26BBB" w14:paraId="7E7F64E2" w14:textId="77777777">
        <w:tc>
          <w:tcPr>
            <w:tcW w:w="709" w:type="dxa"/>
          </w:tcPr>
          <w:p w14:paraId="063E303F" w14:textId="77777777" w:rsidR="00E26BBB" w:rsidRDefault="00E26BBB">
            <w:pPr>
              <w:pStyle w:val="ListNumber"/>
              <w:spacing w:after="120"/>
            </w:pPr>
          </w:p>
        </w:tc>
        <w:tc>
          <w:tcPr>
            <w:tcW w:w="2682" w:type="dxa"/>
          </w:tcPr>
          <w:p w14:paraId="1ACDA214" w14:textId="77777777" w:rsidR="00E26BBB" w:rsidRDefault="00541329">
            <w:pPr>
              <w:pStyle w:val="BodyText"/>
              <w:spacing w:after="120"/>
              <w:ind w:firstLine="0"/>
              <w:rPr>
                <w:b/>
                <w:bCs/>
              </w:rPr>
            </w:pPr>
            <w:r>
              <w:rPr>
                <w:b/>
                <w:bCs/>
              </w:rPr>
              <w:t>Interest Rate:</w:t>
            </w:r>
          </w:p>
        </w:tc>
        <w:tc>
          <w:tcPr>
            <w:tcW w:w="5791" w:type="dxa"/>
          </w:tcPr>
          <w:p w14:paraId="5DCF8DCA" w14:textId="77777777" w:rsidR="00E26BBB" w:rsidRDefault="00541329">
            <w:pPr>
              <w:pStyle w:val="BodyText"/>
              <w:spacing w:after="120"/>
              <w:ind w:firstLine="0"/>
            </w:pPr>
            <w:r>
              <w:t>3% per annum</w:t>
            </w:r>
          </w:p>
        </w:tc>
      </w:tr>
      <w:tr w:rsidR="00E26BBB" w14:paraId="6CE1BB5A" w14:textId="77777777">
        <w:tc>
          <w:tcPr>
            <w:tcW w:w="709" w:type="dxa"/>
          </w:tcPr>
          <w:p w14:paraId="784E1E85" w14:textId="77777777" w:rsidR="00E26BBB" w:rsidRDefault="00E26BBB">
            <w:pPr>
              <w:pStyle w:val="ListNumber"/>
              <w:spacing w:after="120"/>
            </w:pPr>
          </w:p>
        </w:tc>
        <w:tc>
          <w:tcPr>
            <w:tcW w:w="2682" w:type="dxa"/>
          </w:tcPr>
          <w:p w14:paraId="67F5CE39" w14:textId="77777777" w:rsidR="00E26BBB" w:rsidRDefault="00541329">
            <w:pPr>
              <w:pStyle w:val="BodyText"/>
              <w:spacing w:after="120"/>
              <w:ind w:firstLine="0"/>
              <w:rPr>
                <w:b/>
                <w:bCs/>
              </w:rPr>
            </w:pPr>
            <w:r>
              <w:rPr>
                <w:b/>
                <w:bCs/>
              </w:rPr>
              <w:t>Maturity Date:</w:t>
            </w:r>
          </w:p>
        </w:tc>
        <w:tc>
          <w:tcPr>
            <w:tcW w:w="5791" w:type="dxa"/>
          </w:tcPr>
          <w:p w14:paraId="5BF54EED" w14:textId="77777777" w:rsidR="00E26BBB" w:rsidRDefault="00541329">
            <w:pPr>
              <w:pStyle w:val="BodyText"/>
              <w:spacing w:after="120"/>
              <w:ind w:firstLine="0"/>
            </w:pPr>
            <w:r>
              <w:t>Two years from the date of issuance.</w:t>
            </w:r>
          </w:p>
        </w:tc>
      </w:tr>
      <w:tr w:rsidR="00E26BBB" w14:paraId="4877790E" w14:textId="77777777">
        <w:tc>
          <w:tcPr>
            <w:tcW w:w="709" w:type="dxa"/>
          </w:tcPr>
          <w:p w14:paraId="2ADD630F" w14:textId="77777777" w:rsidR="00E26BBB" w:rsidRDefault="00E26BBB">
            <w:pPr>
              <w:pStyle w:val="ListNumber"/>
              <w:spacing w:after="120"/>
            </w:pPr>
          </w:p>
        </w:tc>
        <w:tc>
          <w:tcPr>
            <w:tcW w:w="2682" w:type="dxa"/>
          </w:tcPr>
          <w:p w14:paraId="0A2DF791" w14:textId="77777777" w:rsidR="00E26BBB" w:rsidRDefault="00541329">
            <w:pPr>
              <w:pStyle w:val="BodyText"/>
              <w:spacing w:after="120"/>
              <w:ind w:firstLine="0"/>
              <w:rPr>
                <w:b/>
                <w:bCs/>
              </w:rPr>
            </w:pPr>
            <w:r>
              <w:rPr>
                <w:b/>
                <w:bCs/>
              </w:rPr>
              <w:t>Payment Terms:</w:t>
            </w:r>
          </w:p>
        </w:tc>
        <w:tc>
          <w:tcPr>
            <w:tcW w:w="5791" w:type="dxa"/>
          </w:tcPr>
          <w:p w14:paraId="207F233C" w14:textId="77777777" w:rsidR="00E26BBB" w:rsidRDefault="00541329">
            <w:pPr>
              <w:pStyle w:val="BodyText"/>
              <w:spacing w:after="120"/>
              <w:ind w:firstLine="0"/>
              <w:jc w:val="both"/>
            </w:pPr>
            <w:r>
              <w:t>All principal and interest shall be payable only at the Maturity Date. Without the consent of the Investor, there shall be no right on the part of the Company to prepay the Notes, in whole or in part.</w:t>
            </w:r>
          </w:p>
        </w:tc>
      </w:tr>
      <w:tr w:rsidR="00E26BBB" w14:paraId="5D410C80" w14:textId="77777777">
        <w:tc>
          <w:tcPr>
            <w:tcW w:w="709" w:type="dxa"/>
          </w:tcPr>
          <w:p w14:paraId="2A6BFA22" w14:textId="77777777" w:rsidR="00E26BBB" w:rsidRDefault="00E26BBB">
            <w:pPr>
              <w:pStyle w:val="ListNumber"/>
              <w:spacing w:after="120"/>
            </w:pPr>
          </w:p>
        </w:tc>
        <w:tc>
          <w:tcPr>
            <w:tcW w:w="2682" w:type="dxa"/>
          </w:tcPr>
          <w:p w14:paraId="0B67C159" w14:textId="77777777" w:rsidR="00E26BBB" w:rsidRDefault="00541329">
            <w:pPr>
              <w:pStyle w:val="BodyText"/>
              <w:spacing w:after="120"/>
              <w:ind w:firstLine="0"/>
              <w:rPr>
                <w:b/>
                <w:bCs/>
              </w:rPr>
            </w:pPr>
            <w:r>
              <w:rPr>
                <w:b/>
                <w:bCs/>
              </w:rPr>
              <w:t>Note Purchase Agreement:</w:t>
            </w:r>
          </w:p>
        </w:tc>
        <w:tc>
          <w:tcPr>
            <w:tcW w:w="5791" w:type="dxa"/>
          </w:tcPr>
          <w:p w14:paraId="26712264" w14:textId="77777777" w:rsidR="00E26BBB" w:rsidRDefault="00541329">
            <w:pPr>
              <w:pStyle w:val="BodyText"/>
              <w:spacing w:after="120"/>
              <w:ind w:firstLine="0"/>
              <w:jc w:val="both"/>
            </w:pPr>
            <w:r>
              <w:rPr>
                <w:color w:val="000000"/>
              </w:rPr>
              <w:t>The Note will be purchased by the Investor pursuant to a note purchase agreement (the “</w:t>
            </w:r>
            <w:r>
              <w:rPr>
                <w:b/>
                <w:bCs/>
                <w:i/>
                <w:iCs/>
                <w:color w:val="000000"/>
              </w:rPr>
              <w:t>Note Purchase Agreement</w:t>
            </w:r>
            <w:r>
              <w:rPr>
                <w:color w:val="000000"/>
              </w:rPr>
              <w:t>”).</w:t>
            </w:r>
          </w:p>
        </w:tc>
      </w:tr>
      <w:tr w:rsidR="00E26BBB" w14:paraId="4CBD7B29" w14:textId="77777777">
        <w:tc>
          <w:tcPr>
            <w:tcW w:w="709" w:type="dxa"/>
          </w:tcPr>
          <w:p w14:paraId="238970DB" w14:textId="77777777" w:rsidR="00E26BBB" w:rsidRDefault="00E26BBB">
            <w:pPr>
              <w:pStyle w:val="ListNumber"/>
              <w:spacing w:after="120"/>
            </w:pPr>
          </w:p>
        </w:tc>
        <w:tc>
          <w:tcPr>
            <w:tcW w:w="2682" w:type="dxa"/>
          </w:tcPr>
          <w:p w14:paraId="6ABB39AD" w14:textId="77777777" w:rsidR="00E26BBB" w:rsidRDefault="00541329">
            <w:pPr>
              <w:pStyle w:val="BodyText"/>
              <w:spacing w:after="120"/>
              <w:ind w:firstLine="0"/>
              <w:rPr>
                <w:b/>
                <w:bCs/>
              </w:rPr>
            </w:pPr>
            <w:r>
              <w:rPr>
                <w:b/>
                <w:bCs/>
              </w:rPr>
              <w:t>Multiple Closings:</w:t>
            </w:r>
          </w:p>
        </w:tc>
        <w:tc>
          <w:tcPr>
            <w:tcW w:w="5791" w:type="dxa"/>
          </w:tcPr>
          <w:p w14:paraId="2BA0A3ED" w14:textId="77777777" w:rsidR="00E26BBB" w:rsidRDefault="00541329">
            <w:pPr>
              <w:pStyle w:val="BodyText"/>
              <w:spacing w:after="120"/>
              <w:ind w:firstLine="0"/>
              <w:jc w:val="both"/>
            </w:pPr>
            <w:r>
              <w:t>The Company intends to sell up to $1,500,000 of Convertible Notes. The Note Purchase Agreement shall be the same Note Purchase Agreement for each sale, with a separate Note issued thereunder to each Investor. All sales of Notes under the Note Purchase Agreement shall be completed within 120 days of the first closing. Within a reasonable time after the sale of the last Note or by the 30</w:t>
            </w:r>
            <w:r>
              <w:rPr>
                <w:vertAlign w:val="superscript"/>
              </w:rPr>
              <w:t>th</w:t>
            </w:r>
            <w:r>
              <w:t xml:space="preserve"> day from the first closing, the Company shall provide each Investor with a set of materials relating to the private placement, including a conformed set of documents (including the Note Purchase Agreement).</w:t>
            </w:r>
          </w:p>
        </w:tc>
      </w:tr>
      <w:tr w:rsidR="00E26BBB" w14:paraId="3BE60FB4" w14:textId="77777777">
        <w:tc>
          <w:tcPr>
            <w:tcW w:w="709" w:type="dxa"/>
          </w:tcPr>
          <w:p w14:paraId="1C2AB95A" w14:textId="77777777" w:rsidR="00E26BBB" w:rsidRDefault="00E26BBB">
            <w:pPr>
              <w:pStyle w:val="ListNumber"/>
              <w:spacing w:after="120"/>
            </w:pPr>
          </w:p>
        </w:tc>
        <w:tc>
          <w:tcPr>
            <w:tcW w:w="2682" w:type="dxa"/>
          </w:tcPr>
          <w:p w14:paraId="2E1562ED" w14:textId="77777777" w:rsidR="00E26BBB" w:rsidRDefault="00541329">
            <w:pPr>
              <w:pStyle w:val="BodyText"/>
              <w:spacing w:after="120"/>
              <w:ind w:firstLine="0"/>
              <w:rPr>
                <w:b/>
                <w:bCs/>
              </w:rPr>
            </w:pPr>
            <w:r>
              <w:rPr>
                <w:b/>
                <w:bCs/>
              </w:rPr>
              <w:t>Capitalization:</w:t>
            </w:r>
          </w:p>
        </w:tc>
        <w:tc>
          <w:tcPr>
            <w:tcW w:w="5791" w:type="dxa"/>
          </w:tcPr>
          <w:p w14:paraId="0580DE8A" w14:textId="77777777" w:rsidR="00E26BBB" w:rsidRDefault="00541329">
            <w:pPr>
              <w:pStyle w:val="BodyText"/>
              <w:spacing w:after="120"/>
              <w:ind w:firstLine="0"/>
              <w:jc w:val="both"/>
            </w:pPr>
            <w:r>
              <w:t xml:space="preserve">The capitalization of the Company is as set forth on the table in </w:t>
            </w:r>
            <w:r>
              <w:rPr>
                <w:u w:val="single"/>
              </w:rPr>
              <w:t>Attachment 1</w:t>
            </w:r>
            <w:r>
              <w:t xml:space="preserve"> hereto. </w:t>
            </w:r>
          </w:p>
        </w:tc>
      </w:tr>
      <w:tr w:rsidR="00E26BBB" w14:paraId="418B24E9" w14:textId="77777777">
        <w:tc>
          <w:tcPr>
            <w:tcW w:w="709" w:type="dxa"/>
          </w:tcPr>
          <w:p w14:paraId="03F52F61" w14:textId="77777777" w:rsidR="00E26BBB" w:rsidRDefault="00E26BBB">
            <w:pPr>
              <w:pStyle w:val="ListNumber"/>
              <w:spacing w:after="120"/>
            </w:pPr>
          </w:p>
        </w:tc>
        <w:tc>
          <w:tcPr>
            <w:tcW w:w="2682" w:type="dxa"/>
          </w:tcPr>
          <w:p w14:paraId="70275E8C" w14:textId="77777777" w:rsidR="00E26BBB" w:rsidRDefault="00541329">
            <w:pPr>
              <w:pStyle w:val="BodyText"/>
              <w:spacing w:after="120"/>
              <w:ind w:firstLine="0"/>
              <w:rPr>
                <w:b/>
                <w:bCs/>
              </w:rPr>
            </w:pPr>
            <w:r>
              <w:rPr>
                <w:b/>
                <w:bCs/>
              </w:rPr>
              <w:t>Next Financing:</w:t>
            </w:r>
          </w:p>
        </w:tc>
        <w:tc>
          <w:tcPr>
            <w:tcW w:w="5791" w:type="dxa"/>
          </w:tcPr>
          <w:p w14:paraId="3163178C" w14:textId="77777777" w:rsidR="00E26BBB" w:rsidRDefault="00541329">
            <w:pPr>
              <w:pStyle w:val="BodyText"/>
              <w:spacing w:after="120"/>
              <w:ind w:firstLine="0"/>
              <w:jc w:val="both"/>
            </w:pPr>
            <w:r>
              <w:t>As used in this Term Sheet, “</w:t>
            </w:r>
            <w:r>
              <w:rPr>
                <w:b/>
                <w:bCs/>
                <w:i/>
                <w:iCs/>
              </w:rPr>
              <w:t>Next Financing</w:t>
            </w:r>
            <w:r>
              <w:t xml:space="preserve">” means the next transaction (or series of transactions) in which the Company sells and issues shares of the capital stock </w:t>
            </w:r>
            <w:r>
              <w:lastRenderedPageBreak/>
              <w:t xml:space="preserve">and/or other equity securities of the Company, including, but not limited to, derivative securities (e.g., options, warrants, etc.) and other securities convertible at a fixed price into equity securities of the Company; </w:t>
            </w:r>
            <w:r>
              <w:rPr>
                <w:i/>
                <w:iCs/>
              </w:rPr>
              <w:t>provided</w:t>
            </w:r>
            <w:r>
              <w:t xml:space="preserve">, </w:t>
            </w:r>
            <w:r>
              <w:rPr>
                <w:i/>
                <w:iCs/>
              </w:rPr>
              <w:t>however</w:t>
            </w:r>
            <w:r>
              <w:t>, in no event shall the sale or issuance of any Excluded Securities (as defined below) qualify as the Next Financing.</w:t>
            </w:r>
          </w:p>
        </w:tc>
      </w:tr>
      <w:tr w:rsidR="00E26BBB" w14:paraId="008E1FB4" w14:textId="77777777">
        <w:tc>
          <w:tcPr>
            <w:tcW w:w="709" w:type="dxa"/>
          </w:tcPr>
          <w:p w14:paraId="1213CA53" w14:textId="77777777" w:rsidR="00E26BBB" w:rsidRDefault="00E26BBB">
            <w:pPr>
              <w:pStyle w:val="ListNumber"/>
              <w:spacing w:after="120"/>
            </w:pPr>
          </w:p>
        </w:tc>
        <w:tc>
          <w:tcPr>
            <w:tcW w:w="2682" w:type="dxa"/>
          </w:tcPr>
          <w:p w14:paraId="1C45972A" w14:textId="77777777" w:rsidR="00E26BBB" w:rsidRDefault="00541329">
            <w:pPr>
              <w:pStyle w:val="BodyText"/>
              <w:spacing w:after="120"/>
              <w:ind w:firstLine="0"/>
              <w:rPr>
                <w:b/>
                <w:bCs/>
              </w:rPr>
            </w:pPr>
            <w:r>
              <w:rPr>
                <w:b/>
                <w:bCs/>
              </w:rPr>
              <w:t>Next Financing Securities:</w:t>
            </w:r>
          </w:p>
        </w:tc>
        <w:tc>
          <w:tcPr>
            <w:tcW w:w="5791" w:type="dxa"/>
          </w:tcPr>
          <w:p w14:paraId="34C4E4E6" w14:textId="77777777" w:rsidR="00E26BBB" w:rsidRDefault="00541329">
            <w:pPr>
              <w:pStyle w:val="BodyText"/>
              <w:spacing w:after="120"/>
              <w:ind w:firstLine="0"/>
              <w:jc w:val="both"/>
            </w:pPr>
            <w:r>
              <w:t>As used in this Term Sheet, “</w:t>
            </w:r>
            <w:r>
              <w:rPr>
                <w:b/>
                <w:bCs/>
                <w:i/>
                <w:iCs/>
              </w:rPr>
              <w:t>Next Financing Securities</w:t>
            </w:r>
            <w:r>
              <w:t>” means the securities sold and issued in the Next Financing, including a Qualified Financing.</w:t>
            </w:r>
          </w:p>
        </w:tc>
      </w:tr>
      <w:tr w:rsidR="00E26BBB" w14:paraId="26845554" w14:textId="77777777">
        <w:tc>
          <w:tcPr>
            <w:tcW w:w="709" w:type="dxa"/>
          </w:tcPr>
          <w:p w14:paraId="6762EF31" w14:textId="77777777" w:rsidR="00E26BBB" w:rsidRDefault="00E26BBB">
            <w:pPr>
              <w:pStyle w:val="ListNumber"/>
              <w:spacing w:after="120"/>
            </w:pPr>
          </w:p>
        </w:tc>
        <w:tc>
          <w:tcPr>
            <w:tcW w:w="2682" w:type="dxa"/>
          </w:tcPr>
          <w:p w14:paraId="597F0A7C" w14:textId="77777777" w:rsidR="00E26BBB" w:rsidRDefault="00541329">
            <w:pPr>
              <w:pStyle w:val="BodyText"/>
              <w:spacing w:after="120"/>
              <w:ind w:firstLine="0"/>
              <w:rPr>
                <w:b/>
                <w:bCs/>
              </w:rPr>
            </w:pPr>
            <w:r>
              <w:rPr>
                <w:b/>
                <w:bCs/>
              </w:rPr>
              <w:t>Qualified Financing:</w:t>
            </w:r>
          </w:p>
        </w:tc>
        <w:tc>
          <w:tcPr>
            <w:tcW w:w="5791" w:type="dxa"/>
          </w:tcPr>
          <w:p w14:paraId="79C21AA0" w14:textId="77777777" w:rsidR="00E26BBB" w:rsidRDefault="00541329">
            <w:pPr>
              <w:pStyle w:val="BodyText"/>
              <w:spacing w:after="120"/>
              <w:ind w:firstLine="0"/>
              <w:jc w:val="both"/>
            </w:pPr>
            <w:r>
              <w:t>As used in this Term Sheet, “</w:t>
            </w:r>
            <w:r>
              <w:rPr>
                <w:b/>
                <w:bCs/>
                <w:i/>
                <w:iCs/>
              </w:rPr>
              <w:t>Qualified Financing</w:t>
            </w:r>
            <w:r>
              <w:t xml:space="preserve">” means the Next Financing in which the Company raises an aggregate amount equal to or greater than </w:t>
            </w:r>
            <w:r>
              <w:rPr>
                <w:highlight w:val="yellow"/>
              </w:rPr>
              <w:t>$[2,000,</w:t>
            </w:r>
            <w:commentRangeStart w:id="0"/>
            <w:r>
              <w:rPr>
                <w:highlight w:val="yellow"/>
              </w:rPr>
              <w:t>000</w:t>
            </w:r>
            <w:commentRangeEnd w:id="0"/>
            <w:r>
              <w:rPr>
                <w:rStyle w:val="CommentReference"/>
              </w:rPr>
              <w:commentReference w:id="0"/>
            </w:r>
            <w:r>
              <w:rPr>
                <w:highlight w:val="yellow"/>
              </w:rPr>
              <w:t>]</w:t>
            </w:r>
            <w:r>
              <w:t xml:space="preserve"> in proceeds (not including the proceeds of this Note, all other Notes and any other indebtedness or other obligations of the Company outstanding or conversion thereof or any proceeds from equity incentives issued to employees, consultants, directors, advisors or other service providers).</w:t>
            </w:r>
          </w:p>
        </w:tc>
      </w:tr>
      <w:tr w:rsidR="00E26BBB" w14:paraId="7BA444FE" w14:textId="77777777">
        <w:tc>
          <w:tcPr>
            <w:tcW w:w="709" w:type="dxa"/>
          </w:tcPr>
          <w:p w14:paraId="3DCA2BE4" w14:textId="77777777" w:rsidR="00E26BBB" w:rsidRDefault="00E26BBB">
            <w:pPr>
              <w:pStyle w:val="ListNumber"/>
              <w:spacing w:after="120"/>
            </w:pPr>
          </w:p>
        </w:tc>
        <w:tc>
          <w:tcPr>
            <w:tcW w:w="2682" w:type="dxa"/>
          </w:tcPr>
          <w:p w14:paraId="1002A266" w14:textId="77777777" w:rsidR="00E26BBB" w:rsidRDefault="00541329">
            <w:pPr>
              <w:pStyle w:val="BodyText"/>
              <w:spacing w:after="120"/>
              <w:ind w:firstLine="0"/>
              <w:rPr>
                <w:b/>
                <w:bCs/>
              </w:rPr>
            </w:pPr>
            <w:r>
              <w:rPr>
                <w:b/>
                <w:bCs/>
              </w:rPr>
              <w:t>Excluded Securities:</w:t>
            </w:r>
          </w:p>
        </w:tc>
        <w:tc>
          <w:tcPr>
            <w:tcW w:w="5791" w:type="dxa"/>
          </w:tcPr>
          <w:p w14:paraId="501CCAFE" w14:textId="77777777" w:rsidR="00E26BBB" w:rsidRDefault="00541329">
            <w:pPr>
              <w:pStyle w:val="BodyText"/>
              <w:spacing w:after="120"/>
              <w:ind w:firstLine="0"/>
              <w:jc w:val="both"/>
            </w:pPr>
            <w:r>
              <w:t>As used in this Term Sheet, “</w:t>
            </w:r>
            <w:r>
              <w:rPr>
                <w:b/>
                <w:bCs/>
                <w:i/>
                <w:iCs/>
              </w:rPr>
              <w:t>Excluded Securities</w:t>
            </w:r>
            <w:r>
              <w:t>” means shares of the capital stock, or other equity securities of the Company, including, but not limited to, derivative securities (e.g., options, warrants, etc.) and other securities convertible at a fixed price into equity securities of the Company issued or issuable (i) to officers, directors or employees of, or consultants to, the Company pursuant to option or purchase plans or agreements on terms approved by the board of directors of the Company (the “</w:t>
            </w:r>
            <w:r>
              <w:rPr>
                <w:b/>
                <w:bCs/>
                <w:i/>
                <w:iCs/>
              </w:rPr>
              <w:t>Board</w:t>
            </w:r>
            <w:r>
              <w:t>”); (ii) in connection with equipment leasing, real estate, bank financing or a similar transaction approved by the Board; (iii) in connection with strategic alliances, licensing transactions or other partnering arrangements approved by the Board; and (iv) as a dividend on common or preferred stock of the Company.</w:t>
            </w:r>
          </w:p>
        </w:tc>
      </w:tr>
      <w:tr w:rsidR="00E26BBB" w14:paraId="6ECC9B35" w14:textId="77777777">
        <w:tc>
          <w:tcPr>
            <w:tcW w:w="709" w:type="dxa"/>
          </w:tcPr>
          <w:p w14:paraId="67F7B27E" w14:textId="77777777" w:rsidR="00E26BBB" w:rsidRDefault="00E26BBB">
            <w:pPr>
              <w:pStyle w:val="ListNumber"/>
            </w:pPr>
          </w:p>
        </w:tc>
        <w:tc>
          <w:tcPr>
            <w:tcW w:w="2682" w:type="dxa"/>
          </w:tcPr>
          <w:p w14:paraId="24876D1B" w14:textId="77777777" w:rsidR="00E26BBB" w:rsidRDefault="00541329">
            <w:pPr>
              <w:pStyle w:val="BodyText"/>
              <w:spacing w:after="0"/>
              <w:ind w:firstLine="0"/>
              <w:rPr>
                <w:b/>
                <w:bCs/>
              </w:rPr>
            </w:pPr>
            <w:r>
              <w:rPr>
                <w:b/>
                <w:bCs/>
              </w:rPr>
              <w:t>Conversion Price:</w:t>
            </w:r>
          </w:p>
        </w:tc>
        <w:tc>
          <w:tcPr>
            <w:tcW w:w="5791" w:type="dxa"/>
          </w:tcPr>
          <w:p w14:paraId="7A717CC5" w14:textId="77777777" w:rsidR="00E26BBB" w:rsidRDefault="00541329">
            <w:pPr>
              <w:pStyle w:val="BodyText"/>
              <w:spacing w:after="0"/>
              <w:ind w:firstLine="0"/>
              <w:jc w:val="both"/>
            </w:pPr>
            <w:r>
              <w:t>As used in this Term Sheet, the term “</w:t>
            </w:r>
            <w:r>
              <w:rPr>
                <w:b/>
                <w:bCs/>
                <w:i/>
                <w:iCs/>
              </w:rPr>
              <w:t>Conversion Price</w:t>
            </w:r>
            <w:r>
              <w:t>” means the purchase price per share for the Next Financing Securities sold and issued by the Company in such Next Financing multiplied by 0.80, subject to Section 16 below.</w:t>
            </w:r>
          </w:p>
        </w:tc>
      </w:tr>
      <w:tr w:rsidR="00E26BBB" w14:paraId="2BDA4E1E" w14:textId="77777777">
        <w:tc>
          <w:tcPr>
            <w:tcW w:w="709" w:type="dxa"/>
          </w:tcPr>
          <w:p w14:paraId="3A6B3405" w14:textId="77777777" w:rsidR="00E26BBB" w:rsidRDefault="00E26BBB">
            <w:pPr>
              <w:pStyle w:val="ListNumber"/>
              <w:spacing w:after="60"/>
            </w:pPr>
          </w:p>
        </w:tc>
        <w:tc>
          <w:tcPr>
            <w:tcW w:w="2682" w:type="dxa"/>
          </w:tcPr>
          <w:p w14:paraId="3DB76FB8" w14:textId="77777777" w:rsidR="00E26BBB" w:rsidRDefault="00541329">
            <w:pPr>
              <w:pStyle w:val="BodyText"/>
              <w:spacing w:after="60"/>
              <w:ind w:firstLine="0"/>
              <w:rPr>
                <w:b/>
                <w:bCs/>
              </w:rPr>
            </w:pPr>
            <w:r>
              <w:rPr>
                <w:b/>
                <w:bCs/>
              </w:rPr>
              <w:t>Conversion:</w:t>
            </w:r>
          </w:p>
        </w:tc>
        <w:tc>
          <w:tcPr>
            <w:tcW w:w="5791" w:type="dxa"/>
          </w:tcPr>
          <w:p w14:paraId="4145BFC2" w14:textId="77777777" w:rsidR="00E26BBB" w:rsidRDefault="00E26BBB">
            <w:pPr>
              <w:pStyle w:val="BodyText"/>
              <w:spacing w:after="60"/>
              <w:ind w:firstLine="0"/>
              <w:jc w:val="both"/>
            </w:pPr>
          </w:p>
        </w:tc>
      </w:tr>
      <w:tr w:rsidR="00E26BBB" w14:paraId="040E10CC" w14:textId="77777777">
        <w:tc>
          <w:tcPr>
            <w:tcW w:w="709" w:type="dxa"/>
          </w:tcPr>
          <w:p w14:paraId="70F3AA2A" w14:textId="77777777" w:rsidR="00E26BBB" w:rsidRDefault="00E26BBB">
            <w:pPr>
              <w:pStyle w:val="BlockText"/>
              <w:spacing w:after="120"/>
            </w:pPr>
          </w:p>
        </w:tc>
        <w:tc>
          <w:tcPr>
            <w:tcW w:w="2682" w:type="dxa"/>
          </w:tcPr>
          <w:p w14:paraId="4ED40238" w14:textId="77777777" w:rsidR="00E26BBB" w:rsidRDefault="00E26BBB">
            <w:pPr>
              <w:pStyle w:val="BlockText"/>
              <w:spacing w:after="120"/>
              <w:rPr>
                <w:b/>
                <w:bCs/>
              </w:rPr>
            </w:pPr>
          </w:p>
        </w:tc>
        <w:tc>
          <w:tcPr>
            <w:tcW w:w="5791" w:type="dxa"/>
          </w:tcPr>
          <w:p w14:paraId="36660D04" w14:textId="77777777" w:rsidR="00E26BBB" w:rsidRDefault="00541329">
            <w:pPr>
              <w:pStyle w:val="BlockText"/>
              <w:spacing w:after="120"/>
              <w:jc w:val="both"/>
            </w:pPr>
            <w:r>
              <w:t>As used in this Term Sheet, the term “</w:t>
            </w:r>
            <w:r>
              <w:rPr>
                <w:b/>
                <w:bCs/>
                <w:i/>
                <w:iCs/>
              </w:rPr>
              <w:t>Outstanding Amount</w:t>
            </w:r>
            <w:r>
              <w:t xml:space="preserve">” means, as of any applicable date and as applied to any Note, the then-outstanding principal and interest </w:t>
            </w:r>
            <w:r>
              <w:lastRenderedPageBreak/>
              <w:t xml:space="preserve">due under such Note. </w:t>
            </w:r>
          </w:p>
        </w:tc>
      </w:tr>
      <w:tr w:rsidR="00E26BBB" w14:paraId="5A03E481" w14:textId="77777777">
        <w:tc>
          <w:tcPr>
            <w:tcW w:w="709" w:type="dxa"/>
          </w:tcPr>
          <w:p w14:paraId="2AA71A62" w14:textId="77777777" w:rsidR="00E26BBB" w:rsidRDefault="00E26BBB">
            <w:pPr>
              <w:pStyle w:val="BlockText"/>
              <w:spacing w:after="120"/>
            </w:pPr>
          </w:p>
        </w:tc>
        <w:tc>
          <w:tcPr>
            <w:tcW w:w="2682" w:type="dxa"/>
          </w:tcPr>
          <w:p w14:paraId="67ABE4E3" w14:textId="77777777" w:rsidR="00E26BBB" w:rsidRDefault="00541329">
            <w:pPr>
              <w:pStyle w:val="BlockText"/>
              <w:spacing w:after="120"/>
              <w:rPr>
                <w:b/>
                <w:bCs/>
              </w:rPr>
            </w:pPr>
            <w:r>
              <w:rPr>
                <w:b/>
                <w:bCs/>
              </w:rPr>
              <w:t>Conversion Upon A Qualified Financing:</w:t>
            </w:r>
          </w:p>
        </w:tc>
        <w:tc>
          <w:tcPr>
            <w:tcW w:w="5791" w:type="dxa"/>
          </w:tcPr>
          <w:p w14:paraId="4878B6A6" w14:textId="77777777" w:rsidR="00E26BBB" w:rsidRDefault="00541329">
            <w:pPr>
              <w:pStyle w:val="BlockText"/>
              <w:spacing w:after="120"/>
              <w:jc w:val="both"/>
            </w:pPr>
            <w:r>
              <w:t>Upon the closing of the Qualified Financing prior to repayment or conversion of Notes, the Outstanding Amount under the Notes shall be automatically converted into a number of shares of Next Financing Securities at the Conversion Price.</w:t>
            </w:r>
          </w:p>
        </w:tc>
      </w:tr>
      <w:tr w:rsidR="00E26BBB" w14:paraId="7E3977C9" w14:textId="77777777">
        <w:tc>
          <w:tcPr>
            <w:tcW w:w="709" w:type="dxa"/>
          </w:tcPr>
          <w:p w14:paraId="62621FC6" w14:textId="77777777" w:rsidR="00E26BBB" w:rsidRDefault="00E26BBB">
            <w:pPr>
              <w:pStyle w:val="BlockText"/>
              <w:keepNext/>
              <w:spacing w:after="120"/>
            </w:pPr>
          </w:p>
        </w:tc>
        <w:tc>
          <w:tcPr>
            <w:tcW w:w="2682" w:type="dxa"/>
          </w:tcPr>
          <w:p w14:paraId="6969D2E2" w14:textId="77777777" w:rsidR="00E26BBB" w:rsidRDefault="00541329">
            <w:pPr>
              <w:pStyle w:val="BlockText"/>
              <w:keepNext/>
              <w:spacing w:after="120"/>
              <w:rPr>
                <w:b/>
                <w:bCs/>
              </w:rPr>
            </w:pPr>
            <w:r>
              <w:rPr>
                <w:b/>
                <w:bCs/>
              </w:rPr>
              <w:t>Conversion Upon A Non-Qualified Financing:</w:t>
            </w:r>
          </w:p>
        </w:tc>
        <w:tc>
          <w:tcPr>
            <w:tcW w:w="5791" w:type="dxa"/>
          </w:tcPr>
          <w:p w14:paraId="1BCC0DC8" w14:textId="77777777" w:rsidR="00E26BBB" w:rsidRDefault="00541329">
            <w:pPr>
              <w:pStyle w:val="BlockText"/>
              <w:keepNext/>
              <w:spacing w:after="120"/>
              <w:jc w:val="both"/>
            </w:pPr>
            <w:r>
              <w:t xml:space="preserve">Upon the closing of the Next Financing that is not a Qualified Financing prior to repayment or conversion of the Outstanding Amount under the Notes, the Investor of each Note may, at the sole option of such Investor, convert such Outstanding Amount into shares of the Next Financing Securities; </w:t>
            </w:r>
            <w:r>
              <w:rPr>
                <w:u w:val="single"/>
              </w:rPr>
              <w:t>provided</w:t>
            </w:r>
            <w:r>
              <w:t xml:space="preserve">, </w:t>
            </w:r>
            <w:r>
              <w:rPr>
                <w:u w:val="single"/>
              </w:rPr>
              <w:t>however</w:t>
            </w:r>
            <w:r>
              <w:t xml:space="preserve">, that in the event that any single holder of Notes with an aggregate principal amount of at least </w:t>
            </w:r>
            <w:r>
              <w:rPr>
                <w:highlight w:val="yellow"/>
              </w:rPr>
              <w:t>$[500,</w:t>
            </w:r>
            <w:commentRangeStart w:id="1"/>
            <w:r>
              <w:rPr>
                <w:highlight w:val="yellow"/>
              </w:rPr>
              <w:t>000</w:t>
            </w:r>
            <w:commentRangeEnd w:id="1"/>
            <w:r>
              <w:rPr>
                <w:rStyle w:val="CommentReference"/>
              </w:rPr>
              <w:commentReference w:id="1"/>
            </w:r>
            <w:r>
              <w:rPr>
                <w:highlight w:val="yellow"/>
              </w:rPr>
              <w:t>]</w:t>
            </w:r>
            <w:r>
              <w:t xml:space="preserve"> (the “</w:t>
            </w:r>
            <w:r>
              <w:rPr>
                <w:b/>
                <w:bCs/>
                <w:i/>
                <w:iCs/>
              </w:rPr>
              <w:t>Major Investor</w:t>
            </w:r>
            <w:r>
              <w:t xml:space="preserve">”) elects, or any group of holders of Notes with an aggregate principal amount of at least </w:t>
            </w:r>
            <w:r>
              <w:rPr>
                <w:highlight w:val="yellow"/>
              </w:rPr>
              <w:t>$[500,000]</w:t>
            </w:r>
            <w:r>
              <w:t xml:space="preserve"> (the “</w:t>
            </w:r>
            <w:r>
              <w:rPr>
                <w:b/>
                <w:bCs/>
                <w:i/>
                <w:iCs/>
              </w:rPr>
              <w:t>Major Investors</w:t>
            </w:r>
            <w:r>
              <w:t>”) elect, to convert the Outstanding Amounts under the Notes held by such Major Investor or Major Investors into shares of the Next Financing Securities, the Outstanding Amounts of all Notes issued pursuant to the Note Purchase Agreement shall be automatically converted into a number of shares of the Next Financing Securities of the Company.</w:t>
            </w:r>
          </w:p>
        </w:tc>
      </w:tr>
      <w:tr w:rsidR="00E26BBB" w14:paraId="0ADB521A" w14:textId="77777777">
        <w:tc>
          <w:tcPr>
            <w:tcW w:w="709" w:type="dxa"/>
          </w:tcPr>
          <w:p w14:paraId="7DB55AD1" w14:textId="77777777" w:rsidR="00E26BBB" w:rsidRDefault="00E26BBB">
            <w:pPr>
              <w:pStyle w:val="BlockText"/>
            </w:pPr>
          </w:p>
        </w:tc>
        <w:tc>
          <w:tcPr>
            <w:tcW w:w="2682" w:type="dxa"/>
          </w:tcPr>
          <w:p w14:paraId="316A0D6C" w14:textId="77777777" w:rsidR="00E26BBB" w:rsidRDefault="00541329">
            <w:pPr>
              <w:pStyle w:val="BlockText"/>
              <w:rPr>
                <w:b/>
                <w:bCs/>
              </w:rPr>
            </w:pPr>
            <w:r>
              <w:rPr>
                <w:b/>
                <w:bCs/>
              </w:rPr>
              <w:t>Amount of Conversion Securities:</w:t>
            </w:r>
          </w:p>
        </w:tc>
        <w:tc>
          <w:tcPr>
            <w:tcW w:w="5791" w:type="dxa"/>
          </w:tcPr>
          <w:p w14:paraId="4C91A7B3" w14:textId="77777777" w:rsidR="00E26BBB" w:rsidRDefault="00541329">
            <w:pPr>
              <w:pStyle w:val="BlockText"/>
              <w:jc w:val="both"/>
            </w:pPr>
            <w:r>
              <w:t>The number of shares of the Next Financing Securities into which the Outstanding Amount under this Note shall be converted shall be equal to the quotient obtained by dividing (A) the Outstanding Amount on the date of such conversion, by (B) the Conversion Price. In the event that a combination of equity securities, derivative securities and/or other convertible securities are issued in the Next Financing, then the Note holder shall receive a combination of such various classes and series of securities proportionate to the amounts that would be issued to an investor in the Next Financing in exchange for an investment equal to the Outstanding Amount under this Note.</w:t>
            </w:r>
          </w:p>
        </w:tc>
      </w:tr>
      <w:tr w:rsidR="00E26BBB" w14:paraId="7A209586" w14:textId="77777777">
        <w:trPr>
          <w:cantSplit/>
        </w:trPr>
        <w:tc>
          <w:tcPr>
            <w:tcW w:w="709" w:type="dxa"/>
          </w:tcPr>
          <w:p w14:paraId="1AE95B48" w14:textId="77777777" w:rsidR="00E26BBB" w:rsidRDefault="00E26BBB">
            <w:pPr>
              <w:pStyle w:val="BlockText"/>
              <w:spacing w:after="120"/>
            </w:pPr>
          </w:p>
        </w:tc>
        <w:tc>
          <w:tcPr>
            <w:tcW w:w="2682" w:type="dxa"/>
          </w:tcPr>
          <w:p w14:paraId="055F969A" w14:textId="77777777" w:rsidR="00E26BBB" w:rsidRDefault="00541329">
            <w:pPr>
              <w:pStyle w:val="BlockText"/>
              <w:spacing w:after="120"/>
              <w:rPr>
                <w:b/>
                <w:bCs/>
              </w:rPr>
            </w:pPr>
            <w:r>
              <w:rPr>
                <w:b/>
                <w:bCs/>
              </w:rPr>
              <w:t>Conversion Upon Change of Control:</w:t>
            </w:r>
          </w:p>
        </w:tc>
        <w:tc>
          <w:tcPr>
            <w:tcW w:w="5791" w:type="dxa"/>
          </w:tcPr>
          <w:p w14:paraId="3F214353" w14:textId="77777777" w:rsidR="00E26BBB" w:rsidRDefault="00541329">
            <w:pPr>
              <w:pStyle w:val="BlockText"/>
              <w:spacing w:after="120"/>
              <w:jc w:val="both"/>
            </w:pPr>
            <w:r>
              <w:t>Immediately prior to the closing of a Change of Control that occurs prior to repayment in full or conversion of the Outstanding Amount, the Investor may, at its sole option, either (A) demand payment of any unpaid principal amount on the Note and any accrued but unpaid interest due upon closing of a Change of Control, or (B) if no such demand is made by the Investor within ten (10) days after written notice of such Change of Control from the Company to the Investor, then the Outstanding Amount shall automatically be converted into a number of shares of the Next Financing Securities using the Conversion Price.</w:t>
            </w:r>
          </w:p>
        </w:tc>
      </w:tr>
      <w:tr w:rsidR="00E26BBB" w14:paraId="5CA3A27F" w14:textId="77777777">
        <w:trPr>
          <w:cantSplit/>
        </w:trPr>
        <w:tc>
          <w:tcPr>
            <w:tcW w:w="709" w:type="dxa"/>
          </w:tcPr>
          <w:p w14:paraId="4F1535BB" w14:textId="77777777" w:rsidR="00E26BBB" w:rsidRDefault="00E26BBB">
            <w:pPr>
              <w:pStyle w:val="BlockText"/>
              <w:spacing w:after="120"/>
            </w:pPr>
          </w:p>
        </w:tc>
        <w:tc>
          <w:tcPr>
            <w:tcW w:w="2682" w:type="dxa"/>
          </w:tcPr>
          <w:p w14:paraId="7BBB311B" w14:textId="77777777" w:rsidR="00E26BBB" w:rsidRDefault="00E26BBB">
            <w:pPr>
              <w:pStyle w:val="BlockText"/>
              <w:spacing w:after="120"/>
              <w:rPr>
                <w:b/>
                <w:bCs/>
              </w:rPr>
            </w:pPr>
          </w:p>
        </w:tc>
        <w:tc>
          <w:tcPr>
            <w:tcW w:w="5791" w:type="dxa"/>
          </w:tcPr>
          <w:p w14:paraId="5757C168" w14:textId="77777777" w:rsidR="00E26BBB" w:rsidRDefault="00541329">
            <w:pPr>
              <w:pStyle w:val="BlockText"/>
              <w:spacing w:after="120"/>
              <w:jc w:val="both"/>
            </w:pPr>
            <w:r>
              <w:t>As used in this Term Sheet, “</w:t>
            </w:r>
            <w:r>
              <w:rPr>
                <w:b/>
                <w:bCs/>
                <w:i/>
                <w:iCs/>
              </w:rPr>
              <w:t>Change of Control</w:t>
            </w:r>
            <w:r>
              <w:t>” means (i) a sale of all or substantially all of the Company’s assets, (ii) any merger, consolidation, or other business combination transaction of the Company with or into another corporation, entity, or person, other than a transaction in which the holders of at least a majority of the shares of voting capital stock of the Company outstanding immediately prior to such transaction continue to hold (either by such shares remaining outstanding or by their being converted into shares of voting capital stock of the surviving entity) a majority of the total voting power represented by the units of voting capital stock of the Company (or the respective surviving entity) outstanding immediately after such transaction, or (iii) the direct or indirect acquisition (including by way of a tender or exchange offer) by any person, or persons acting as a group, of beneficial ownership or a right to acquire beneficial ownership of shares representing a majority of the voting power of the then outstanding shares of capital stock of the Company.</w:t>
            </w:r>
          </w:p>
        </w:tc>
      </w:tr>
      <w:tr w:rsidR="00E26BBB" w14:paraId="502104FF" w14:textId="77777777">
        <w:tc>
          <w:tcPr>
            <w:tcW w:w="709" w:type="dxa"/>
          </w:tcPr>
          <w:p w14:paraId="0C9DDBAD" w14:textId="77777777" w:rsidR="00E26BBB" w:rsidRDefault="00E26BBB">
            <w:pPr>
              <w:pStyle w:val="ListNumber"/>
              <w:spacing w:after="120"/>
            </w:pPr>
          </w:p>
        </w:tc>
        <w:tc>
          <w:tcPr>
            <w:tcW w:w="2682" w:type="dxa"/>
          </w:tcPr>
          <w:p w14:paraId="1F0120CA" w14:textId="77777777" w:rsidR="00E26BBB" w:rsidRDefault="00541329">
            <w:pPr>
              <w:pStyle w:val="BodyText"/>
              <w:spacing w:after="120"/>
              <w:ind w:firstLine="0"/>
              <w:rPr>
                <w:b/>
                <w:bCs/>
              </w:rPr>
            </w:pPr>
            <w:r>
              <w:rPr>
                <w:b/>
                <w:bCs/>
              </w:rPr>
              <w:t>Conversion Cap:</w:t>
            </w:r>
          </w:p>
        </w:tc>
        <w:tc>
          <w:tcPr>
            <w:tcW w:w="5791" w:type="dxa"/>
          </w:tcPr>
          <w:p w14:paraId="0953ADEB" w14:textId="47B5F6FA" w:rsidR="00E26BBB" w:rsidRDefault="00541329">
            <w:pPr>
              <w:pStyle w:val="TAXL5"/>
              <w:numPr>
                <w:ilvl w:val="0"/>
                <w:numId w:val="0"/>
              </w:numPr>
              <w:spacing w:after="120"/>
              <w:jc w:val="both"/>
              <w:rPr>
                <w:szCs w:val="24"/>
              </w:rPr>
            </w:pPr>
            <w:r>
              <w:t xml:space="preserve">Notwithstanding any other provision herein to the contrary, upon any conversion either (a) in connection with a Next Financing referenced above with a pre-money valuation in excess of $7,000,000, or (b) a Change of Control that values the Company in excess of $7,000,000 </w:t>
            </w:r>
            <w:r>
              <w:rPr>
                <w:szCs w:val="24"/>
              </w:rPr>
              <w:t xml:space="preserve">million, the Conversion Price shall be adjusted so that the number of shares issued upon conversion shall be equal to the greater of: </w:t>
            </w:r>
          </w:p>
          <w:p w14:paraId="6A43BD40" w14:textId="77777777" w:rsidR="00E26BBB" w:rsidRDefault="00541329">
            <w:pPr>
              <w:tabs>
                <w:tab w:val="left" w:pos="1445"/>
                <w:tab w:val="left" w:pos="7920"/>
              </w:tabs>
              <w:spacing w:after="120"/>
              <w:ind w:left="95" w:right="80" w:firstLine="720"/>
              <w:jc w:val="both"/>
              <w:rPr>
                <w:szCs w:val="24"/>
              </w:rPr>
            </w:pPr>
            <w:r>
              <w:rPr>
                <w:szCs w:val="24"/>
              </w:rPr>
              <w:t>(a)</w:t>
            </w:r>
            <w:r>
              <w:rPr>
                <w:szCs w:val="24"/>
              </w:rPr>
              <w:tab/>
              <w:t xml:space="preserve">the amount obtained by dividing (A) the aggregate Outstanding Amount on the date of such conversion, by (B) the product of (1) the purchase price per share for each Next Financing Security or Change of Control and (2) the Discount Rate, and </w:t>
            </w:r>
          </w:p>
          <w:p w14:paraId="43C038E2" w14:textId="77777777" w:rsidR="00E26BBB" w:rsidRDefault="00541329">
            <w:pPr>
              <w:spacing w:after="120"/>
              <w:ind w:left="95" w:firstLine="720"/>
              <w:jc w:val="both"/>
              <w:rPr>
                <w:szCs w:val="24"/>
              </w:rPr>
            </w:pPr>
            <w:r>
              <w:rPr>
                <w:szCs w:val="24"/>
              </w:rPr>
              <w:lastRenderedPageBreak/>
              <w:t>(b)</w:t>
            </w:r>
            <w:r>
              <w:rPr>
                <w:szCs w:val="24"/>
              </w:rPr>
              <w:tab/>
              <w:t>the amount obtained by dividing (A) the aggregate Outstanding Amount on the date of such conversion, by (B) the quotient of (1) $7,000,000 divided by (2) the number of Fully-Diluted Shares.</w:t>
            </w:r>
          </w:p>
          <w:p w14:paraId="405320E0" w14:textId="77777777" w:rsidR="00E26BBB" w:rsidRDefault="00541329">
            <w:pPr>
              <w:pStyle w:val="OUTLINEAL1"/>
              <w:widowControl/>
              <w:numPr>
                <w:ilvl w:val="0"/>
                <w:numId w:val="0"/>
              </w:numPr>
              <w:spacing w:after="120"/>
              <w:ind w:left="72"/>
            </w:pPr>
            <w:r>
              <w:rPr>
                <w:szCs w:val="24"/>
              </w:rPr>
              <w:t>Notwithstanding any other provision herein to the contrary, upon any conversion (other than in connection with a Qualified Financing or Change of Control referenced above), and in the event that the Investors determine to convert the Notes at maturity or in any other event</w:t>
            </w:r>
            <w:r>
              <w:t xml:space="preserve"> where the Investors desire to convert without a Next Financing, the parties agree that the valuation used for purposes of converting the Notes shall be no greater than a valuation where </w:t>
            </w:r>
            <w:commentRangeStart w:id="2"/>
            <w:r>
              <w:t>$[1,000,000]</w:t>
            </w:r>
            <w:commentRangeEnd w:id="2"/>
            <w:r>
              <w:rPr>
                <w:rStyle w:val="CommentReference"/>
                <w:rFonts w:eastAsia="SimSun"/>
                <w:lang w:eastAsia="zh-CN"/>
              </w:rPr>
              <w:commentReference w:id="2"/>
            </w:r>
            <w:r>
              <w:t xml:space="preserve"> of Notes would convert into </w:t>
            </w:r>
            <w:commentRangeStart w:id="3"/>
            <w:r>
              <w:t xml:space="preserve">[14.28]% </w:t>
            </w:r>
            <w:commentRangeEnd w:id="3"/>
            <w:r>
              <w:rPr>
                <w:rStyle w:val="CommentReference"/>
                <w:rFonts w:eastAsia="SimSun"/>
                <w:lang w:eastAsia="zh-CN"/>
              </w:rPr>
              <w:commentReference w:id="3"/>
            </w:r>
            <w:r>
              <w:t>of the Company, on a fully-diluted, as converted basis.</w:t>
            </w:r>
          </w:p>
        </w:tc>
      </w:tr>
      <w:tr w:rsidR="00E26BBB" w14:paraId="5B0BC3F9" w14:textId="77777777">
        <w:tc>
          <w:tcPr>
            <w:tcW w:w="709" w:type="dxa"/>
          </w:tcPr>
          <w:p w14:paraId="1DC97964" w14:textId="77777777" w:rsidR="00E26BBB" w:rsidRDefault="00E26BBB">
            <w:pPr>
              <w:pStyle w:val="ListNumber"/>
              <w:numPr>
                <w:ilvl w:val="0"/>
                <w:numId w:val="0"/>
              </w:numPr>
              <w:spacing w:after="120"/>
            </w:pPr>
          </w:p>
        </w:tc>
        <w:tc>
          <w:tcPr>
            <w:tcW w:w="2682" w:type="dxa"/>
          </w:tcPr>
          <w:p w14:paraId="5542A122" w14:textId="77777777" w:rsidR="00E26BBB" w:rsidRDefault="00E26BBB">
            <w:pPr>
              <w:pStyle w:val="BodyText"/>
              <w:spacing w:after="120"/>
              <w:ind w:firstLine="0"/>
              <w:rPr>
                <w:b/>
                <w:bCs/>
              </w:rPr>
            </w:pPr>
          </w:p>
        </w:tc>
        <w:tc>
          <w:tcPr>
            <w:tcW w:w="5791" w:type="dxa"/>
          </w:tcPr>
          <w:p w14:paraId="782C6AD7" w14:textId="77777777" w:rsidR="00E26BBB" w:rsidRDefault="00541329">
            <w:pPr>
              <w:pStyle w:val="TAXL5"/>
              <w:numPr>
                <w:ilvl w:val="0"/>
                <w:numId w:val="0"/>
              </w:numPr>
              <w:spacing w:after="120"/>
              <w:ind w:left="95"/>
              <w:jc w:val="both"/>
            </w:pPr>
            <w:r>
              <w:t>For purposes of this provision, the term “</w:t>
            </w:r>
            <w:r>
              <w:rPr>
                <w:b/>
                <w:bCs/>
                <w:i/>
                <w:iCs/>
              </w:rPr>
              <w:t>Fully-Diluted Shares</w:t>
            </w:r>
            <w:r>
              <w:t>” means the sum of (i) all shares of Common Stock issued and outstanding immediately prior to the closing of the Next Financing or Change of Control, and (ii) the shares of Common Stock issuable upon exercise of all stock options granted but not exercised or reserved for future grant immediately prior to such closing. For purposes of clarity, “</w:t>
            </w:r>
            <w:r>
              <w:rPr>
                <w:b/>
                <w:bCs/>
                <w:i/>
                <w:iCs/>
              </w:rPr>
              <w:t>Fully-Diluted Shares</w:t>
            </w:r>
            <w:r>
              <w:t>” shall not include (A) shares of Preferred Stock sold and issued in the Next Financing or on the date of conversion to the holders of the Notes, (B) shares of Common Stock issuable upon conversion of such Preferred Stock, and (C) the Notes.</w:t>
            </w:r>
          </w:p>
        </w:tc>
      </w:tr>
      <w:tr w:rsidR="00E26BBB" w14:paraId="43B0E9D7" w14:textId="77777777">
        <w:tc>
          <w:tcPr>
            <w:tcW w:w="709" w:type="dxa"/>
          </w:tcPr>
          <w:p w14:paraId="6D6A09B0" w14:textId="77777777" w:rsidR="00E26BBB" w:rsidRDefault="00E26BBB">
            <w:pPr>
              <w:pStyle w:val="ListNumber"/>
              <w:spacing w:after="120"/>
            </w:pPr>
          </w:p>
        </w:tc>
        <w:tc>
          <w:tcPr>
            <w:tcW w:w="2682" w:type="dxa"/>
          </w:tcPr>
          <w:p w14:paraId="180283CD" w14:textId="77777777" w:rsidR="00E26BBB" w:rsidRDefault="00541329">
            <w:pPr>
              <w:pStyle w:val="BodyText"/>
              <w:spacing w:after="120"/>
              <w:ind w:firstLine="0"/>
              <w:rPr>
                <w:b/>
                <w:bCs/>
              </w:rPr>
            </w:pPr>
            <w:r>
              <w:rPr>
                <w:b/>
                <w:bCs/>
              </w:rPr>
              <w:t>Events of Default:</w:t>
            </w:r>
          </w:p>
        </w:tc>
        <w:tc>
          <w:tcPr>
            <w:tcW w:w="5791" w:type="dxa"/>
          </w:tcPr>
          <w:p w14:paraId="33870173" w14:textId="77777777" w:rsidR="00E26BBB" w:rsidRDefault="00541329">
            <w:pPr>
              <w:pStyle w:val="OUTLINEAL1"/>
              <w:widowControl/>
              <w:numPr>
                <w:ilvl w:val="0"/>
                <w:numId w:val="0"/>
              </w:numPr>
              <w:spacing w:after="120"/>
              <w:ind w:left="72"/>
            </w:pPr>
            <w:r>
              <w:t>The occurrence of any one or more of the following events (whether such occurrence shall be voluntary or involuntary or occur or be effected by operation of law or otherwise) shall constitute an “</w:t>
            </w:r>
            <w:r>
              <w:rPr>
                <w:b/>
                <w:bCs/>
                <w:i/>
                <w:iCs/>
              </w:rPr>
              <w:t>Event of Default</w:t>
            </w:r>
            <w:r>
              <w:t>” hereunder:</w:t>
            </w:r>
          </w:p>
          <w:p w14:paraId="5D4F7889" w14:textId="77777777" w:rsidR="00E26BBB" w:rsidRDefault="00541329">
            <w:pPr>
              <w:pStyle w:val="OUTLINEAL2"/>
              <w:spacing w:after="60"/>
              <w:ind w:left="72" w:firstLine="1440"/>
              <w:rPr>
                <w:u w:val="none"/>
              </w:rPr>
            </w:pPr>
            <w:r>
              <w:rPr>
                <w:u w:val="none"/>
              </w:rPr>
              <w:t>if the Company is in breach of the Note Purchase Agreement or any covenant under the Note;</w:t>
            </w:r>
          </w:p>
          <w:p w14:paraId="4CCFFEDA" w14:textId="77777777" w:rsidR="00E26BBB" w:rsidRDefault="00541329">
            <w:pPr>
              <w:pStyle w:val="OUTLINEAL2"/>
              <w:spacing w:after="60"/>
              <w:ind w:left="72" w:firstLine="1440"/>
              <w:rPr>
                <w:u w:val="none"/>
              </w:rPr>
            </w:pPr>
            <w:r>
              <w:rPr>
                <w:u w:val="none"/>
              </w:rPr>
              <w:t>if the Company fails to pay the entire amount of the principal and interest on the Note when due;</w:t>
            </w:r>
          </w:p>
          <w:p w14:paraId="6270DE4A" w14:textId="77777777" w:rsidR="00E26BBB" w:rsidRDefault="00541329">
            <w:pPr>
              <w:pStyle w:val="OUTLINEAL2"/>
              <w:spacing w:after="60"/>
              <w:ind w:left="72" w:firstLine="1440"/>
              <w:rPr>
                <w:u w:val="none"/>
              </w:rPr>
            </w:pPr>
            <w:r>
              <w:rPr>
                <w:u w:val="none"/>
              </w:rPr>
              <w:t xml:space="preserve">if any order, judgment, or decree is entered adjudicating the Company bankrupt or insolvent; or </w:t>
            </w:r>
          </w:p>
          <w:p w14:paraId="1F0CA8B5" w14:textId="77777777" w:rsidR="00E26BBB" w:rsidRDefault="00541329">
            <w:pPr>
              <w:pStyle w:val="OUTLINEAL2"/>
              <w:spacing w:after="120"/>
              <w:ind w:left="72" w:firstLine="1440"/>
              <w:rPr>
                <w:u w:val="none"/>
              </w:rPr>
            </w:pPr>
            <w:r>
              <w:rPr>
                <w:u w:val="none"/>
              </w:rPr>
              <w:t xml:space="preserve">if the Company makes an assignment for the benefit of creditors or petitions or </w:t>
            </w:r>
            <w:r>
              <w:rPr>
                <w:u w:val="none"/>
              </w:rPr>
              <w:lastRenderedPageBreak/>
              <w:t>applies to any tribunal for the appointment of a trustee or receiver or commences any proceeding under any bankruptcy, reorganization, insolvency, dissolution or liquidation law of any jurisdiction.</w:t>
            </w:r>
          </w:p>
        </w:tc>
      </w:tr>
      <w:tr w:rsidR="00E26BBB" w14:paraId="255013D2" w14:textId="77777777">
        <w:tc>
          <w:tcPr>
            <w:tcW w:w="709" w:type="dxa"/>
          </w:tcPr>
          <w:p w14:paraId="7507BEE2" w14:textId="77777777" w:rsidR="00E26BBB" w:rsidRDefault="00E26BBB">
            <w:pPr>
              <w:pStyle w:val="ListNumber"/>
              <w:spacing w:after="120"/>
            </w:pPr>
          </w:p>
        </w:tc>
        <w:tc>
          <w:tcPr>
            <w:tcW w:w="2682" w:type="dxa"/>
          </w:tcPr>
          <w:p w14:paraId="4532E5E1" w14:textId="77777777" w:rsidR="00E26BBB" w:rsidRDefault="00541329">
            <w:pPr>
              <w:pStyle w:val="BodyText"/>
              <w:spacing w:after="120"/>
              <w:ind w:firstLine="0"/>
              <w:rPr>
                <w:b/>
                <w:bCs/>
              </w:rPr>
            </w:pPr>
            <w:r>
              <w:rPr>
                <w:b/>
                <w:bCs/>
              </w:rPr>
              <w:t>Representations:</w:t>
            </w:r>
          </w:p>
        </w:tc>
        <w:tc>
          <w:tcPr>
            <w:tcW w:w="5791" w:type="dxa"/>
          </w:tcPr>
          <w:p w14:paraId="4CA9B34B" w14:textId="77777777" w:rsidR="00E26BBB" w:rsidRDefault="00541329">
            <w:pPr>
              <w:pStyle w:val="OUTLINEAL1"/>
              <w:keepNext/>
              <w:keepLines/>
              <w:widowControl/>
              <w:numPr>
                <w:ilvl w:val="0"/>
                <w:numId w:val="0"/>
              </w:numPr>
              <w:spacing w:after="120"/>
            </w:pPr>
            <w:r>
              <w:t>Both the Company and the Investors shall make customary representations and warranties in the Note Purchase Agreement.</w:t>
            </w:r>
          </w:p>
        </w:tc>
      </w:tr>
      <w:tr w:rsidR="00E26BBB" w14:paraId="57D9B1C6" w14:textId="77777777">
        <w:tc>
          <w:tcPr>
            <w:tcW w:w="709" w:type="dxa"/>
          </w:tcPr>
          <w:p w14:paraId="0C153563" w14:textId="77777777" w:rsidR="00E26BBB" w:rsidRDefault="00E26BBB">
            <w:pPr>
              <w:pStyle w:val="ListNumber"/>
              <w:spacing w:after="120"/>
            </w:pPr>
          </w:p>
        </w:tc>
        <w:tc>
          <w:tcPr>
            <w:tcW w:w="2682" w:type="dxa"/>
          </w:tcPr>
          <w:p w14:paraId="24ADBF21" w14:textId="77777777" w:rsidR="00E26BBB" w:rsidRDefault="00541329">
            <w:pPr>
              <w:pStyle w:val="BodyText"/>
              <w:spacing w:after="120"/>
              <w:ind w:firstLine="0"/>
              <w:rPr>
                <w:b/>
                <w:bCs/>
              </w:rPr>
            </w:pPr>
            <w:r>
              <w:rPr>
                <w:b/>
                <w:bCs/>
              </w:rPr>
              <w:t>Company Covenants:</w:t>
            </w:r>
          </w:p>
        </w:tc>
        <w:tc>
          <w:tcPr>
            <w:tcW w:w="5791" w:type="dxa"/>
          </w:tcPr>
          <w:p w14:paraId="388A1640" w14:textId="77777777" w:rsidR="00E26BBB" w:rsidRDefault="00541329">
            <w:pPr>
              <w:pStyle w:val="OUTLINEAL1"/>
              <w:widowControl/>
              <w:numPr>
                <w:ilvl w:val="0"/>
                <w:numId w:val="0"/>
              </w:numPr>
              <w:spacing w:after="40"/>
            </w:pPr>
            <w:r>
              <w:t>From the date of the Note Purchase Agreement until the full and complete repayment or conversion of the Outstanding Amount under the Notes, the Company shall not, without the prior written consent of at least a majority in interest of the Notes:</w:t>
            </w:r>
          </w:p>
          <w:p w14:paraId="2484771C" w14:textId="77777777" w:rsidR="00E26BBB" w:rsidRDefault="00541329">
            <w:pPr>
              <w:pStyle w:val="OUTLINEAL2"/>
              <w:numPr>
                <w:ilvl w:val="1"/>
                <w:numId w:val="35"/>
              </w:numPr>
              <w:spacing w:after="40"/>
              <w:ind w:left="0"/>
              <w:rPr>
                <w:u w:val="none"/>
              </w:rPr>
            </w:pPr>
            <w:r>
              <w:rPr>
                <w:u w:val="none"/>
              </w:rPr>
              <w:t>declare or issue dividends or distributions on any of the Company’s capital stock;</w:t>
            </w:r>
          </w:p>
          <w:p w14:paraId="08DA2931" w14:textId="77777777" w:rsidR="00E26BBB" w:rsidRDefault="00541329">
            <w:pPr>
              <w:pStyle w:val="OUTLINEAL2"/>
              <w:spacing w:after="40"/>
              <w:ind w:left="0"/>
              <w:rPr>
                <w:u w:val="none"/>
              </w:rPr>
            </w:pPr>
            <w:r>
              <w:rPr>
                <w:u w:val="none"/>
              </w:rPr>
              <w:t>redeem, purchase or otherwise acquire (or pay into or set funds aside for a sinking fund for such purpose) any securities; provided, however, that this restriction shall not apply to (i) the repurchase of units of common stock from employees, officers, directors, consultants or other persons performing services for the Company or any subsidiary pursuant to agreements under which the Company has the option to repurchase such shares at no greater than cost upon the occurrence of certain events, such as the termination of employment, or (ii) the exercise of any right of first refusal;</w:t>
            </w:r>
          </w:p>
          <w:p w14:paraId="346B033C" w14:textId="77777777" w:rsidR="00E26BBB" w:rsidRDefault="00541329">
            <w:pPr>
              <w:pStyle w:val="OUTLINEAL2"/>
              <w:spacing w:after="40"/>
              <w:ind w:left="0"/>
              <w:rPr>
                <w:u w:val="none"/>
              </w:rPr>
            </w:pPr>
            <w:r>
              <w:rPr>
                <w:u w:val="none"/>
              </w:rPr>
              <w:t>approve or cause the dissolution, voluntary bankruptcy or liquidation of the Company;</w:t>
            </w:r>
          </w:p>
          <w:p w14:paraId="0867E4C0" w14:textId="77777777" w:rsidR="00E26BBB" w:rsidRDefault="00541329">
            <w:pPr>
              <w:pStyle w:val="OUTLINEAL2"/>
              <w:spacing w:after="40"/>
              <w:ind w:left="0"/>
              <w:rPr>
                <w:u w:val="none"/>
              </w:rPr>
            </w:pPr>
            <w:r>
              <w:rPr>
                <w:u w:val="none"/>
              </w:rPr>
              <w:t>guarantee the indebtedness or other obligations of any person or entity;</w:t>
            </w:r>
          </w:p>
          <w:p w14:paraId="14BF45F6" w14:textId="77777777" w:rsidR="00E26BBB" w:rsidRDefault="00541329">
            <w:pPr>
              <w:pStyle w:val="OUTLINEAL2"/>
              <w:spacing w:after="40"/>
              <w:ind w:left="0"/>
              <w:rPr>
                <w:u w:val="none"/>
              </w:rPr>
            </w:pPr>
            <w:r>
              <w:rPr>
                <w:u w:val="none"/>
              </w:rPr>
              <w:t>settle any material claim, suit, action, case or proceeding filed against the Company;</w:t>
            </w:r>
          </w:p>
          <w:p w14:paraId="08EBA84A" w14:textId="77777777" w:rsidR="00E26BBB" w:rsidRDefault="00541329">
            <w:pPr>
              <w:pStyle w:val="OUTLINEAL2"/>
              <w:spacing w:after="40"/>
              <w:ind w:left="0"/>
              <w:rPr>
                <w:u w:val="none"/>
              </w:rPr>
            </w:pPr>
            <w:r>
              <w:rPr>
                <w:u w:val="none"/>
              </w:rPr>
              <w:t>directly or indirectly acquire or own any entity, or make any investment in any entity;</w:t>
            </w:r>
          </w:p>
          <w:p w14:paraId="53A3E205" w14:textId="77777777" w:rsidR="00E26BBB" w:rsidRDefault="00541329">
            <w:pPr>
              <w:pStyle w:val="OUTLINEAL2"/>
              <w:spacing w:after="40"/>
              <w:ind w:left="0"/>
              <w:rPr>
                <w:u w:val="none"/>
              </w:rPr>
            </w:pPr>
            <w:r>
              <w:rPr>
                <w:u w:val="none"/>
              </w:rPr>
              <w:t xml:space="preserve">make or permit any payment on any debt of the Company, other than in the ordinary course of business or other than trade payables nor amend any provision in any document relating to such debt in a manner adverse to the Investors; </w:t>
            </w:r>
          </w:p>
          <w:p w14:paraId="5122AA10" w14:textId="77777777" w:rsidR="00E26BBB" w:rsidRDefault="00541329">
            <w:pPr>
              <w:pStyle w:val="OUTLINEAL2"/>
              <w:spacing w:after="40"/>
              <w:ind w:left="0"/>
              <w:rPr>
                <w:u w:val="none"/>
              </w:rPr>
            </w:pPr>
            <w:r>
              <w:rPr>
                <w:u w:val="none"/>
              </w:rPr>
              <w:t>enter into or agree to enter into any contract, arrangement or understanding with respect to which the Company borrows funds secured by assets of the Company; or</w:t>
            </w:r>
          </w:p>
          <w:p w14:paraId="39E31642" w14:textId="77777777" w:rsidR="00E26BBB" w:rsidRDefault="00541329">
            <w:pPr>
              <w:pStyle w:val="OUTLINEAL2"/>
              <w:spacing w:after="120"/>
              <w:ind w:left="0"/>
              <w:rPr>
                <w:color w:val="000000"/>
                <w:u w:val="none"/>
              </w:rPr>
            </w:pPr>
            <w:r>
              <w:rPr>
                <w:u w:val="none"/>
              </w:rPr>
              <w:t xml:space="preserve">effect a Change in Control </w:t>
            </w:r>
            <w:r>
              <w:rPr>
                <w:color w:val="000000"/>
                <w:u w:val="none"/>
              </w:rPr>
              <w:t xml:space="preserve">if (i) the Investor elects to be paid and (ii) the Investor is not entitled to </w:t>
            </w:r>
            <w:r>
              <w:rPr>
                <w:color w:val="000000"/>
                <w:u w:val="none"/>
              </w:rPr>
              <w:lastRenderedPageBreak/>
              <w:t>receive at the closing of a Change of Control full repayment of the Outstanding Amount under his or her Note.</w:t>
            </w:r>
          </w:p>
        </w:tc>
      </w:tr>
      <w:tr w:rsidR="00E26BBB" w14:paraId="7616FFE1" w14:textId="77777777">
        <w:tc>
          <w:tcPr>
            <w:tcW w:w="709" w:type="dxa"/>
          </w:tcPr>
          <w:p w14:paraId="5585E3ED" w14:textId="77777777" w:rsidR="00E26BBB" w:rsidRDefault="00E26BBB">
            <w:pPr>
              <w:pStyle w:val="ListNumber"/>
              <w:spacing w:after="120"/>
            </w:pPr>
          </w:p>
        </w:tc>
        <w:tc>
          <w:tcPr>
            <w:tcW w:w="2682" w:type="dxa"/>
          </w:tcPr>
          <w:p w14:paraId="0C85E3A0" w14:textId="77777777" w:rsidR="00E26BBB" w:rsidRDefault="00541329">
            <w:pPr>
              <w:pStyle w:val="BodyText"/>
              <w:spacing w:after="120"/>
              <w:ind w:firstLine="0"/>
              <w:rPr>
                <w:b/>
                <w:bCs/>
              </w:rPr>
            </w:pPr>
            <w:r>
              <w:rPr>
                <w:b/>
                <w:bCs/>
              </w:rPr>
              <w:t>Pari Passu:</w:t>
            </w:r>
          </w:p>
        </w:tc>
        <w:tc>
          <w:tcPr>
            <w:tcW w:w="5791" w:type="dxa"/>
          </w:tcPr>
          <w:p w14:paraId="077A3384" w14:textId="77777777" w:rsidR="00E26BBB" w:rsidRDefault="00541329">
            <w:pPr>
              <w:pStyle w:val="BodyText"/>
              <w:spacing w:after="120"/>
              <w:ind w:firstLine="0"/>
              <w:jc w:val="both"/>
            </w:pPr>
            <w:r>
              <w:t xml:space="preserve">The payment of all or any portion of the outstanding principal amount of and all interest on any Note shall be pari passu in right of payment and in all other respects to the other Notes being issued by the Company as described in the Note Purchase Agreement.  </w:t>
            </w:r>
          </w:p>
        </w:tc>
      </w:tr>
      <w:tr w:rsidR="00E26BBB" w14:paraId="3E7DD1D4" w14:textId="77777777">
        <w:tc>
          <w:tcPr>
            <w:tcW w:w="709" w:type="dxa"/>
          </w:tcPr>
          <w:p w14:paraId="6B634C07" w14:textId="77777777" w:rsidR="00E26BBB" w:rsidRDefault="00E26BBB">
            <w:pPr>
              <w:pStyle w:val="ListNumber"/>
              <w:keepNext/>
              <w:keepLines/>
              <w:spacing w:after="120"/>
            </w:pPr>
          </w:p>
        </w:tc>
        <w:tc>
          <w:tcPr>
            <w:tcW w:w="2682" w:type="dxa"/>
          </w:tcPr>
          <w:p w14:paraId="5B689AF5" w14:textId="77777777" w:rsidR="00E26BBB" w:rsidRDefault="00541329">
            <w:pPr>
              <w:pStyle w:val="BodyText"/>
              <w:keepNext/>
              <w:keepLines/>
              <w:spacing w:after="120"/>
              <w:ind w:firstLine="0"/>
              <w:rPr>
                <w:b/>
                <w:bCs/>
              </w:rPr>
            </w:pPr>
            <w:r>
              <w:rPr>
                <w:b/>
                <w:bCs/>
              </w:rPr>
              <w:t>Governing Law:</w:t>
            </w:r>
          </w:p>
        </w:tc>
        <w:tc>
          <w:tcPr>
            <w:tcW w:w="5791" w:type="dxa"/>
          </w:tcPr>
          <w:p w14:paraId="570D90EE" w14:textId="77777777" w:rsidR="00E26BBB" w:rsidRDefault="00541329">
            <w:pPr>
              <w:pStyle w:val="BodyText"/>
              <w:keepNext/>
              <w:keepLines/>
              <w:spacing w:after="120"/>
              <w:ind w:firstLine="0"/>
              <w:jc w:val="both"/>
            </w:pPr>
            <w:r>
              <w:t>The Notes and the Note Purchase Agreement shall be governed by and construed under the laws of the State of California as applied to agreements among California residents entered into and to be performed entirely within California, without reference to any principles or laws thereof that would result in the application of the law of any other jurisdiction.</w:t>
            </w:r>
          </w:p>
        </w:tc>
      </w:tr>
      <w:tr w:rsidR="00E26BBB" w14:paraId="52DDD975" w14:textId="77777777">
        <w:tc>
          <w:tcPr>
            <w:tcW w:w="709" w:type="dxa"/>
          </w:tcPr>
          <w:p w14:paraId="7BE783E9" w14:textId="77777777" w:rsidR="00E26BBB" w:rsidRDefault="00E26BBB">
            <w:pPr>
              <w:pStyle w:val="ListNumber"/>
              <w:spacing w:after="120"/>
            </w:pPr>
          </w:p>
        </w:tc>
        <w:tc>
          <w:tcPr>
            <w:tcW w:w="2682" w:type="dxa"/>
          </w:tcPr>
          <w:p w14:paraId="7BBC6FF0" w14:textId="77777777" w:rsidR="00E26BBB" w:rsidRDefault="00541329">
            <w:pPr>
              <w:pStyle w:val="BodyText"/>
              <w:spacing w:after="120"/>
              <w:ind w:firstLine="0"/>
              <w:rPr>
                <w:b/>
                <w:bCs/>
              </w:rPr>
            </w:pPr>
            <w:r>
              <w:rPr>
                <w:b/>
                <w:bCs/>
              </w:rPr>
              <w:t>Amendment and Waiver</w:t>
            </w:r>
          </w:p>
        </w:tc>
        <w:tc>
          <w:tcPr>
            <w:tcW w:w="5791" w:type="dxa"/>
          </w:tcPr>
          <w:p w14:paraId="071F326B" w14:textId="77777777" w:rsidR="00E26BBB" w:rsidRDefault="00541329">
            <w:pPr>
              <w:pStyle w:val="BodyText"/>
              <w:spacing w:after="120"/>
              <w:ind w:firstLine="0"/>
              <w:jc w:val="both"/>
            </w:pPr>
            <w:r>
              <w:t>Any term of the Note Purchase Agreement and the Notes (except as otherwise expressly provided in the Notes) may be amended and the observance of any term of the Note Purchase Agreement and the Notes (except as otherwise expressly provided in the Notes) may be waived (either generally or in a particular instance and either retroactively or prospectively), only with the written consent of the Company and the holders of at least a majority in interest of the Notes. Any amendment or waiver effected in accordance with this provision shall be binding upon each holder of Notes at the time outstanding, each future holder of such securities, and the Company.</w:t>
            </w:r>
          </w:p>
        </w:tc>
      </w:tr>
    </w:tbl>
    <w:p w14:paraId="23EC4C40" w14:textId="77777777" w:rsidR="00E26BBB" w:rsidRDefault="00541329">
      <w:pPr>
        <w:pStyle w:val="TableStyle"/>
        <w:spacing w:before="480" w:after="120"/>
        <w:ind w:firstLine="720"/>
        <w:jc w:val="center"/>
        <w:rPr>
          <w:szCs w:val="24"/>
        </w:rPr>
      </w:pPr>
      <w:r>
        <w:rPr>
          <w:szCs w:val="24"/>
        </w:rPr>
        <w:t>[</w:t>
      </w:r>
      <w:r>
        <w:rPr>
          <w:i/>
          <w:szCs w:val="24"/>
        </w:rPr>
        <w:t>Signature Page Follows</w:t>
      </w:r>
      <w:r>
        <w:rPr>
          <w:szCs w:val="24"/>
        </w:rPr>
        <w:t>]</w:t>
      </w:r>
    </w:p>
    <w:p w14:paraId="3B35F88F" w14:textId="77777777" w:rsidR="00E26BBB" w:rsidRDefault="00E26BBB">
      <w:pPr>
        <w:pStyle w:val="TableStyle"/>
        <w:spacing w:after="120"/>
        <w:ind w:firstLine="720"/>
        <w:rPr>
          <w:szCs w:val="24"/>
        </w:rPr>
      </w:pPr>
    </w:p>
    <w:p w14:paraId="208D6077" w14:textId="77777777" w:rsidR="00E26BBB" w:rsidRDefault="00E26BBB">
      <w:pPr>
        <w:pStyle w:val="TableStyle"/>
        <w:spacing w:after="120"/>
        <w:ind w:firstLine="720"/>
        <w:rPr>
          <w:szCs w:val="24"/>
        </w:rPr>
        <w:sectPr w:rsidR="00E26BBB">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576" w:gutter="0"/>
          <w:cols w:space="720"/>
          <w:titlePg/>
          <w:docGrid w:linePitch="360"/>
        </w:sectPr>
      </w:pPr>
    </w:p>
    <w:tbl>
      <w:tblPr>
        <w:tblW w:w="9540" w:type="dxa"/>
        <w:tblInd w:w="108" w:type="dxa"/>
        <w:tblLook w:val="0000" w:firstRow="0" w:lastRow="0" w:firstColumn="0" w:lastColumn="0" w:noHBand="0" w:noVBand="0"/>
      </w:tblPr>
      <w:tblGrid>
        <w:gridCol w:w="4925"/>
        <w:gridCol w:w="4615"/>
      </w:tblGrid>
      <w:tr w:rsidR="00E26BBB" w14:paraId="1F315AEF" w14:textId="77777777">
        <w:tc>
          <w:tcPr>
            <w:tcW w:w="9540" w:type="dxa"/>
            <w:gridSpan w:val="2"/>
          </w:tcPr>
          <w:p w14:paraId="6ABA78E3" w14:textId="77777777" w:rsidR="00E26BBB" w:rsidRDefault="00541329">
            <w:pPr>
              <w:pStyle w:val="TableStyle"/>
              <w:spacing w:after="120"/>
              <w:ind w:firstLine="720"/>
              <w:rPr>
                <w:color w:val="000000"/>
                <w:szCs w:val="24"/>
              </w:rPr>
            </w:pPr>
            <w:r>
              <w:rPr>
                <w:szCs w:val="24"/>
              </w:rPr>
              <w:lastRenderedPageBreak/>
              <w:t>If the terms of this memorandum are acceptable, please so indicate by signing below and returning</w:t>
            </w:r>
            <w:r>
              <w:rPr>
                <w:color w:val="000000"/>
                <w:szCs w:val="24"/>
              </w:rPr>
              <w:t>.</w:t>
            </w:r>
          </w:p>
          <w:p w14:paraId="0EBC9D7F" w14:textId="77777777" w:rsidR="00E26BBB" w:rsidRDefault="00541329">
            <w:pPr>
              <w:pStyle w:val="TableStyle"/>
              <w:spacing w:after="120"/>
              <w:rPr>
                <w:color w:val="000000"/>
                <w:szCs w:val="24"/>
              </w:rPr>
            </w:pPr>
            <w:bookmarkStart w:id="4" w:name="_DV_M12"/>
            <w:bookmarkEnd w:id="4"/>
            <w:r>
              <w:rPr>
                <w:color w:val="000000"/>
                <w:szCs w:val="24"/>
              </w:rPr>
              <w:t xml:space="preserve">Executed as of this </w:t>
            </w:r>
            <w:r>
              <w:t>_____</w:t>
            </w:r>
            <w:r>
              <w:rPr>
                <w:color w:val="000000"/>
                <w:szCs w:val="24"/>
              </w:rPr>
              <w:t xml:space="preserve"> day of </w:t>
            </w:r>
            <w:r>
              <w:t>__________</w:t>
            </w:r>
            <w:r>
              <w:rPr>
                <w:color w:val="000000"/>
                <w:szCs w:val="24"/>
              </w:rPr>
              <w:t>, 2015.</w:t>
            </w:r>
          </w:p>
          <w:p w14:paraId="74F2BC5E" w14:textId="77777777" w:rsidR="00E26BBB" w:rsidRDefault="00E26BBB">
            <w:pPr>
              <w:pStyle w:val="BodyText"/>
              <w:tabs>
                <w:tab w:val="right" w:pos="4662"/>
              </w:tabs>
              <w:spacing w:before="240" w:after="120"/>
              <w:ind w:firstLine="0"/>
              <w:rPr>
                <w:b/>
                <w:szCs w:val="24"/>
              </w:rPr>
            </w:pPr>
          </w:p>
        </w:tc>
      </w:tr>
      <w:tr w:rsidR="00E26BBB" w14:paraId="08A5734A" w14:textId="77777777">
        <w:tc>
          <w:tcPr>
            <w:tcW w:w="4925" w:type="dxa"/>
          </w:tcPr>
          <w:p w14:paraId="437A552C" w14:textId="77777777" w:rsidR="00E26BBB" w:rsidRDefault="00541329">
            <w:pPr>
              <w:pStyle w:val="BodyText"/>
              <w:tabs>
                <w:tab w:val="right" w:pos="4680"/>
              </w:tabs>
              <w:ind w:firstLine="0"/>
              <w:rPr>
                <w:b/>
              </w:rPr>
            </w:pPr>
            <w:r>
              <w:rPr>
                <w:b/>
              </w:rPr>
              <w:t>INVESTOR</w:t>
            </w:r>
          </w:p>
        </w:tc>
        <w:tc>
          <w:tcPr>
            <w:tcW w:w="4615" w:type="dxa"/>
          </w:tcPr>
          <w:p w14:paraId="4722445D" w14:textId="20D81171" w:rsidR="00E26BBB" w:rsidRDefault="00D03D53">
            <w:pPr>
              <w:pStyle w:val="BodyText"/>
              <w:tabs>
                <w:tab w:val="right" w:pos="4662"/>
              </w:tabs>
              <w:ind w:firstLine="252"/>
              <w:rPr>
                <w:b/>
              </w:rPr>
            </w:pPr>
            <w:r>
              <w:rPr>
                <w:b/>
              </w:rPr>
              <w:t>Company X</w:t>
            </w:r>
            <w:bookmarkStart w:id="5" w:name="_GoBack"/>
            <w:bookmarkEnd w:id="5"/>
            <w:r w:rsidR="00541329">
              <w:rPr>
                <w:b/>
              </w:rPr>
              <w:t>, INC.</w:t>
            </w:r>
          </w:p>
        </w:tc>
      </w:tr>
      <w:tr w:rsidR="00E26BBB" w14:paraId="0F4A73BF" w14:textId="77777777">
        <w:tc>
          <w:tcPr>
            <w:tcW w:w="4925" w:type="dxa"/>
          </w:tcPr>
          <w:p w14:paraId="4E4486A5" w14:textId="77777777" w:rsidR="00E26BBB" w:rsidRDefault="00E26BBB">
            <w:pPr>
              <w:pStyle w:val="BodyText"/>
              <w:tabs>
                <w:tab w:val="right" w:pos="4680"/>
              </w:tabs>
              <w:ind w:firstLine="0"/>
            </w:pPr>
          </w:p>
        </w:tc>
        <w:tc>
          <w:tcPr>
            <w:tcW w:w="4615" w:type="dxa"/>
          </w:tcPr>
          <w:p w14:paraId="35EE3A97" w14:textId="77777777" w:rsidR="00E26BBB" w:rsidRDefault="00E26BBB">
            <w:pPr>
              <w:pStyle w:val="BodyText"/>
              <w:tabs>
                <w:tab w:val="right" w:pos="4662"/>
              </w:tabs>
              <w:ind w:firstLine="252"/>
            </w:pPr>
          </w:p>
        </w:tc>
      </w:tr>
      <w:tr w:rsidR="00E26BBB" w14:paraId="64FEB78E" w14:textId="77777777">
        <w:tc>
          <w:tcPr>
            <w:tcW w:w="4925" w:type="dxa"/>
          </w:tcPr>
          <w:p w14:paraId="36472567" w14:textId="77777777" w:rsidR="00E26BBB" w:rsidRDefault="00541329">
            <w:pPr>
              <w:pStyle w:val="BodyText"/>
              <w:tabs>
                <w:tab w:val="right" w:pos="4680"/>
              </w:tabs>
              <w:ind w:firstLine="0"/>
              <w:rPr>
                <w:u w:val="single"/>
              </w:rPr>
            </w:pPr>
            <w:r>
              <w:rPr>
                <w:u w:val="single"/>
              </w:rPr>
              <w:tab/>
            </w:r>
          </w:p>
        </w:tc>
        <w:tc>
          <w:tcPr>
            <w:tcW w:w="4615" w:type="dxa"/>
          </w:tcPr>
          <w:p w14:paraId="6272B10A" w14:textId="77777777" w:rsidR="00E26BBB" w:rsidRDefault="00541329">
            <w:pPr>
              <w:pStyle w:val="BodyText"/>
              <w:tabs>
                <w:tab w:val="right" w:pos="4662"/>
              </w:tabs>
              <w:ind w:firstLine="252"/>
              <w:rPr>
                <w:u w:val="single"/>
              </w:rPr>
            </w:pPr>
            <w:r>
              <w:t xml:space="preserve">By:  </w:t>
            </w:r>
            <w:r>
              <w:rPr>
                <w:u w:val="single"/>
              </w:rPr>
              <w:tab/>
            </w:r>
          </w:p>
        </w:tc>
      </w:tr>
      <w:tr w:rsidR="00E26BBB" w14:paraId="12E77232" w14:textId="77777777">
        <w:tc>
          <w:tcPr>
            <w:tcW w:w="4925" w:type="dxa"/>
          </w:tcPr>
          <w:p w14:paraId="1AD4A425" w14:textId="77777777" w:rsidR="00E26BBB" w:rsidRDefault="00541329">
            <w:pPr>
              <w:pStyle w:val="BodyText"/>
              <w:tabs>
                <w:tab w:val="right" w:pos="4680"/>
              </w:tabs>
              <w:ind w:firstLine="0"/>
              <w:rPr>
                <w:u w:val="single"/>
              </w:rPr>
            </w:pPr>
            <w:r>
              <w:t xml:space="preserve">Name:  </w:t>
            </w:r>
            <w:r>
              <w:rPr>
                <w:u w:val="single"/>
              </w:rPr>
              <w:tab/>
            </w:r>
          </w:p>
        </w:tc>
        <w:tc>
          <w:tcPr>
            <w:tcW w:w="4615" w:type="dxa"/>
          </w:tcPr>
          <w:p w14:paraId="6AA9E5F2" w14:textId="77777777" w:rsidR="00E26BBB" w:rsidRDefault="00541329">
            <w:pPr>
              <w:pStyle w:val="BodyText"/>
              <w:tabs>
                <w:tab w:val="right" w:pos="4662"/>
              </w:tabs>
              <w:ind w:firstLine="252"/>
            </w:pPr>
            <w:r>
              <w:t xml:space="preserve">Name:  </w:t>
            </w:r>
          </w:p>
        </w:tc>
      </w:tr>
      <w:tr w:rsidR="00E26BBB" w14:paraId="774BBD46" w14:textId="77777777">
        <w:tc>
          <w:tcPr>
            <w:tcW w:w="4925" w:type="dxa"/>
          </w:tcPr>
          <w:p w14:paraId="5414B69D" w14:textId="77777777" w:rsidR="00E26BBB" w:rsidRDefault="00541329">
            <w:pPr>
              <w:pStyle w:val="BodyText"/>
              <w:tabs>
                <w:tab w:val="right" w:pos="4680"/>
              </w:tabs>
              <w:ind w:firstLine="0"/>
              <w:rPr>
                <w:u w:val="single"/>
              </w:rPr>
            </w:pPr>
            <w:r>
              <w:t xml:space="preserve">Title:  </w:t>
            </w:r>
            <w:r>
              <w:rPr>
                <w:u w:val="single"/>
              </w:rPr>
              <w:tab/>
            </w:r>
          </w:p>
        </w:tc>
        <w:tc>
          <w:tcPr>
            <w:tcW w:w="4615" w:type="dxa"/>
          </w:tcPr>
          <w:p w14:paraId="39AE85B2" w14:textId="77777777" w:rsidR="00E26BBB" w:rsidRDefault="00541329">
            <w:pPr>
              <w:pStyle w:val="BodyText"/>
              <w:tabs>
                <w:tab w:val="right" w:pos="4662"/>
              </w:tabs>
              <w:ind w:firstLine="252"/>
              <w:rPr>
                <w:u w:val="single"/>
              </w:rPr>
            </w:pPr>
            <w:r>
              <w:t xml:space="preserve">Title:    </w:t>
            </w:r>
          </w:p>
        </w:tc>
      </w:tr>
      <w:tr w:rsidR="00E26BBB" w14:paraId="14029228" w14:textId="77777777">
        <w:tc>
          <w:tcPr>
            <w:tcW w:w="4925" w:type="dxa"/>
          </w:tcPr>
          <w:p w14:paraId="2FA92ECD" w14:textId="77777777" w:rsidR="00E26BBB" w:rsidRDefault="00541329">
            <w:pPr>
              <w:pStyle w:val="BodyText"/>
              <w:tabs>
                <w:tab w:val="right" w:pos="4680"/>
              </w:tabs>
              <w:spacing w:before="480"/>
              <w:ind w:firstLine="0"/>
              <w:rPr>
                <w:b/>
              </w:rPr>
            </w:pPr>
            <w:r>
              <w:rPr>
                <w:b/>
              </w:rPr>
              <w:t>INVESTOR</w:t>
            </w:r>
          </w:p>
        </w:tc>
        <w:tc>
          <w:tcPr>
            <w:tcW w:w="4615" w:type="dxa"/>
          </w:tcPr>
          <w:p w14:paraId="0875386E" w14:textId="77777777" w:rsidR="00E26BBB" w:rsidRDefault="00E26BBB">
            <w:pPr>
              <w:pStyle w:val="BodyText"/>
              <w:tabs>
                <w:tab w:val="right" w:pos="4662"/>
              </w:tabs>
              <w:ind w:firstLine="0"/>
            </w:pPr>
          </w:p>
        </w:tc>
      </w:tr>
      <w:tr w:rsidR="00E26BBB" w14:paraId="6CFA2DC8" w14:textId="77777777">
        <w:tc>
          <w:tcPr>
            <w:tcW w:w="4925" w:type="dxa"/>
          </w:tcPr>
          <w:p w14:paraId="41ADB2DE" w14:textId="77777777" w:rsidR="00E26BBB" w:rsidRDefault="00E26BBB">
            <w:pPr>
              <w:pStyle w:val="BodyText"/>
              <w:tabs>
                <w:tab w:val="right" w:pos="4680"/>
              </w:tabs>
              <w:ind w:firstLine="0"/>
            </w:pPr>
          </w:p>
        </w:tc>
        <w:tc>
          <w:tcPr>
            <w:tcW w:w="4615" w:type="dxa"/>
          </w:tcPr>
          <w:p w14:paraId="3FB3BA2D" w14:textId="77777777" w:rsidR="00E26BBB" w:rsidRDefault="00E26BBB">
            <w:pPr>
              <w:pStyle w:val="BodyText"/>
              <w:tabs>
                <w:tab w:val="right" w:pos="4662"/>
              </w:tabs>
              <w:ind w:firstLine="0"/>
            </w:pPr>
          </w:p>
        </w:tc>
      </w:tr>
      <w:tr w:rsidR="00E26BBB" w14:paraId="0BEA5804" w14:textId="77777777">
        <w:tc>
          <w:tcPr>
            <w:tcW w:w="4925" w:type="dxa"/>
          </w:tcPr>
          <w:p w14:paraId="54BB3EE7" w14:textId="77777777" w:rsidR="00E26BBB" w:rsidRDefault="00541329">
            <w:pPr>
              <w:pStyle w:val="BodyText"/>
              <w:tabs>
                <w:tab w:val="right" w:pos="4680"/>
              </w:tabs>
              <w:ind w:firstLine="0"/>
              <w:rPr>
                <w:u w:val="single"/>
              </w:rPr>
            </w:pPr>
            <w:r>
              <w:rPr>
                <w:u w:val="single"/>
              </w:rPr>
              <w:tab/>
            </w:r>
          </w:p>
        </w:tc>
        <w:tc>
          <w:tcPr>
            <w:tcW w:w="4615" w:type="dxa"/>
          </w:tcPr>
          <w:p w14:paraId="2E68F777" w14:textId="77777777" w:rsidR="00E26BBB" w:rsidRDefault="00E26BBB">
            <w:pPr>
              <w:pStyle w:val="BodyText"/>
              <w:tabs>
                <w:tab w:val="right" w:pos="4662"/>
              </w:tabs>
              <w:ind w:firstLine="0"/>
            </w:pPr>
          </w:p>
        </w:tc>
      </w:tr>
      <w:tr w:rsidR="00E26BBB" w14:paraId="5E9DDD15" w14:textId="77777777">
        <w:tc>
          <w:tcPr>
            <w:tcW w:w="4925" w:type="dxa"/>
          </w:tcPr>
          <w:p w14:paraId="383F4561" w14:textId="77777777" w:rsidR="00E26BBB" w:rsidRDefault="00541329">
            <w:pPr>
              <w:pStyle w:val="BodyText"/>
              <w:tabs>
                <w:tab w:val="right" w:pos="4680"/>
              </w:tabs>
              <w:ind w:firstLine="0"/>
              <w:rPr>
                <w:u w:val="single"/>
              </w:rPr>
            </w:pPr>
            <w:r>
              <w:t xml:space="preserve">Name:  </w:t>
            </w:r>
            <w:r>
              <w:rPr>
                <w:u w:val="single"/>
              </w:rPr>
              <w:tab/>
            </w:r>
          </w:p>
        </w:tc>
        <w:tc>
          <w:tcPr>
            <w:tcW w:w="4615" w:type="dxa"/>
          </w:tcPr>
          <w:p w14:paraId="6E556F5B" w14:textId="77777777" w:rsidR="00E26BBB" w:rsidRDefault="00E26BBB">
            <w:pPr>
              <w:pStyle w:val="BodyText"/>
              <w:tabs>
                <w:tab w:val="right" w:pos="4662"/>
              </w:tabs>
              <w:ind w:firstLine="0"/>
            </w:pPr>
          </w:p>
        </w:tc>
      </w:tr>
      <w:tr w:rsidR="00E26BBB" w14:paraId="4EFD88AB" w14:textId="77777777">
        <w:tc>
          <w:tcPr>
            <w:tcW w:w="4925" w:type="dxa"/>
          </w:tcPr>
          <w:p w14:paraId="6937658A" w14:textId="77777777" w:rsidR="00E26BBB" w:rsidRDefault="00541329">
            <w:pPr>
              <w:pStyle w:val="BodyText"/>
              <w:tabs>
                <w:tab w:val="right" w:pos="4680"/>
              </w:tabs>
              <w:ind w:firstLine="0"/>
              <w:rPr>
                <w:u w:val="single"/>
              </w:rPr>
            </w:pPr>
            <w:r>
              <w:t xml:space="preserve">Title:  </w:t>
            </w:r>
            <w:r>
              <w:rPr>
                <w:u w:val="single"/>
              </w:rPr>
              <w:tab/>
            </w:r>
          </w:p>
        </w:tc>
        <w:tc>
          <w:tcPr>
            <w:tcW w:w="4615" w:type="dxa"/>
          </w:tcPr>
          <w:p w14:paraId="0D3F4317" w14:textId="77777777" w:rsidR="00E26BBB" w:rsidRDefault="00E26BBB">
            <w:pPr>
              <w:pStyle w:val="BodyText"/>
              <w:tabs>
                <w:tab w:val="right" w:pos="4662"/>
              </w:tabs>
              <w:ind w:firstLine="0"/>
            </w:pPr>
          </w:p>
        </w:tc>
      </w:tr>
    </w:tbl>
    <w:p w14:paraId="6F70F49D" w14:textId="77777777" w:rsidR="00E26BBB" w:rsidRDefault="00E26BBB">
      <w:pPr>
        <w:pStyle w:val="BodyText"/>
        <w:ind w:firstLine="0"/>
        <w:sectPr w:rsidR="00E26BBB">
          <w:pgSz w:w="12240" w:h="15840" w:code="1"/>
          <w:pgMar w:top="1440" w:right="1440" w:bottom="1440" w:left="1440" w:header="720" w:footer="576" w:gutter="0"/>
          <w:cols w:space="720"/>
          <w:titlePg/>
          <w:docGrid w:linePitch="360"/>
        </w:sectPr>
      </w:pPr>
    </w:p>
    <w:p w14:paraId="5B652BD6" w14:textId="77777777" w:rsidR="00E26BBB" w:rsidRDefault="00E26BBB">
      <w:pPr>
        <w:pStyle w:val="BodyText"/>
        <w:ind w:firstLine="0"/>
      </w:pPr>
    </w:p>
    <w:p w14:paraId="534F93DF" w14:textId="77777777" w:rsidR="00E26BBB" w:rsidRDefault="00541329">
      <w:pPr>
        <w:pStyle w:val="BodyText"/>
        <w:ind w:firstLine="0"/>
        <w:jc w:val="center"/>
        <w:rPr>
          <w:b/>
          <w:u w:val="single"/>
        </w:rPr>
      </w:pPr>
      <w:r>
        <w:rPr>
          <w:b/>
          <w:u w:val="single"/>
        </w:rPr>
        <w:t>Attachment 1</w:t>
      </w:r>
    </w:p>
    <w:p w14:paraId="2EE8B7C4" w14:textId="77777777" w:rsidR="00E26BBB" w:rsidRDefault="00541329">
      <w:pPr>
        <w:pStyle w:val="BodyText"/>
        <w:spacing w:after="480"/>
        <w:ind w:firstLine="0"/>
        <w:jc w:val="center"/>
        <w:rPr>
          <w:b/>
        </w:rPr>
      </w:pPr>
      <w:r>
        <w:rPr>
          <w:b/>
        </w:rPr>
        <w:t>Capitalization</w:t>
      </w:r>
    </w:p>
    <w:tbl>
      <w:tblPr>
        <w:tblStyle w:val="TableGrid"/>
        <w:tblW w:w="13230" w:type="dxa"/>
        <w:tblInd w:w="-162" w:type="dxa"/>
        <w:tblBorders>
          <w:top w:val="single" w:sz="12" w:space="0" w:color="1F497D" w:themeColor="text2"/>
          <w:left w:val="single" w:sz="12" w:space="0" w:color="1F497D" w:themeColor="text2"/>
          <w:bottom w:val="single" w:sz="12" w:space="0" w:color="1F497D" w:themeColor="text2"/>
          <w:right w:val="single" w:sz="12" w:space="0" w:color="1F497D" w:themeColor="text2"/>
          <w:insideH w:val="none" w:sz="0" w:space="0" w:color="auto"/>
          <w:insideV w:val="none" w:sz="0" w:space="0" w:color="auto"/>
        </w:tblBorders>
        <w:tblLook w:val="04A0" w:firstRow="1" w:lastRow="0" w:firstColumn="1" w:lastColumn="0" w:noHBand="0" w:noVBand="1"/>
      </w:tblPr>
      <w:tblGrid>
        <w:gridCol w:w="2430"/>
        <w:gridCol w:w="1710"/>
        <w:gridCol w:w="1620"/>
        <w:gridCol w:w="1890"/>
        <w:gridCol w:w="1530"/>
        <w:gridCol w:w="1620"/>
        <w:gridCol w:w="2430"/>
      </w:tblGrid>
      <w:tr w:rsidR="00E26BBB" w14:paraId="7ABA8CAC" w14:textId="77777777">
        <w:tc>
          <w:tcPr>
            <w:tcW w:w="2430" w:type="dxa"/>
            <w:tcBorders>
              <w:top w:val="single" w:sz="12" w:space="0" w:color="1F497D" w:themeColor="text2"/>
              <w:bottom w:val="single" w:sz="12" w:space="0" w:color="1F497D" w:themeColor="text2"/>
            </w:tcBorders>
            <w:shd w:val="clear" w:color="auto" w:fill="C7C7C7"/>
          </w:tcPr>
          <w:p w14:paraId="30DEA74E" w14:textId="77777777" w:rsidR="00E26BBB" w:rsidRDefault="00E26BBB">
            <w:pPr>
              <w:pStyle w:val="BodyText"/>
              <w:spacing w:after="120"/>
              <w:ind w:firstLine="0"/>
              <w:jc w:val="center"/>
              <w:rPr>
                <w:rFonts w:asciiTheme="majorBidi" w:hAnsiTheme="majorBidi" w:cstheme="majorBidi"/>
                <w:b/>
                <w:sz w:val="20"/>
              </w:rPr>
            </w:pPr>
          </w:p>
        </w:tc>
        <w:tc>
          <w:tcPr>
            <w:tcW w:w="1710" w:type="dxa"/>
            <w:tcBorders>
              <w:top w:val="single" w:sz="12" w:space="0" w:color="1F497D" w:themeColor="text2"/>
              <w:bottom w:val="single" w:sz="12" w:space="0" w:color="1F497D" w:themeColor="text2"/>
            </w:tcBorders>
            <w:shd w:val="clear" w:color="auto" w:fill="C7C7C7"/>
          </w:tcPr>
          <w:p w14:paraId="68C531A7" w14:textId="77777777" w:rsidR="00E26BBB" w:rsidRDefault="00541329">
            <w:pPr>
              <w:pStyle w:val="BodyText"/>
              <w:spacing w:after="120"/>
              <w:ind w:firstLine="0"/>
              <w:jc w:val="center"/>
              <w:rPr>
                <w:rFonts w:asciiTheme="majorBidi" w:hAnsiTheme="majorBidi" w:cstheme="majorBidi"/>
                <w:b/>
                <w:sz w:val="20"/>
              </w:rPr>
            </w:pPr>
            <w:r>
              <w:rPr>
                <w:rFonts w:asciiTheme="majorBidi" w:hAnsiTheme="majorBidi" w:cstheme="majorBidi"/>
                <w:b/>
                <w:sz w:val="20"/>
              </w:rPr>
              <w:t>Common Stock</w:t>
            </w:r>
          </w:p>
        </w:tc>
        <w:tc>
          <w:tcPr>
            <w:tcW w:w="1620" w:type="dxa"/>
            <w:tcBorders>
              <w:top w:val="single" w:sz="12" w:space="0" w:color="1F497D" w:themeColor="text2"/>
              <w:bottom w:val="single" w:sz="12" w:space="0" w:color="1F497D" w:themeColor="text2"/>
            </w:tcBorders>
            <w:shd w:val="clear" w:color="auto" w:fill="C7C7C7"/>
          </w:tcPr>
          <w:p w14:paraId="700EB718" w14:textId="77777777" w:rsidR="00E26BBB" w:rsidRDefault="00541329">
            <w:pPr>
              <w:pStyle w:val="BodyText"/>
              <w:spacing w:after="120"/>
              <w:ind w:firstLine="0"/>
              <w:jc w:val="center"/>
              <w:rPr>
                <w:rFonts w:asciiTheme="majorBidi" w:hAnsiTheme="majorBidi" w:cstheme="majorBidi"/>
                <w:b/>
                <w:sz w:val="20"/>
              </w:rPr>
            </w:pPr>
            <w:r>
              <w:rPr>
                <w:rFonts w:asciiTheme="majorBidi" w:hAnsiTheme="majorBidi" w:cstheme="majorBidi"/>
                <w:b/>
                <w:sz w:val="20"/>
              </w:rPr>
              <w:t>Class Percentage</w:t>
            </w:r>
          </w:p>
        </w:tc>
        <w:tc>
          <w:tcPr>
            <w:tcW w:w="1890" w:type="dxa"/>
            <w:tcBorders>
              <w:top w:val="single" w:sz="12" w:space="0" w:color="1F497D" w:themeColor="text2"/>
              <w:bottom w:val="single" w:sz="12" w:space="0" w:color="1F497D" w:themeColor="text2"/>
            </w:tcBorders>
            <w:shd w:val="clear" w:color="auto" w:fill="C7C7C7"/>
          </w:tcPr>
          <w:p w14:paraId="7F931557" w14:textId="77777777" w:rsidR="00E26BBB" w:rsidRDefault="00541329">
            <w:pPr>
              <w:pStyle w:val="BodyText"/>
              <w:spacing w:after="120"/>
              <w:ind w:firstLine="0"/>
              <w:jc w:val="center"/>
              <w:rPr>
                <w:rFonts w:asciiTheme="majorBidi" w:hAnsiTheme="majorBidi" w:cstheme="majorBidi"/>
                <w:b/>
                <w:sz w:val="20"/>
              </w:rPr>
            </w:pPr>
            <w:r>
              <w:rPr>
                <w:rFonts w:asciiTheme="majorBidi" w:hAnsiTheme="majorBidi" w:cstheme="majorBidi"/>
                <w:b/>
                <w:sz w:val="20"/>
              </w:rPr>
              <w:t>Founders’ Preferred Stock</w:t>
            </w:r>
          </w:p>
        </w:tc>
        <w:tc>
          <w:tcPr>
            <w:tcW w:w="1530" w:type="dxa"/>
            <w:tcBorders>
              <w:top w:val="single" w:sz="12" w:space="0" w:color="1F497D" w:themeColor="text2"/>
              <w:bottom w:val="single" w:sz="12" w:space="0" w:color="1F497D" w:themeColor="text2"/>
            </w:tcBorders>
            <w:shd w:val="clear" w:color="auto" w:fill="C7C7C7"/>
          </w:tcPr>
          <w:p w14:paraId="48A6B419" w14:textId="77777777" w:rsidR="00E26BBB" w:rsidRDefault="00541329">
            <w:pPr>
              <w:pStyle w:val="BodyText"/>
              <w:spacing w:after="120"/>
              <w:ind w:firstLine="0"/>
              <w:jc w:val="center"/>
              <w:rPr>
                <w:rFonts w:asciiTheme="majorBidi" w:hAnsiTheme="majorBidi" w:cstheme="majorBidi"/>
                <w:b/>
                <w:sz w:val="20"/>
              </w:rPr>
            </w:pPr>
            <w:r>
              <w:rPr>
                <w:rFonts w:asciiTheme="majorBidi" w:hAnsiTheme="majorBidi" w:cstheme="majorBidi"/>
                <w:b/>
                <w:sz w:val="20"/>
              </w:rPr>
              <w:t>Class Percentage</w:t>
            </w:r>
          </w:p>
        </w:tc>
        <w:tc>
          <w:tcPr>
            <w:tcW w:w="1620" w:type="dxa"/>
            <w:tcBorders>
              <w:top w:val="single" w:sz="12" w:space="0" w:color="1F497D" w:themeColor="text2"/>
              <w:bottom w:val="single" w:sz="12" w:space="0" w:color="1F497D" w:themeColor="text2"/>
            </w:tcBorders>
            <w:shd w:val="clear" w:color="auto" w:fill="C7C7C7"/>
          </w:tcPr>
          <w:p w14:paraId="3E5808E9" w14:textId="77777777" w:rsidR="00E26BBB" w:rsidRDefault="00541329">
            <w:pPr>
              <w:pStyle w:val="BodyText"/>
              <w:spacing w:after="120"/>
              <w:ind w:firstLine="0"/>
              <w:jc w:val="center"/>
              <w:rPr>
                <w:rFonts w:asciiTheme="majorBidi" w:hAnsiTheme="majorBidi" w:cstheme="majorBidi"/>
                <w:b/>
                <w:sz w:val="20"/>
              </w:rPr>
            </w:pPr>
            <w:r>
              <w:rPr>
                <w:rFonts w:asciiTheme="majorBidi" w:hAnsiTheme="majorBidi" w:cstheme="majorBidi"/>
                <w:b/>
                <w:sz w:val="20"/>
              </w:rPr>
              <w:t>Total Outstanding</w:t>
            </w:r>
          </w:p>
        </w:tc>
        <w:tc>
          <w:tcPr>
            <w:tcW w:w="2430" w:type="dxa"/>
            <w:tcBorders>
              <w:top w:val="single" w:sz="12" w:space="0" w:color="1F497D" w:themeColor="text2"/>
              <w:bottom w:val="single" w:sz="12" w:space="0" w:color="1F497D" w:themeColor="text2"/>
            </w:tcBorders>
            <w:shd w:val="clear" w:color="auto" w:fill="C7C7C7"/>
          </w:tcPr>
          <w:p w14:paraId="525AA6B7" w14:textId="77777777" w:rsidR="00E26BBB" w:rsidRDefault="00541329">
            <w:pPr>
              <w:pStyle w:val="BodyText"/>
              <w:spacing w:after="120"/>
              <w:ind w:firstLine="0"/>
              <w:jc w:val="center"/>
              <w:rPr>
                <w:rFonts w:asciiTheme="majorBidi" w:hAnsiTheme="majorBidi" w:cstheme="majorBidi"/>
                <w:b/>
                <w:sz w:val="20"/>
              </w:rPr>
            </w:pPr>
            <w:r>
              <w:rPr>
                <w:rFonts w:asciiTheme="majorBidi" w:hAnsiTheme="majorBidi" w:cstheme="majorBidi"/>
                <w:b/>
                <w:sz w:val="20"/>
              </w:rPr>
              <w:t>Fully-Diluted Percentage Ownership</w:t>
            </w:r>
          </w:p>
        </w:tc>
      </w:tr>
      <w:tr w:rsidR="00E26BBB" w14:paraId="5405AC9D" w14:textId="77777777">
        <w:tc>
          <w:tcPr>
            <w:tcW w:w="2430" w:type="dxa"/>
            <w:tcBorders>
              <w:top w:val="single" w:sz="12" w:space="0" w:color="1F497D" w:themeColor="text2"/>
              <w:bottom w:val="nil"/>
            </w:tcBorders>
            <w:shd w:val="clear" w:color="auto" w:fill="auto"/>
          </w:tcPr>
          <w:p w14:paraId="61B3ACA7" w14:textId="77777777" w:rsidR="00E26BBB" w:rsidRDefault="00541329">
            <w:pPr>
              <w:pStyle w:val="BodyText"/>
              <w:spacing w:after="120"/>
              <w:ind w:firstLine="0"/>
              <w:rPr>
                <w:rFonts w:asciiTheme="majorBidi" w:hAnsiTheme="majorBidi" w:cstheme="majorBidi"/>
                <w:b/>
                <w:sz w:val="20"/>
              </w:rPr>
            </w:pPr>
            <w:r>
              <w:rPr>
                <w:rFonts w:asciiTheme="majorBidi" w:hAnsiTheme="majorBidi" w:cstheme="majorBidi"/>
                <w:sz w:val="20"/>
              </w:rPr>
              <w:t>Founders</w:t>
            </w:r>
          </w:p>
        </w:tc>
        <w:tc>
          <w:tcPr>
            <w:tcW w:w="1710" w:type="dxa"/>
            <w:tcBorders>
              <w:top w:val="single" w:sz="12" w:space="0" w:color="1F497D" w:themeColor="text2"/>
              <w:bottom w:val="nil"/>
            </w:tcBorders>
            <w:shd w:val="clear" w:color="auto" w:fill="auto"/>
          </w:tcPr>
          <w:p w14:paraId="44F35A69"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6,360,000</w:t>
            </w:r>
          </w:p>
        </w:tc>
        <w:tc>
          <w:tcPr>
            <w:tcW w:w="1620" w:type="dxa"/>
            <w:tcBorders>
              <w:top w:val="single" w:sz="12" w:space="0" w:color="1F497D" w:themeColor="text2"/>
              <w:bottom w:val="nil"/>
            </w:tcBorders>
            <w:shd w:val="clear" w:color="auto" w:fill="auto"/>
          </w:tcPr>
          <w:p w14:paraId="46E03C85"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70.667%</w:t>
            </w:r>
          </w:p>
        </w:tc>
        <w:tc>
          <w:tcPr>
            <w:tcW w:w="1890" w:type="dxa"/>
            <w:tcBorders>
              <w:top w:val="single" w:sz="12" w:space="0" w:color="1F497D" w:themeColor="text2"/>
              <w:bottom w:val="nil"/>
            </w:tcBorders>
            <w:shd w:val="clear" w:color="auto" w:fill="auto"/>
          </w:tcPr>
          <w:p w14:paraId="237E9402"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1,000,000</w:t>
            </w:r>
          </w:p>
        </w:tc>
        <w:tc>
          <w:tcPr>
            <w:tcW w:w="1530" w:type="dxa"/>
            <w:tcBorders>
              <w:top w:val="single" w:sz="12" w:space="0" w:color="1F497D" w:themeColor="text2"/>
              <w:bottom w:val="nil"/>
            </w:tcBorders>
            <w:shd w:val="clear" w:color="auto" w:fill="auto"/>
          </w:tcPr>
          <w:p w14:paraId="4A00D476"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100.000%</w:t>
            </w:r>
          </w:p>
        </w:tc>
        <w:tc>
          <w:tcPr>
            <w:tcW w:w="1620" w:type="dxa"/>
            <w:tcBorders>
              <w:top w:val="single" w:sz="12" w:space="0" w:color="1F497D" w:themeColor="text2"/>
              <w:bottom w:val="nil"/>
            </w:tcBorders>
          </w:tcPr>
          <w:p w14:paraId="1CE39480"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7,360,000</w:t>
            </w:r>
          </w:p>
        </w:tc>
        <w:tc>
          <w:tcPr>
            <w:tcW w:w="2430" w:type="dxa"/>
            <w:tcBorders>
              <w:top w:val="single" w:sz="12" w:space="0" w:color="1F497D" w:themeColor="text2"/>
              <w:bottom w:val="nil"/>
            </w:tcBorders>
            <w:shd w:val="clear" w:color="auto" w:fill="auto"/>
          </w:tcPr>
          <w:p w14:paraId="61C4BFF9"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73.600%</w:t>
            </w:r>
          </w:p>
        </w:tc>
      </w:tr>
      <w:tr w:rsidR="00E26BBB" w14:paraId="58423B9E" w14:textId="77777777">
        <w:tc>
          <w:tcPr>
            <w:tcW w:w="2430" w:type="dxa"/>
            <w:tcBorders>
              <w:top w:val="nil"/>
              <w:bottom w:val="nil"/>
            </w:tcBorders>
            <w:shd w:val="clear" w:color="auto" w:fill="auto"/>
          </w:tcPr>
          <w:p w14:paraId="78BBF838" w14:textId="77777777" w:rsidR="00E26BBB" w:rsidRDefault="00541329">
            <w:pPr>
              <w:pStyle w:val="BodyText"/>
              <w:spacing w:after="120"/>
              <w:ind w:firstLine="0"/>
              <w:rPr>
                <w:rFonts w:asciiTheme="majorBidi" w:hAnsiTheme="majorBidi" w:cstheme="majorBidi"/>
                <w:sz w:val="20"/>
              </w:rPr>
            </w:pPr>
            <w:r>
              <w:rPr>
                <w:rFonts w:asciiTheme="majorBidi" w:hAnsiTheme="majorBidi" w:cstheme="majorBidi"/>
                <w:sz w:val="20"/>
              </w:rPr>
              <w:t>Early Founders</w:t>
            </w:r>
          </w:p>
        </w:tc>
        <w:tc>
          <w:tcPr>
            <w:tcW w:w="1710" w:type="dxa"/>
            <w:tcBorders>
              <w:top w:val="nil"/>
              <w:bottom w:val="nil"/>
            </w:tcBorders>
            <w:shd w:val="clear" w:color="auto" w:fill="auto"/>
          </w:tcPr>
          <w:p w14:paraId="5E2E7FD7"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640,000</w:t>
            </w:r>
          </w:p>
        </w:tc>
        <w:tc>
          <w:tcPr>
            <w:tcW w:w="1620" w:type="dxa"/>
            <w:tcBorders>
              <w:top w:val="nil"/>
              <w:bottom w:val="nil"/>
            </w:tcBorders>
            <w:shd w:val="clear" w:color="auto" w:fill="auto"/>
          </w:tcPr>
          <w:p w14:paraId="38EB52EB"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7.111%</w:t>
            </w:r>
          </w:p>
        </w:tc>
        <w:tc>
          <w:tcPr>
            <w:tcW w:w="1890" w:type="dxa"/>
            <w:tcBorders>
              <w:top w:val="nil"/>
              <w:bottom w:val="nil"/>
            </w:tcBorders>
            <w:shd w:val="clear" w:color="auto" w:fill="auto"/>
          </w:tcPr>
          <w:p w14:paraId="36D8C5DB" w14:textId="77777777" w:rsidR="00E26BBB" w:rsidRDefault="00E26BBB">
            <w:pPr>
              <w:pStyle w:val="BodyText"/>
              <w:spacing w:after="120"/>
              <w:ind w:firstLine="0"/>
              <w:jc w:val="right"/>
              <w:rPr>
                <w:rFonts w:asciiTheme="majorBidi" w:hAnsiTheme="majorBidi" w:cstheme="majorBidi"/>
                <w:sz w:val="20"/>
              </w:rPr>
            </w:pPr>
          </w:p>
        </w:tc>
        <w:tc>
          <w:tcPr>
            <w:tcW w:w="1530" w:type="dxa"/>
            <w:tcBorders>
              <w:top w:val="nil"/>
              <w:bottom w:val="nil"/>
            </w:tcBorders>
            <w:shd w:val="clear" w:color="auto" w:fill="auto"/>
          </w:tcPr>
          <w:p w14:paraId="352B3D26" w14:textId="77777777" w:rsidR="00E26BBB" w:rsidRDefault="00E26BBB">
            <w:pPr>
              <w:pStyle w:val="BodyText"/>
              <w:spacing w:after="120"/>
              <w:ind w:firstLine="0"/>
              <w:jc w:val="right"/>
              <w:rPr>
                <w:rFonts w:asciiTheme="majorBidi" w:hAnsiTheme="majorBidi" w:cstheme="majorBidi"/>
                <w:sz w:val="20"/>
              </w:rPr>
            </w:pPr>
          </w:p>
        </w:tc>
        <w:tc>
          <w:tcPr>
            <w:tcW w:w="1620" w:type="dxa"/>
            <w:tcBorders>
              <w:top w:val="nil"/>
              <w:bottom w:val="nil"/>
            </w:tcBorders>
          </w:tcPr>
          <w:p w14:paraId="56D5A56F"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640,000</w:t>
            </w:r>
          </w:p>
        </w:tc>
        <w:tc>
          <w:tcPr>
            <w:tcW w:w="2430" w:type="dxa"/>
            <w:tcBorders>
              <w:top w:val="nil"/>
              <w:bottom w:val="nil"/>
            </w:tcBorders>
            <w:shd w:val="clear" w:color="auto" w:fill="auto"/>
          </w:tcPr>
          <w:p w14:paraId="5D3869DD"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6.400%</w:t>
            </w:r>
          </w:p>
        </w:tc>
      </w:tr>
      <w:tr w:rsidR="00E26BBB" w14:paraId="7A9C0DAB" w14:textId="77777777">
        <w:tc>
          <w:tcPr>
            <w:tcW w:w="2430" w:type="dxa"/>
            <w:tcBorders>
              <w:top w:val="nil"/>
              <w:bottom w:val="nil"/>
            </w:tcBorders>
            <w:shd w:val="clear" w:color="auto" w:fill="99CCFF"/>
          </w:tcPr>
          <w:p w14:paraId="7FF611A8" w14:textId="77777777" w:rsidR="00E26BBB" w:rsidRDefault="00541329">
            <w:pPr>
              <w:pStyle w:val="BodyText"/>
              <w:spacing w:after="120"/>
              <w:ind w:firstLine="0"/>
              <w:rPr>
                <w:rFonts w:asciiTheme="majorBidi" w:hAnsiTheme="majorBidi" w:cstheme="majorBidi"/>
                <w:sz w:val="20"/>
              </w:rPr>
            </w:pPr>
            <w:r>
              <w:rPr>
                <w:rFonts w:asciiTheme="majorBidi" w:hAnsiTheme="majorBidi" w:cstheme="majorBidi"/>
                <w:sz w:val="20"/>
              </w:rPr>
              <w:t>Common Stock Reserved for Employee Equity Incentives:</w:t>
            </w:r>
          </w:p>
        </w:tc>
        <w:tc>
          <w:tcPr>
            <w:tcW w:w="1710" w:type="dxa"/>
            <w:tcBorders>
              <w:top w:val="nil"/>
              <w:bottom w:val="nil"/>
            </w:tcBorders>
            <w:shd w:val="clear" w:color="auto" w:fill="99CCFF"/>
          </w:tcPr>
          <w:p w14:paraId="1E106480" w14:textId="77777777" w:rsidR="00E26BBB" w:rsidRDefault="00E26BBB">
            <w:pPr>
              <w:pStyle w:val="BodyText"/>
              <w:spacing w:after="120"/>
              <w:ind w:firstLine="0"/>
              <w:jc w:val="right"/>
              <w:rPr>
                <w:rFonts w:asciiTheme="majorBidi" w:hAnsiTheme="majorBidi" w:cstheme="majorBidi"/>
                <w:sz w:val="20"/>
              </w:rPr>
            </w:pPr>
          </w:p>
        </w:tc>
        <w:tc>
          <w:tcPr>
            <w:tcW w:w="1620" w:type="dxa"/>
            <w:tcBorders>
              <w:top w:val="nil"/>
              <w:bottom w:val="nil"/>
            </w:tcBorders>
            <w:shd w:val="clear" w:color="auto" w:fill="99CCFF"/>
          </w:tcPr>
          <w:p w14:paraId="75EC4FC0" w14:textId="77777777" w:rsidR="00E26BBB" w:rsidRDefault="00E26BBB">
            <w:pPr>
              <w:pStyle w:val="BodyText"/>
              <w:spacing w:after="120"/>
              <w:ind w:firstLine="0"/>
              <w:jc w:val="right"/>
              <w:rPr>
                <w:rFonts w:asciiTheme="majorBidi" w:hAnsiTheme="majorBidi" w:cstheme="majorBidi"/>
                <w:sz w:val="20"/>
              </w:rPr>
            </w:pPr>
          </w:p>
        </w:tc>
        <w:tc>
          <w:tcPr>
            <w:tcW w:w="1890" w:type="dxa"/>
            <w:tcBorders>
              <w:top w:val="nil"/>
              <w:bottom w:val="nil"/>
            </w:tcBorders>
            <w:shd w:val="clear" w:color="auto" w:fill="99CCFF"/>
          </w:tcPr>
          <w:p w14:paraId="05BC5D02" w14:textId="77777777" w:rsidR="00E26BBB" w:rsidRDefault="00E26BBB">
            <w:pPr>
              <w:pStyle w:val="BodyText"/>
              <w:spacing w:after="120"/>
              <w:ind w:firstLine="0"/>
              <w:jc w:val="right"/>
              <w:rPr>
                <w:rFonts w:asciiTheme="majorBidi" w:hAnsiTheme="majorBidi" w:cstheme="majorBidi"/>
                <w:sz w:val="20"/>
              </w:rPr>
            </w:pPr>
          </w:p>
        </w:tc>
        <w:tc>
          <w:tcPr>
            <w:tcW w:w="1530" w:type="dxa"/>
            <w:tcBorders>
              <w:top w:val="nil"/>
              <w:bottom w:val="nil"/>
            </w:tcBorders>
            <w:shd w:val="clear" w:color="auto" w:fill="99CCFF"/>
          </w:tcPr>
          <w:p w14:paraId="2648CAB4" w14:textId="77777777" w:rsidR="00E26BBB" w:rsidRDefault="00E26BBB">
            <w:pPr>
              <w:pStyle w:val="BodyText"/>
              <w:spacing w:after="120"/>
              <w:ind w:firstLine="0"/>
              <w:jc w:val="right"/>
              <w:rPr>
                <w:rFonts w:asciiTheme="majorBidi" w:hAnsiTheme="majorBidi" w:cstheme="majorBidi"/>
                <w:sz w:val="20"/>
              </w:rPr>
            </w:pPr>
          </w:p>
        </w:tc>
        <w:tc>
          <w:tcPr>
            <w:tcW w:w="1620" w:type="dxa"/>
            <w:tcBorders>
              <w:top w:val="nil"/>
              <w:bottom w:val="nil"/>
            </w:tcBorders>
            <w:shd w:val="clear" w:color="auto" w:fill="99CCFF"/>
          </w:tcPr>
          <w:p w14:paraId="51951EFA" w14:textId="77777777" w:rsidR="00E26BBB" w:rsidRDefault="00E26BBB">
            <w:pPr>
              <w:pStyle w:val="BodyText"/>
              <w:spacing w:after="120"/>
              <w:ind w:firstLine="0"/>
              <w:jc w:val="right"/>
              <w:rPr>
                <w:rFonts w:asciiTheme="majorBidi" w:hAnsiTheme="majorBidi" w:cstheme="majorBidi"/>
                <w:sz w:val="20"/>
              </w:rPr>
            </w:pPr>
          </w:p>
        </w:tc>
        <w:tc>
          <w:tcPr>
            <w:tcW w:w="2430" w:type="dxa"/>
            <w:tcBorders>
              <w:top w:val="nil"/>
              <w:bottom w:val="nil"/>
            </w:tcBorders>
            <w:shd w:val="clear" w:color="auto" w:fill="99CCFF"/>
          </w:tcPr>
          <w:p w14:paraId="60D23083" w14:textId="77777777" w:rsidR="00E26BBB" w:rsidRDefault="00E26BBB">
            <w:pPr>
              <w:pStyle w:val="BodyText"/>
              <w:spacing w:after="120"/>
              <w:ind w:firstLine="0"/>
              <w:jc w:val="right"/>
              <w:rPr>
                <w:rFonts w:asciiTheme="majorBidi" w:hAnsiTheme="majorBidi" w:cstheme="majorBidi"/>
                <w:sz w:val="20"/>
              </w:rPr>
            </w:pPr>
          </w:p>
        </w:tc>
      </w:tr>
      <w:tr w:rsidR="00E26BBB" w14:paraId="3CE79E5E" w14:textId="77777777">
        <w:tc>
          <w:tcPr>
            <w:tcW w:w="2430" w:type="dxa"/>
            <w:tcBorders>
              <w:top w:val="nil"/>
              <w:bottom w:val="nil"/>
            </w:tcBorders>
            <w:shd w:val="clear" w:color="auto" w:fill="auto"/>
          </w:tcPr>
          <w:p w14:paraId="4FC55188" w14:textId="77777777" w:rsidR="00E26BBB" w:rsidRDefault="00541329">
            <w:pPr>
              <w:pStyle w:val="BodyText"/>
              <w:spacing w:after="120"/>
              <w:ind w:firstLine="0"/>
              <w:rPr>
                <w:rFonts w:asciiTheme="majorBidi" w:hAnsiTheme="majorBidi" w:cstheme="majorBidi"/>
                <w:bCs/>
                <w:sz w:val="20"/>
              </w:rPr>
            </w:pPr>
            <w:r>
              <w:rPr>
                <w:rFonts w:asciiTheme="majorBidi" w:hAnsiTheme="majorBidi" w:cstheme="majorBidi"/>
                <w:bCs/>
                <w:sz w:val="20"/>
              </w:rPr>
              <w:t>[Granted]</w:t>
            </w:r>
          </w:p>
        </w:tc>
        <w:tc>
          <w:tcPr>
            <w:tcW w:w="1710" w:type="dxa"/>
            <w:tcBorders>
              <w:top w:val="nil"/>
              <w:bottom w:val="nil"/>
            </w:tcBorders>
            <w:shd w:val="clear" w:color="auto" w:fill="auto"/>
          </w:tcPr>
          <w:p w14:paraId="5FD5A459" w14:textId="77777777" w:rsidR="00E26BBB" w:rsidRDefault="00E26BBB">
            <w:pPr>
              <w:pStyle w:val="BodyText"/>
              <w:spacing w:after="120"/>
              <w:ind w:firstLine="0"/>
              <w:jc w:val="right"/>
              <w:rPr>
                <w:rFonts w:asciiTheme="majorBidi" w:hAnsiTheme="majorBidi" w:cstheme="majorBidi"/>
                <w:sz w:val="20"/>
              </w:rPr>
            </w:pPr>
          </w:p>
        </w:tc>
        <w:tc>
          <w:tcPr>
            <w:tcW w:w="1620" w:type="dxa"/>
            <w:tcBorders>
              <w:top w:val="nil"/>
              <w:bottom w:val="nil"/>
            </w:tcBorders>
            <w:shd w:val="clear" w:color="auto" w:fill="auto"/>
          </w:tcPr>
          <w:p w14:paraId="220ED149" w14:textId="77777777" w:rsidR="00E26BBB" w:rsidRDefault="00E26BBB">
            <w:pPr>
              <w:pStyle w:val="BodyText"/>
              <w:spacing w:after="120"/>
              <w:ind w:firstLine="0"/>
              <w:jc w:val="right"/>
              <w:rPr>
                <w:rFonts w:asciiTheme="majorBidi" w:hAnsiTheme="majorBidi" w:cstheme="majorBidi"/>
                <w:sz w:val="20"/>
              </w:rPr>
            </w:pPr>
          </w:p>
        </w:tc>
        <w:tc>
          <w:tcPr>
            <w:tcW w:w="1890" w:type="dxa"/>
            <w:tcBorders>
              <w:top w:val="nil"/>
              <w:bottom w:val="nil"/>
            </w:tcBorders>
            <w:shd w:val="clear" w:color="auto" w:fill="auto"/>
          </w:tcPr>
          <w:p w14:paraId="2D7FA707" w14:textId="77777777" w:rsidR="00E26BBB" w:rsidRDefault="00E26BBB">
            <w:pPr>
              <w:pStyle w:val="BodyText"/>
              <w:spacing w:after="120"/>
              <w:ind w:firstLine="0"/>
              <w:jc w:val="right"/>
              <w:rPr>
                <w:rFonts w:asciiTheme="majorBidi" w:hAnsiTheme="majorBidi" w:cstheme="majorBidi"/>
                <w:sz w:val="20"/>
              </w:rPr>
            </w:pPr>
          </w:p>
        </w:tc>
        <w:tc>
          <w:tcPr>
            <w:tcW w:w="1530" w:type="dxa"/>
            <w:tcBorders>
              <w:top w:val="nil"/>
              <w:bottom w:val="nil"/>
            </w:tcBorders>
            <w:shd w:val="clear" w:color="auto" w:fill="auto"/>
          </w:tcPr>
          <w:p w14:paraId="1537724A" w14:textId="77777777" w:rsidR="00E26BBB" w:rsidRDefault="00E26BBB">
            <w:pPr>
              <w:pStyle w:val="BodyText"/>
              <w:spacing w:after="120"/>
              <w:ind w:firstLine="0"/>
              <w:jc w:val="right"/>
              <w:rPr>
                <w:rFonts w:asciiTheme="majorBidi" w:hAnsiTheme="majorBidi" w:cstheme="majorBidi"/>
                <w:sz w:val="20"/>
              </w:rPr>
            </w:pPr>
          </w:p>
        </w:tc>
        <w:tc>
          <w:tcPr>
            <w:tcW w:w="1620" w:type="dxa"/>
            <w:tcBorders>
              <w:top w:val="nil"/>
              <w:bottom w:val="nil"/>
            </w:tcBorders>
          </w:tcPr>
          <w:p w14:paraId="0B2843F2" w14:textId="77777777" w:rsidR="00E26BBB" w:rsidRDefault="00E26BBB">
            <w:pPr>
              <w:pStyle w:val="BodyText"/>
              <w:spacing w:after="120"/>
              <w:ind w:firstLine="0"/>
              <w:jc w:val="right"/>
              <w:rPr>
                <w:rFonts w:asciiTheme="majorBidi" w:hAnsiTheme="majorBidi" w:cstheme="majorBidi"/>
                <w:sz w:val="20"/>
              </w:rPr>
            </w:pPr>
          </w:p>
        </w:tc>
        <w:tc>
          <w:tcPr>
            <w:tcW w:w="2430" w:type="dxa"/>
            <w:tcBorders>
              <w:top w:val="nil"/>
              <w:bottom w:val="nil"/>
            </w:tcBorders>
            <w:shd w:val="clear" w:color="auto" w:fill="auto"/>
          </w:tcPr>
          <w:p w14:paraId="22C36432" w14:textId="77777777" w:rsidR="00E26BBB" w:rsidRDefault="00E26BBB">
            <w:pPr>
              <w:pStyle w:val="BodyText"/>
              <w:spacing w:after="120"/>
              <w:ind w:firstLine="0"/>
              <w:jc w:val="right"/>
              <w:rPr>
                <w:rFonts w:asciiTheme="majorBidi" w:hAnsiTheme="majorBidi" w:cstheme="majorBidi"/>
                <w:sz w:val="20"/>
              </w:rPr>
            </w:pPr>
          </w:p>
        </w:tc>
      </w:tr>
      <w:tr w:rsidR="00E26BBB" w14:paraId="3FBF23F2" w14:textId="77777777">
        <w:tc>
          <w:tcPr>
            <w:tcW w:w="2430" w:type="dxa"/>
            <w:tcBorders>
              <w:top w:val="nil"/>
            </w:tcBorders>
            <w:shd w:val="clear" w:color="auto" w:fill="auto"/>
          </w:tcPr>
          <w:p w14:paraId="1CB34B93" w14:textId="77777777" w:rsidR="00E26BBB" w:rsidRDefault="00541329">
            <w:pPr>
              <w:pStyle w:val="BodyText"/>
              <w:spacing w:after="120"/>
              <w:ind w:firstLine="0"/>
              <w:rPr>
                <w:rFonts w:asciiTheme="majorBidi" w:hAnsiTheme="majorBidi" w:cstheme="majorBidi"/>
                <w:bCs/>
                <w:sz w:val="20"/>
              </w:rPr>
            </w:pPr>
            <w:r>
              <w:rPr>
                <w:rFonts w:asciiTheme="majorBidi" w:hAnsiTheme="majorBidi" w:cstheme="majorBidi"/>
                <w:bCs/>
                <w:sz w:val="20"/>
              </w:rPr>
              <w:t>Reserved for Grant</w:t>
            </w:r>
          </w:p>
        </w:tc>
        <w:tc>
          <w:tcPr>
            <w:tcW w:w="1710" w:type="dxa"/>
            <w:tcBorders>
              <w:top w:val="nil"/>
              <w:bottom w:val="single" w:sz="12" w:space="0" w:color="1F497D" w:themeColor="text2"/>
            </w:tcBorders>
            <w:shd w:val="clear" w:color="auto" w:fill="auto"/>
          </w:tcPr>
          <w:p w14:paraId="25670E8F"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2,000,000</w:t>
            </w:r>
          </w:p>
        </w:tc>
        <w:tc>
          <w:tcPr>
            <w:tcW w:w="1620" w:type="dxa"/>
            <w:tcBorders>
              <w:top w:val="nil"/>
              <w:bottom w:val="single" w:sz="12" w:space="0" w:color="1F497D" w:themeColor="text2"/>
            </w:tcBorders>
            <w:shd w:val="clear" w:color="auto" w:fill="auto"/>
          </w:tcPr>
          <w:p w14:paraId="7DA65AB6"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22.222%</w:t>
            </w:r>
          </w:p>
        </w:tc>
        <w:tc>
          <w:tcPr>
            <w:tcW w:w="1890" w:type="dxa"/>
            <w:tcBorders>
              <w:top w:val="nil"/>
              <w:bottom w:val="single" w:sz="12" w:space="0" w:color="1F497D" w:themeColor="text2"/>
            </w:tcBorders>
            <w:shd w:val="clear" w:color="auto" w:fill="auto"/>
          </w:tcPr>
          <w:p w14:paraId="71F3055B" w14:textId="77777777" w:rsidR="00E26BBB" w:rsidRDefault="00E26BBB">
            <w:pPr>
              <w:pStyle w:val="BodyText"/>
              <w:spacing w:after="120"/>
              <w:ind w:firstLine="0"/>
              <w:jc w:val="right"/>
              <w:rPr>
                <w:rFonts w:asciiTheme="majorBidi" w:hAnsiTheme="majorBidi" w:cstheme="majorBidi"/>
                <w:sz w:val="20"/>
              </w:rPr>
            </w:pPr>
          </w:p>
        </w:tc>
        <w:tc>
          <w:tcPr>
            <w:tcW w:w="1530" w:type="dxa"/>
            <w:tcBorders>
              <w:top w:val="nil"/>
              <w:bottom w:val="single" w:sz="12" w:space="0" w:color="1F497D" w:themeColor="text2"/>
            </w:tcBorders>
            <w:shd w:val="clear" w:color="auto" w:fill="auto"/>
          </w:tcPr>
          <w:p w14:paraId="13215D09" w14:textId="77777777" w:rsidR="00E26BBB" w:rsidRDefault="00E26BBB">
            <w:pPr>
              <w:pStyle w:val="BodyText"/>
              <w:spacing w:after="120"/>
              <w:ind w:firstLine="0"/>
              <w:jc w:val="right"/>
              <w:rPr>
                <w:rFonts w:asciiTheme="majorBidi" w:hAnsiTheme="majorBidi" w:cstheme="majorBidi"/>
                <w:sz w:val="20"/>
              </w:rPr>
            </w:pPr>
          </w:p>
        </w:tc>
        <w:tc>
          <w:tcPr>
            <w:tcW w:w="1620" w:type="dxa"/>
            <w:tcBorders>
              <w:top w:val="nil"/>
              <w:bottom w:val="single" w:sz="12" w:space="0" w:color="1F497D" w:themeColor="text2"/>
            </w:tcBorders>
            <w:shd w:val="clear" w:color="auto" w:fill="auto"/>
          </w:tcPr>
          <w:p w14:paraId="01FAE82F"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2,000,000</w:t>
            </w:r>
          </w:p>
        </w:tc>
        <w:tc>
          <w:tcPr>
            <w:tcW w:w="2430" w:type="dxa"/>
            <w:tcBorders>
              <w:top w:val="nil"/>
              <w:bottom w:val="single" w:sz="12" w:space="0" w:color="1F497D" w:themeColor="text2"/>
            </w:tcBorders>
            <w:shd w:val="clear" w:color="auto" w:fill="auto"/>
          </w:tcPr>
          <w:p w14:paraId="11A9F23F" w14:textId="77777777" w:rsidR="00E26BBB" w:rsidRDefault="00541329">
            <w:pPr>
              <w:pStyle w:val="BodyText"/>
              <w:spacing w:after="120"/>
              <w:ind w:firstLine="0"/>
              <w:jc w:val="right"/>
              <w:rPr>
                <w:rFonts w:asciiTheme="majorBidi" w:hAnsiTheme="majorBidi" w:cstheme="majorBidi"/>
                <w:sz w:val="20"/>
              </w:rPr>
            </w:pPr>
            <w:r>
              <w:rPr>
                <w:rFonts w:asciiTheme="majorBidi" w:hAnsiTheme="majorBidi" w:cstheme="majorBidi"/>
                <w:sz w:val="20"/>
              </w:rPr>
              <w:t>20.000%</w:t>
            </w:r>
          </w:p>
        </w:tc>
      </w:tr>
      <w:tr w:rsidR="00E26BBB" w14:paraId="6D938A4D" w14:textId="77777777">
        <w:tc>
          <w:tcPr>
            <w:tcW w:w="2430" w:type="dxa"/>
            <w:tcBorders>
              <w:bottom w:val="single" w:sz="12" w:space="0" w:color="1F497D" w:themeColor="text2"/>
            </w:tcBorders>
            <w:shd w:val="clear" w:color="auto" w:fill="auto"/>
          </w:tcPr>
          <w:p w14:paraId="22D2C937" w14:textId="77777777" w:rsidR="00E26BBB" w:rsidRDefault="00E26BBB">
            <w:pPr>
              <w:pStyle w:val="BodyText"/>
              <w:ind w:firstLine="0"/>
              <w:rPr>
                <w:rFonts w:asciiTheme="majorBidi" w:hAnsiTheme="majorBidi" w:cstheme="majorBidi"/>
                <w:b/>
                <w:sz w:val="20"/>
              </w:rPr>
            </w:pPr>
          </w:p>
        </w:tc>
        <w:tc>
          <w:tcPr>
            <w:tcW w:w="1710" w:type="dxa"/>
            <w:tcBorders>
              <w:top w:val="single" w:sz="12" w:space="0" w:color="1F497D" w:themeColor="text2"/>
              <w:bottom w:val="single" w:sz="12" w:space="0" w:color="1F497D" w:themeColor="text2"/>
            </w:tcBorders>
            <w:shd w:val="clear" w:color="auto" w:fill="auto"/>
          </w:tcPr>
          <w:p w14:paraId="0B7E15B4" w14:textId="77777777" w:rsidR="00E26BBB" w:rsidRDefault="00541329">
            <w:pPr>
              <w:pStyle w:val="BodyText"/>
              <w:ind w:firstLine="0"/>
              <w:jc w:val="right"/>
              <w:rPr>
                <w:rFonts w:asciiTheme="majorBidi" w:hAnsiTheme="majorBidi" w:cstheme="majorBidi"/>
                <w:sz w:val="20"/>
              </w:rPr>
            </w:pPr>
            <w:r>
              <w:rPr>
                <w:rFonts w:asciiTheme="majorBidi" w:hAnsiTheme="majorBidi" w:cstheme="majorBidi"/>
                <w:sz w:val="20"/>
              </w:rPr>
              <w:t>9,000,000</w:t>
            </w:r>
          </w:p>
        </w:tc>
        <w:tc>
          <w:tcPr>
            <w:tcW w:w="1620" w:type="dxa"/>
            <w:tcBorders>
              <w:top w:val="single" w:sz="12" w:space="0" w:color="1F497D" w:themeColor="text2"/>
              <w:bottom w:val="single" w:sz="12" w:space="0" w:color="1F497D" w:themeColor="text2"/>
            </w:tcBorders>
            <w:shd w:val="clear" w:color="auto" w:fill="auto"/>
          </w:tcPr>
          <w:p w14:paraId="7F13623E" w14:textId="77777777" w:rsidR="00E26BBB" w:rsidRDefault="00541329">
            <w:pPr>
              <w:pStyle w:val="BodyText"/>
              <w:ind w:firstLine="0"/>
              <w:jc w:val="right"/>
              <w:rPr>
                <w:rFonts w:asciiTheme="majorBidi" w:hAnsiTheme="majorBidi" w:cstheme="majorBidi"/>
                <w:sz w:val="20"/>
              </w:rPr>
            </w:pPr>
            <w:r>
              <w:rPr>
                <w:rFonts w:asciiTheme="majorBidi" w:hAnsiTheme="majorBidi" w:cstheme="majorBidi"/>
                <w:sz w:val="20"/>
              </w:rPr>
              <w:t>100.000%</w:t>
            </w:r>
          </w:p>
        </w:tc>
        <w:tc>
          <w:tcPr>
            <w:tcW w:w="1890" w:type="dxa"/>
            <w:tcBorders>
              <w:top w:val="single" w:sz="12" w:space="0" w:color="1F497D" w:themeColor="text2"/>
              <w:bottom w:val="single" w:sz="12" w:space="0" w:color="1F497D" w:themeColor="text2"/>
            </w:tcBorders>
            <w:shd w:val="clear" w:color="auto" w:fill="auto"/>
          </w:tcPr>
          <w:p w14:paraId="25ACEC25" w14:textId="77777777" w:rsidR="00E26BBB" w:rsidRDefault="00541329">
            <w:pPr>
              <w:pStyle w:val="BodyText"/>
              <w:ind w:firstLine="0"/>
              <w:jc w:val="right"/>
              <w:rPr>
                <w:rFonts w:asciiTheme="majorBidi" w:hAnsiTheme="majorBidi" w:cstheme="majorBidi"/>
                <w:sz w:val="20"/>
              </w:rPr>
            </w:pPr>
            <w:r>
              <w:rPr>
                <w:rFonts w:asciiTheme="majorBidi" w:hAnsiTheme="majorBidi" w:cstheme="majorBidi"/>
                <w:sz w:val="20"/>
              </w:rPr>
              <w:t>1,000,000</w:t>
            </w:r>
          </w:p>
        </w:tc>
        <w:tc>
          <w:tcPr>
            <w:tcW w:w="1530" w:type="dxa"/>
            <w:tcBorders>
              <w:top w:val="single" w:sz="12" w:space="0" w:color="1F497D" w:themeColor="text2"/>
              <w:bottom w:val="single" w:sz="12" w:space="0" w:color="1F497D" w:themeColor="text2"/>
            </w:tcBorders>
            <w:shd w:val="clear" w:color="auto" w:fill="auto"/>
          </w:tcPr>
          <w:p w14:paraId="75EC1896" w14:textId="77777777" w:rsidR="00E26BBB" w:rsidRDefault="00541329">
            <w:pPr>
              <w:pStyle w:val="BodyText"/>
              <w:ind w:firstLine="0"/>
              <w:jc w:val="right"/>
              <w:rPr>
                <w:rFonts w:asciiTheme="majorBidi" w:hAnsiTheme="majorBidi" w:cstheme="majorBidi"/>
                <w:sz w:val="20"/>
              </w:rPr>
            </w:pPr>
            <w:r>
              <w:rPr>
                <w:rFonts w:asciiTheme="majorBidi" w:hAnsiTheme="majorBidi" w:cstheme="majorBidi"/>
                <w:sz w:val="20"/>
              </w:rPr>
              <w:t>100.00%</w:t>
            </w:r>
          </w:p>
        </w:tc>
        <w:tc>
          <w:tcPr>
            <w:tcW w:w="1620" w:type="dxa"/>
            <w:tcBorders>
              <w:top w:val="single" w:sz="12" w:space="0" w:color="1F497D" w:themeColor="text2"/>
              <w:bottom w:val="single" w:sz="12" w:space="0" w:color="1F497D" w:themeColor="text2"/>
            </w:tcBorders>
          </w:tcPr>
          <w:p w14:paraId="7D7827D4" w14:textId="77777777" w:rsidR="00E26BBB" w:rsidRDefault="00541329">
            <w:pPr>
              <w:pStyle w:val="BodyText"/>
              <w:ind w:firstLine="0"/>
              <w:jc w:val="right"/>
              <w:rPr>
                <w:rFonts w:asciiTheme="majorBidi" w:hAnsiTheme="majorBidi" w:cstheme="majorBidi"/>
                <w:sz w:val="20"/>
              </w:rPr>
            </w:pPr>
            <w:r>
              <w:rPr>
                <w:rFonts w:asciiTheme="majorBidi" w:hAnsiTheme="majorBidi" w:cstheme="majorBidi"/>
                <w:sz w:val="20"/>
              </w:rPr>
              <w:t>10,000,000</w:t>
            </w:r>
          </w:p>
        </w:tc>
        <w:tc>
          <w:tcPr>
            <w:tcW w:w="2430" w:type="dxa"/>
            <w:tcBorders>
              <w:top w:val="single" w:sz="12" w:space="0" w:color="1F497D" w:themeColor="text2"/>
              <w:bottom w:val="single" w:sz="12" w:space="0" w:color="1F497D" w:themeColor="text2"/>
            </w:tcBorders>
            <w:shd w:val="clear" w:color="auto" w:fill="auto"/>
          </w:tcPr>
          <w:p w14:paraId="059CDB3E" w14:textId="77777777" w:rsidR="00E26BBB" w:rsidRDefault="00541329">
            <w:pPr>
              <w:pStyle w:val="BodyText"/>
              <w:ind w:firstLine="0"/>
              <w:jc w:val="right"/>
              <w:rPr>
                <w:rFonts w:asciiTheme="majorBidi" w:hAnsiTheme="majorBidi" w:cstheme="majorBidi"/>
                <w:sz w:val="20"/>
              </w:rPr>
            </w:pPr>
            <w:r>
              <w:rPr>
                <w:rFonts w:asciiTheme="majorBidi" w:hAnsiTheme="majorBidi" w:cstheme="majorBidi"/>
                <w:sz w:val="20"/>
              </w:rPr>
              <w:t>100.00%</w:t>
            </w:r>
          </w:p>
        </w:tc>
      </w:tr>
    </w:tbl>
    <w:p w14:paraId="502D8F54" w14:textId="77777777" w:rsidR="00E26BBB" w:rsidRDefault="00E26BBB">
      <w:pPr>
        <w:pStyle w:val="BodyText"/>
        <w:ind w:firstLine="0"/>
      </w:pPr>
    </w:p>
    <w:sectPr w:rsidR="00E26BBB">
      <w:pgSz w:w="15840" w:h="12240" w:orient="landscape" w:code="1"/>
      <w:pgMar w:top="1440" w:right="1440" w:bottom="1440" w:left="1440" w:header="720" w:footer="576"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egistered User" w:date="2015-06-17T14:39:00Z" w:initials="RU">
    <w:p w14:paraId="7EE05DF5" w14:textId="77777777" w:rsidR="00E26BBB" w:rsidRDefault="00541329">
      <w:pPr>
        <w:pStyle w:val="CommentText"/>
      </w:pPr>
      <w:r>
        <w:rPr>
          <w:rStyle w:val="CommentReference"/>
        </w:rPr>
        <w:annotationRef/>
      </w:r>
      <w:r>
        <w:t>The lower the better, but if you are raising $1.5M of convertible debt, this is probably as low as you can go.  Happy to discuss.</w:t>
      </w:r>
    </w:p>
  </w:comment>
  <w:comment w:id="1" w:author="Registered User" w:date="2015-06-17T14:39:00Z" w:initials="RU">
    <w:p w14:paraId="0081750C" w14:textId="77777777" w:rsidR="00E26BBB" w:rsidRDefault="00541329">
      <w:pPr>
        <w:pStyle w:val="CommentText"/>
      </w:pPr>
      <w:r>
        <w:rPr>
          <w:rStyle w:val="CommentReference"/>
        </w:rPr>
        <w:annotationRef/>
      </w:r>
      <w:r>
        <w:t>You will want this to be as low as possible, so that one lead investor or a small group of investors can drag others along. But beware of some push back if you try to go too low.</w:t>
      </w:r>
    </w:p>
  </w:comment>
  <w:comment w:id="2" w:author="Registered User" w:date="2015-06-17T14:39:00Z" w:initials="RU">
    <w:p w14:paraId="0173F659" w14:textId="77777777" w:rsidR="00E26BBB" w:rsidRDefault="00541329">
      <w:pPr>
        <w:pStyle w:val="CommentText"/>
      </w:pPr>
      <w:r>
        <w:rPr>
          <w:rStyle w:val="CommentReference"/>
        </w:rPr>
        <w:annotationRef/>
      </w:r>
      <w:r>
        <w:t>We want to be sure that we understand your Cap concept – we have calculated it as a pre-money cap.</w:t>
      </w:r>
    </w:p>
  </w:comment>
  <w:comment w:id="3" w:author="Registered User" w:date="2015-06-17T14:39:00Z" w:initials="RU">
    <w:p w14:paraId="58BE7585" w14:textId="77777777" w:rsidR="00E26BBB" w:rsidRDefault="00541329">
      <w:pPr>
        <w:pStyle w:val="CommentText"/>
      </w:pPr>
      <w:r>
        <w:rPr>
          <w:rStyle w:val="CommentReference"/>
        </w:rPr>
        <w:annotationRef/>
      </w:r>
      <w:r>
        <w:t>Calculated as a pre-money cap.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404602" w14:textId="77777777" w:rsidR="00E26BBB" w:rsidRDefault="00541329">
      <w:r>
        <w:separator/>
      </w:r>
    </w:p>
  </w:endnote>
  <w:endnote w:type="continuationSeparator" w:id="0">
    <w:p w14:paraId="01E0A54D" w14:textId="77777777" w:rsidR="00E26BBB" w:rsidRDefault="0054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FDD29" w14:textId="77777777" w:rsidR="00E26BBB" w:rsidRDefault="00E26B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48264" w14:textId="77777777" w:rsidR="00E26BBB" w:rsidRDefault="00541329">
    <w:pPr>
      <w:pStyle w:val="Footer"/>
      <w:rPr>
        <w:rStyle w:val="PageNumber"/>
      </w:rPr>
    </w:pPr>
    <w:r>
      <w:tab/>
      <w:t xml:space="preserve">- </w:t>
    </w:r>
    <w:r>
      <w:rPr>
        <w:rStyle w:val="PageNumber"/>
      </w:rPr>
      <w:fldChar w:fldCharType="begin"/>
    </w:r>
    <w:r>
      <w:rPr>
        <w:rStyle w:val="PageNumber"/>
      </w:rPr>
      <w:instrText xml:space="preserve"> PAGE </w:instrText>
    </w:r>
    <w:r>
      <w:rPr>
        <w:rStyle w:val="PageNumber"/>
      </w:rPr>
      <w:fldChar w:fldCharType="separate"/>
    </w:r>
    <w:r w:rsidR="00D03D53">
      <w:rPr>
        <w:rStyle w:val="PageNumber"/>
        <w:noProof/>
      </w:rPr>
      <w:t>7</w:t>
    </w:r>
    <w:r>
      <w:rPr>
        <w:rStyle w:val="PageNumber"/>
      </w:rPr>
      <w:fldChar w:fldCharType="end"/>
    </w:r>
    <w:r>
      <w:rPr>
        <w:rStyle w:val="PageNumber"/>
      </w:rPr>
      <w:t xml:space="preserve"> -</w:t>
    </w:r>
  </w:p>
  <w:p w14:paraId="711B0407" w14:textId="77777777" w:rsidR="00E26BBB" w:rsidRDefault="00541329">
    <w:pPr>
      <w:pStyle w:val="Footer"/>
      <w:spacing w:line="200" w:lineRule="exact"/>
      <w:rPr>
        <w:rStyle w:val="PageNumber"/>
      </w:rPr>
    </w:pPr>
    <w:r>
      <w:rPr>
        <w:rStyle w:val="zzmpTrailerItem"/>
      </w:rPr>
      <w:t>NAI-1500380686v3</w:t>
    </w: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58507" w14:textId="77777777" w:rsidR="00E26BBB" w:rsidRDefault="00541329">
    <w:pPr>
      <w:pStyle w:val="Footer"/>
      <w:spacing w:line="200" w:lineRule="exact"/>
    </w:pPr>
    <w:r>
      <w:rPr>
        <w:rStyle w:val="zzmpTrailerItem"/>
      </w:rPr>
      <w:t>NAI-1500380686v3</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7B893" w14:textId="77777777" w:rsidR="00E26BBB" w:rsidRDefault="00541329">
      <w:r>
        <w:separator/>
      </w:r>
    </w:p>
  </w:footnote>
  <w:footnote w:type="continuationSeparator" w:id="0">
    <w:tbl>
      <w:tblPr>
        <w:tblW w:w="0" w:type="auto"/>
        <w:tblBorders>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880"/>
      </w:tblGrid>
      <w:tr w:rsidR="00E26BBB" w14:paraId="7F3D0482" w14:textId="77777777">
        <w:trPr>
          <w:cantSplit/>
        </w:trPr>
        <w:tc>
          <w:tcPr>
            <w:tcW w:w="2880" w:type="dxa"/>
            <w:tcBorders>
              <w:top w:val="nil"/>
              <w:left w:val="nil"/>
              <w:bottom w:val="single" w:sz="4" w:space="0" w:color="auto"/>
              <w:right w:val="nil"/>
            </w:tcBorders>
          </w:tcPr>
          <w:p w14:paraId="68D99BDB" w14:textId="77777777" w:rsidR="00E26BBB" w:rsidRDefault="00E26BBB">
            <w:pPr>
              <w:tabs>
                <w:tab w:val="right" w:pos="2880"/>
              </w:tabs>
              <w:autoSpaceDE w:val="0"/>
              <w:autoSpaceDN w:val="0"/>
              <w:rPr>
                <w:szCs w:val="24"/>
                <w:u w:val="single"/>
              </w:rPr>
            </w:pPr>
          </w:p>
        </w:tc>
      </w:tr>
      <w:tr w:rsidR="00E26BBB" w14:paraId="38CE4C46" w14:textId="77777777">
        <w:trPr>
          <w:cantSplit/>
        </w:trPr>
        <w:tc>
          <w:tcPr>
            <w:tcW w:w="2880" w:type="dxa"/>
            <w:tcBorders>
              <w:top w:val="nil"/>
              <w:left w:val="nil"/>
              <w:bottom w:val="nil"/>
              <w:right w:val="nil"/>
            </w:tcBorders>
          </w:tcPr>
          <w:p w14:paraId="62E2FB44" w14:textId="77777777" w:rsidR="00E26BBB" w:rsidRDefault="00541329">
            <w:pPr>
              <w:tabs>
                <w:tab w:val="right" w:pos="2880"/>
              </w:tabs>
              <w:autoSpaceDE w:val="0"/>
              <w:autoSpaceDN w:val="0"/>
              <w:rPr>
                <w:sz w:val="20"/>
                <w:u w:val="single"/>
              </w:rPr>
            </w:pPr>
            <w:r>
              <w:rPr>
                <w:sz w:val="20"/>
              </w:rPr>
              <w:t>(continued…)</w:t>
            </w:r>
          </w:p>
        </w:tc>
      </w:tr>
    </w:tbl>
    <w:p w14:paraId="5D50FAD6" w14:textId="77777777" w:rsidR="00E26BBB" w:rsidRDefault="00E26BB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BA995" w14:textId="77777777" w:rsidR="00E26BBB" w:rsidRDefault="00E26B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4C1CB1" w14:textId="77777777" w:rsidR="00E26BBB" w:rsidRDefault="00E26B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9FB59" w14:textId="77777777" w:rsidR="00E26BBB" w:rsidRDefault="00541329">
    <w:pPr>
      <w:pStyle w:val="Header"/>
      <w:jc w:val="right"/>
      <w:rPr>
        <w:b/>
        <w:bCs/>
      </w:rPr>
    </w:pPr>
    <w:r>
      <w:rPr>
        <w:b/>
        <w:bCs/>
      </w:rPr>
      <w:t>Draft of June 17,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E6FED8"/>
    <w:lvl w:ilvl="0">
      <w:start w:val="1"/>
      <w:numFmt w:val="decimal"/>
      <w:pStyle w:val="ListNumber5"/>
      <w:lvlText w:val="%1."/>
      <w:lvlJc w:val="left"/>
      <w:pPr>
        <w:tabs>
          <w:tab w:val="num" w:pos="3600"/>
        </w:tabs>
        <w:ind w:left="3600" w:hanging="720"/>
      </w:pPr>
    </w:lvl>
  </w:abstractNum>
  <w:abstractNum w:abstractNumId="1">
    <w:nsid w:val="FFFFFF7D"/>
    <w:multiLevelType w:val="singleLevel"/>
    <w:tmpl w:val="E468F882"/>
    <w:lvl w:ilvl="0">
      <w:start w:val="1"/>
      <w:numFmt w:val="decimal"/>
      <w:pStyle w:val="ListNumber4"/>
      <w:lvlText w:val="%1."/>
      <w:lvlJc w:val="left"/>
      <w:pPr>
        <w:tabs>
          <w:tab w:val="num" w:pos="2880"/>
        </w:tabs>
        <w:ind w:left="2880" w:hanging="720"/>
      </w:pPr>
    </w:lvl>
  </w:abstractNum>
  <w:abstractNum w:abstractNumId="2">
    <w:nsid w:val="FFFFFF7E"/>
    <w:multiLevelType w:val="singleLevel"/>
    <w:tmpl w:val="F4726BB0"/>
    <w:lvl w:ilvl="0">
      <w:start w:val="1"/>
      <w:numFmt w:val="decimal"/>
      <w:pStyle w:val="ListNumber3"/>
      <w:lvlText w:val="%1."/>
      <w:lvlJc w:val="left"/>
      <w:pPr>
        <w:tabs>
          <w:tab w:val="num" w:pos="2160"/>
        </w:tabs>
        <w:ind w:left="2160" w:hanging="720"/>
      </w:pPr>
    </w:lvl>
  </w:abstractNum>
  <w:abstractNum w:abstractNumId="3">
    <w:nsid w:val="FFFFFF7F"/>
    <w:multiLevelType w:val="singleLevel"/>
    <w:tmpl w:val="667048C2"/>
    <w:lvl w:ilvl="0">
      <w:start w:val="1"/>
      <w:numFmt w:val="decimal"/>
      <w:pStyle w:val="ListNumber2"/>
      <w:lvlText w:val="%1."/>
      <w:lvlJc w:val="left"/>
      <w:pPr>
        <w:tabs>
          <w:tab w:val="num" w:pos="1440"/>
        </w:tabs>
        <w:ind w:left="1440" w:hanging="720"/>
      </w:pPr>
    </w:lvl>
  </w:abstractNum>
  <w:abstractNum w:abstractNumId="4">
    <w:nsid w:val="FFFFFF80"/>
    <w:multiLevelType w:val="singleLevel"/>
    <w:tmpl w:val="65F28BD0"/>
    <w:lvl w:ilvl="0">
      <w:start w:val="1"/>
      <w:numFmt w:val="bullet"/>
      <w:pStyle w:val="ListBullet5"/>
      <w:lvlText w:val=""/>
      <w:lvlJc w:val="left"/>
      <w:pPr>
        <w:tabs>
          <w:tab w:val="num" w:pos="3600"/>
        </w:tabs>
        <w:ind w:left="3600" w:hanging="720"/>
      </w:pPr>
      <w:rPr>
        <w:rFonts w:ascii="Symbol" w:hAnsi="Symbol" w:hint="default"/>
      </w:rPr>
    </w:lvl>
  </w:abstractNum>
  <w:abstractNum w:abstractNumId="5">
    <w:nsid w:val="FFFFFF81"/>
    <w:multiLevelType w:val="singleLevel"/>
    <w:tmpl w:val="229299FA"/>
    <w:lvl w:ilvl="0">
      <w:start w:val="1"/>
      <w:numFmt w:val="bullet"/>
      <w:pStyle w:val="ListBullet4"/>
      <w:lvlText w:val=""/>
      <w:lvlJc w:val="left"/>
      <w:pPr>
        <w:tabs>
          <w:tab w:val="num" w:pos="2880"/>
        </w:tabs>
        <w:ind w:left="2880" w:hanging="720"/>
      </w:pPr>
      <w:rPr>
        <w:rFonts w:ascii="Symbol" w:hAnsi="Symbol" w:hint="default"/>
      </w:rPr>
    </w:lvl>
  </w:abstractNum>
  <w:abstractNum w:abstractNumId="6">
    <w:nsid w:val="FFFFFF82"/>
    <w:multiLevelType w:val="singleLevel"/>
    <w:tmpl w:val="8A5EB7E4"/>
    <w:lvl w:ilvl="0">
      <w:start w:val="1"/>
      <w:numFmt w:val="bullet"/>
      <w:pStyle w:val="ListBullet3"/>
      <w:lvlText w:val=""/>
      <w:lvlJc w:val="left"/>
      <w:pPr>
        <w:tabs>
          <w:tab w:val="num" w:pos="2160"/>
        </w:tabs>
        <w:ind w:left="2160" w:hanging="720"/>
      </w:pPr>
      <w:rPr>
        <w:rFonts w:ascii="Symbol" w:hAnsi="Symbol" w:hint="default"/>
      </w:rPr>
    </w:lvl>
  </w:abstractNum>
  <w:abstractNum w:abstractNumId="7">
    <w:nsid w:val="FFFFFF83"/>
    <w:multiLevelType w:val="singleLevel"/>
    <w:tmpl w:val="BC14FA6E"/>
    <w:lvl w:ilvl="0">
      <w:start w:val="1"/>
      <w:numFmt w:val="bullet"/>
      <w:pStyle w:val="ListBullet2"/>
      <w:lvlText w:val=""/>
      <w:lvlJc w:val="left"/>
      <w:pPr>
        <w:tabs>
          <w:tab w:val="num" w:pos="1440"/>
        </w:tabs>
        <w:ind w:left="1440" w:hanging="720"/>
      </w:pPr>
      <w:rPr>
        <w:rFonts w:ascii="Symbol" w:hAnsi="Symbol" w:hint="default"/>
      </w:rPr>
    </w:lvl>
  </w:abstractNum>
  <w:abstractNum w:abstractNumId="8">
    <w:nsid w:val="FFFFFF88"/>
    <w:multiLevelType w:val="singleLevel"/>
    <w:tmpl w:val="37949AD4"/>
    <w:lvl w:ilvl="0">
      <w:start w:val="1"/>
      <w:numFmt w:val="decimal"/>
      <w:pStyle w:val="ListNumber"/>
      <w:lvlText w:val="%1."/>
      <w:lvlJc w:val="left"/>
      <w:pPr>
        <w:tabs>
          <w:tab w:val="num" w:pos="720"/>
        </w:tabs>
        <w:ind w:left="720" w:hanging="720"/>
      </w:pPr>
      <w:rPr>
        <w:b/>
      </w:rPr>
    </w:lvl>
  </w:abstractNum>
  <w:abstractNum w:abstractNumId="9">
    <w:nsid w:val="FFFFFF89"/>
    <w:multiLevelType w:val="singleLevel"/>
    <w:tmpl w:val="9A0C6450"/>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19260889"/>
    <w:multiLevelType w:val="multilevel"/>
    <w:tmpl w:val="9E1E63DA"/>
    <w:lvl w:ilvl="0">
      <w:start w:val="1"/>
      <w:numFmt w:val="decimal"/>
      <w:suff w:val="nothing"/>
      <w:lvlText w:val="SECTION %1"/>
      <w:lvlJc w:val="left"/>
      <w:pPr>
        <w:ind w:left="0" w:firstLine="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Restart w:val="0"/>
      <w:lvlText w:val="%4"/>
      <w:lvlJc w:val="left"/>
      <w:pPr>
        <w:tabs>
          <w:tab w:val="num" w:pos="720"/>
        </w:tabs>
        <w:ind w:left="720" w:hanging="720"/>
      </w:pPr>
    </w:lvl>
    <w:lvl w:ilvl="4">
      <w:start w:val="1"/>
      <w:numFmt w:val="lowerLetter"/>
      <w:lvlRestart w:val="0"/>
      <w:lvlText w:val="(%5)"/>
      <w:lvlJc w:val="left"/>
      <w:pPr>
        <w:tabs>
          <w:tab w:val="num" w:pos="1080"/>
        </w:tabs>
        <w:ind w:left="0" w:firstLine="720"/>
      </w:pPr>
    </w:lvl>
    <w:lvl w:ilvl="5">
      <w:start w:val="1"/>
      <w:numFmt w:val="lowerLetter"/>
      <w:lvlText w:val="%6)"/>
      <w:lvlJc w:val="left"/>
      <w:pPr>
        <w:tabs>
          <w:tab w:val="num" w:pos="2160"/>
        </w:tabs>
        <w:ind w:left="2160" w:hanging="720"/>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B717D9F"/>
    <w:multiLevelType w:val="multilevel"/>
    <w:tmpl w:val="2EFE0D9A"/>
    <w:lvl w:ilvl="0">
      <w:start w:val="1"/>
      <w:numFmt w:val="decimal"/>
      <w:lvlText w:val="%1."/>
      <w:lvlJc w:val="left"/>
      <w:pPr>
        <w:tabs>
          <w:tab w:val="num" w:pos="720"/>
        </w:tabs>
        <w:ind w:left="0" w:firstLine="0"/>
      </w:pPr>
      <w:rPr>
        <w:rFonts w:ascii="Times New Roman" w:hAnsi="Times New Roman" w:cs="Times New Roman"/>
        <w:b w:val="0"/>
        <w:i w:val="0"/>
        <w:caps w:val="0"/>
        <w:sz w:val="24"/>
        <w:u w:val="none"/>
      </w:rPr>
    </w:lvl>
    <w:lvl w:ilvl="1">
      <w:start w:val="1"/>
      <w:numFmt w:val="lowerLetter"/>
      <w:lvlText w:val="(%2)"/>
      <w:lvlJc w:val="left"/>
      <w:pPr>
        <w:tabs>
          <w:tab w:val="num" w:pos="1440"/>
        </w:tabs>
        <w:ind w:left="0" w:firstLine="720"/>
      </w:pPr>
      <w:rPr>
        <w:rFonts w:ascii="Times New Roman" w:hAnsi="Times New Roman" w:cs="Times New Roman"/>
        <w:b w:val="0"/>
        <w:i w:val="0"/>
        <w:caps w:val="0"/>
        <w:sz w:val="24"/>
        <w:u w:val="none"/>
      </w:rPr>
    </w:lvl>
    <w:lvl w:ilvl="2">
      <w:start w:val="1"/>
      <w:numFmt w:val="lowerRoman"/>
      <w:lvlText w:val="(%3)"/>
      <w:lvlJc w:val="left"/>
      <w:pPr>
        <w:tabs>
          <w:tab w:val="num" w:pos="1800"/>
        </w:tabs>
        <w:ind w:left="0" w:firstLine="1080"/>
      </w:pPr>
      <w:rPr>
        <w:rFonts w:ascii="Times New Roman" w:hAnsi="Times New Roman" w:cs="Times New Roman"/>
        <w:b w:val="0"/>
        <w:i w:val="0"/>
        <w:caps w:val="0"/>
        <w:sz w:val="24"/>
        <w:u w:val="none"/>
      </w:rPr>
    </w:lvl>
    <w:lvl w:ilvl="3">
      <w:start w:val="1"/>
      <w:numFmt w:val="upperLetter"/>
      <w:lvlText w:val="(%4)"/>
      <w:lvlJc w:val="left"/>
      <w:pPr>
        <w:tabs>
          <w:tab w:val="num" w:pos="2160"/>
        </w:tabs>
        <w:ind w:left="0" w:firstLine="1440"/>
      </w:pPr>
      <w:rPr>
        <w:rFonts w:ascii="Times New Roman" w:hAnsi="Times New Roman" w:cs="Times New Roman"/>
        <w:b w:val="0"/>
        <w:i w:val="0"/>
        <w:sz w:val="24"/>
        <w:u w:val="none"/>
      </w:rPr>
    </w:lvl>
    <w:lvl w:ilvl="4">
      <w:start w:val="1"/>
      <w:numFmt w:val="decimal"/>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lvlText w:val="%6)"/>
      <w:lvlJc w:val="left"/>
      <w:pPr>
        <w:tabs>
          <w:tab w:val="num" w:pos="3600"/>
        </w:tabs>
        <w:ind w:left="3600" w:hanging="720"/>
      </w:pPr>
      <w:rPr>
        <w:rFonts w:ascii="Times New Roman" w:hAnsi="Times New Roman" w:cs="Times New Roman"/>
        <w:b w:val="0"/>
        <w:i w:val="0"/>
        <w:caps w:val="0"/>
        <w:sz w:val="24"/>
        <w:u w:val="none"/>
      </w:rPr>
    </w:lvl>
    <w:lvl w:ilvl="6">
      <w:start w:val="1"/>
      <w:numFmt w:val="lowerRoman"/>
      <w:lvlText w:val="%7)"/>
      <w:lvlJc w:val="left"/>
      <w:pPr>
        <w:tabs>
          <w:tab w:val="num" w:pos="3600"/>
        </w:tabs>
        <w:ind w:left="3600" w:hanging="720"/>
      </w:pPr>
      <w:rPr>
        <w:rFonts w:ascii="Times New Roman" w:hAnsi="Times New Roman" w:cs="Times New Roman"/>
        <w:b w:val="0"/>
        <w:i w:val="0"/>
        <w:caps w:val="0"/>
        <w:sz w:val="24"/>
        <w:u w:val="none"/>
      </w:rPr>
    </w:lvl>
    <w:lvl w:ilvl="7">
      <w:start w:val="1"/>
      <w:numFmt w:val="upperLetter"/>
      <w:lvlText w:val="%8)"/>
      <w:lvlJc w:val="left"/>
      <w:pPr>
        <w:tabs>
          <w:tab w:val="num" w:pos="3600"/>
        </w:tabs>
        <w:ind w:left="3600" w:hanging="720"/>
      </w:pPr>
      <w:rPr>
        <w:rFonts w:ascii="Times New Roman" w:hAnsi="Times New Roman" w:cs="Times New Roman"/>
        <w:b w:val="0"/>
        <w:i w:val="0"/>
        <w:sz w:val="24"/>
        <w:u w:val="none"/>
      </w:rPr>
    </w:lvl>
    <w:lvl w:ilvl="8">
      <w:start w:val="1"/>
      <w:numFmt w:val="decimal"/>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12">
    <w:nsid w:val="1F094B2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25AA214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F3A7B8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7C34690"/>
    <w:multiLevelType w:val="multilevel"/>
    <w:tmpl w:val="2EFE0D9A"/>
    <w:name w:val="zzmpOUTLINEA||OUTLINE ARABIC|2|3|1|1|2|4||1|2|4||1|2|4||1|2|0||1|0|0||1|0|0||1|0|0||1|0|0||1|0|0||"/>
    <w:lvl w:ilvl="0">
      <w:start w:val="1"/>
      <w:numFmt w:val="decimal"/>
      <w:pStyle w:val="OUTLINEAL1"/>
      <w:lvlText w:val="%1."/>
      <w:lvlJc w:val="left"/>
      <w:pPr>
        <w:tabs>
          <w:tab w:val="num" w:pos="720"/>
        </w:tabs>
        <w:ind w:left="0" w:firstLine="0"/>
      </w:pPr>
      <w:rPr>
        <w:rFonts w:ascii="Times New Roman" w:hAnsi="Times New Roman" w:cs="Times New Roman"/>
        <w:b w:val="0"/>
        <w:i w:val="0"/>
        <w:caps w:val="0"/>
        <w:sz w:val="24"/>
        <w:u w:val="none"/>
      </w:rPr>
    </w:lvl>
    <w:lvl w:ilvl="1">
      <w:start w:val="1"/>
      <w:numFmt w:val="lowerLetter"/>
      <w:pStyle w:val="OUTLINEAL2"/>
      <w:lvlText w:val="(%2)"/>
      <w:lvlJc w:val="left"/>
      <w:pPr>
        <w:tabs>
          <w:tab w:val="num" w:pos="1260"/>
        </w:tabs>
        <w:ind w:left="-180" w:firstLine="720"/>
      </w:pPr>
      <w:rPr>
        <w:rFonts w:ascii="Times New Roman" w:hAnsi="Times New Roman" w:cs="Times New Roman"/>
        <w:b w:val="0"/>
        <w:i w:val="0"/>
        <w:caps w:val="0"/>
        <w:sz w:val="24"/>
        <w:u w:val="none"/>
      </w:rPr>
    </w:lvl>
    <w:lvl w:ilvl="2">
      <w:start w:val="1"/>
      <w:numFmt w:val="lowerRoman"/>
      <w:pStyle w:val="OUTLINEAL3"/>
      <w:lvlText w:val="(%3)"/>
      <w:lvlJc w:val="left"/>
      <w:pPr>
        <w:tabs>
          <w:tab w:val="num" w:pos="1800"/>
        </w:tabs>
        <w:ind w:left="0" w:firstLine="1080"/>
      </w:pPr>
      <w:rPr>
        <w:rFonts w:ascii="Times New Roman" w:hAnsi="Times New Roman" w:cs="Times New Roman"/>
        <w:b w:val="0"/>
        <w:i w:val="0"/>
        <w:caps w:val="0"/>
        <w:sz w:val="24"/>
        <w:u w:val="none"/>
      </w:rPr>
    </w:lvl>
    <w:lvl w:ilvl="3">
      <w:start w:val="1"/>
      <w:numFmt w:val="upperLetter"/>
      <w:pStyle w:val="OUTLINEAL4"/>
      <w:lvlText w:val="(%4)"/>
      <w:lvlJc w:val="left"/>
      <w:pPr>
        <w:tabs>
          <w:tab w:val="num" w:pos="2160"/>
        </w:tabs>
        <w:ind w:left="0" w:firstLine="1440"/>
      </w:pPr>
      <w:rPr>
        <w:rFonts w:ascii="Times New Roman" w:hAnsi="Times New Roman" w:cs="Times New Roman"/>
        <w:b w:val="0"/>
        <w:i w:val="0"/>
        <w:sz w:val="24"/>
        <w:u w:val="none"/>
      </w:rPr>
    </w:lvl>
    <w:lvl w:ilvl="4">
      <w:start w:val="1"/>
      <w:numFmt w:val="decimal"/>
      <w:pStyle w:val="OUTLINEAL5"/>
      <w:lvlText w:val="(%5)"/>
      <w:lvlJc w:val="left"/>
      <w:pPr>
        <w:tabs>
          <w:tab w:val="num" w:pos="3600"/>
        </w:tabs>
        <w:ind w:left="3600" w:hanging="720"/>
      </w:pPr>
      <w:rPr>
        <w:rFonts w:ascii="Times New Roman" w:hAnsi="Times New Roman" w:cs="Times New Roman"/>
        <w:b w:val="0"/>
        <w:i w:val="0"/>
        <w:caps w:val="0"/>
        <w:sz w:val="24"/>
        <w:u w:val="none"/>
      </w:rPr>
    </w:lvl>
    <w:lvl w:ilvl="5">
      <w:start w:val="1"/>
      <w:numFmt w:val="lowerLetter"/>
      <w:pStyle w:val="OUTLINEAL6"/>
      <w:lvlText w:val="%6)"/>
      <w:lvlJc w:val="left"/>
      <w:pPr>
        <w:tabs>
          <w:tab w:val="num" w:pos="3600"/>
        </w:tabs>
        <w:ind w:left="3600" w:hanging="720"/>
      </w:pPr>
      <w:rPr>
        <w:rFonts w:ascii="Times New Roman" w:hAnsi="Times New Roman" w:cs="Times New Roman"/>
        <w:b w:val="0"/>
        <w:i w:val="0"/>
        <w:caps w:val="0"/>
        <w:sz w:val="24"/>
        <w:u w:val="none"/>
      </w:rPr>
    </w:lvl>
    <w:lvl w:ilvl="6">
      <w:start w:val="1"/>
      <w:numFmt w:val="lowerRoman"/>
      <w:pStyle w:val="OUTLINEAL7"/>
      <w:lvlText w:val="%7)"/>
      <w:lvlJc w:val="left"/>
      <w:pPr>
        <w:tabs>
          <w:tab w:val="num" w:pos="3600"/>
        </w:tabs>
        <w:ind w:left="3600" w:hanging="720"/>
      </w:pPr>
      <w:rPr>
        <w:rFonts w:ascii="Times New Roman" w:hAnsi="Times New Roman" w:cs="Times New Roman"/>
        <w:b w:val="0"/>
        <w:i w:val="0"/>
        <w:caps w:val="0"/>
        <w:sz w:val="24"/>
        <w:u w:val="none"/>
      </w:rPr>
    </w:lvl>
    <w:lvl w:ilvl="7">
      <w:start w:val="1"/>
      <w:numFmt w:val="upperLetter"/>
      <w:pStyle w:val="OUTLINEAL8"/>
      <w:lvlText w:val="%8)"/>
      <w:lvlJc w:val="left"/>
      <w:pPr>
        <w:tabs>
          <w:tab w:val="num" w:pos="3600"/>
        </w:tabs>
        <w:ind w:left="3600" w:hanging="720"/>
      </w:pPr>
      <w:rPr>
        <w:rFonts w:ascii="Times New Roman" w:hAnsi="Times New Roman" w:cs="Times New Roman"/>
        <w:b w:val="0"/>
        <w:i w:val="0"/>
        <w:sz w:val="24"/>
        <w:u w:val="none"/>
      </w:rPr>
    </w:lvl>
    <w:lvl w:ilvl="8">
      <w:start w:val="1"/>
      <w:numFmt w:val="decimal"/>
      <w:pStyle w:val="OUTLINEAL9"/>
      <w:lvlText w:val="%9)"/>
      <w:lvlJc w:val="left"/>
      <w:pPr>
        <w:tabs>
          <w:tab w:val="num" w:pos="3600"/>
        </w:tabs>
        <w:ind w:left="3600" w:hanging="720"/>
      </w:pPr>
      <w:rPr>
        <w:rFonts w:ascii="Times New Roman" w:hAnsi="Times New Roman" w:cs="Times New Roman"/>
        <w:b w:val="0"/>
        <w:i w:val="0"/>
        <w:caps w:val="0"/>
        <w:sz w:val="24"/>
        <w:u w:val="none"/>
      </w:rPr>
    </w:lvl>
  </w:abstractNum>
  <w:abstractNum w:abstractNumId="16">
    <w:nsid w:val="742161CC"/>
    <w:multiLevelType w:val="multilevel"/>
    <w:tmpl w:val="F036FFC8"/>
    <w:name w:val="zzmpTAX||TAX|2|3|1|1|0|45||1|0|37||1|0|36||1|0|32||1|0|32||1|0|32||1|0|32||1|0|32||1|0|32||"/>
    <w:lvl w:ilvl="0">
      <w:start w:val="1"/>
      <w:numFmt w:val="upperRoman"/>
      <w:pStyle w:val="TAXL1"/>
      <w:lvlText w:val="%1."/>
      <w:lvlJc w:val="left"/>
      <w:pPr>
        <w:tabs>
          <w:tab w:val="num" w:pos="720"/>
        </w:tabs>
        <w:ind w:left="720" w:hanging="720"/>
      </w:pPr>
      <w:rPr>
        <w:rFonts w:ascii="Times New Roman" w:hAnsi="Times New Roman" w:cs="Times New Roman"/>
        <w:b/>
        <w:i w:val="0"/>
        <w:caps w:val="0"/>
        <w:sz w:val="24"/>
        <w:u w:val="none"/>
      </w:rPr>
    </w:lvl>
    <w:lvl w:ilvl="1">
      <w:start w:val="1"/>
      <w:numFmt w:val="upperLetter"/>
      <w:pStyle w:val="TAXL2"/>
      <w:lvlText w:val="%2."/>
      <w:lvlJc w:val="left"/>
      <w:pPr>
        <w:tabs>
          <w:tab w:val="num" w:pos="720"/>
        </w:tabs>
        <w:ind w:left="720" w:hanging="720"/>
      </w:pPr>
      <w:rPr>
        <w:rFonts w:ascii="Times New Roman" w:hAnsi="Times New Roman" w:cs="Times New Roman"/>
        <w:b/>
        <w:i w:val="0"/>
        <w:caps w:val="0"/>
        <w:sz w:val="24"/>
        <w:u w:val="none"/>
      </w:rPr>
    </w:lvl>
    <w:lvl w:ilvl="2">
      <w:start w:val="1"/>
      <w:numFmt w:val="decimal"/>
      <w:pStyle w:val="TAXL3"/>
      <w:lvlText w:val="%3."/>
      <w:lvlJc w:val="left"/>
      <w:pPr>
        <w:tabs>
          <w:tab w:val="num" w:pos="720"/>
        </w:tabs>
        <w:ind w:left="720" w:hanging="720"/>
      </w:pPr>
      <w:rPr>
        <w:rFonts w:ascii="Times New Roman" w:hAnsi="Times New Roman" w:cs="Times New Roman"/>
        <w:b/>
        <w:i w:val="0"/>
        <w:caps w:val="0"/>
        <w:sz w:val="24"/>
        <w:u w:val="none"/>
      </w:rPr>
    </w:lvl>
    <w:lvl w:ilvl="3">
      <w:start w:val="1"/>
      <w:numFmt w:val="decimal"/>
      <w:pStyle w:val="TAXL4"/>
      <w:isLgl/>
      <w:lvlText w:val="%3.%4"/>
      <w:lvlJc w:val="left"/>
      <w:pPr>
        <w:tabs>
          <w:tab w:val="num" w:pos="720"/>
        </w:tabs>
        <w:ind w:left="720" w:hanging="720"/>
      </w:pPr>
      <w:rPr>
        <w:rFonts w:ascii="Times New Roman" w:hAnsi="Times New Roman" w:cs="Times New Roman"/>
        <w:b/>
        <w:sz w:val="22"/>
        <w:szCs w:val="22"/>
        <w:u w:val="none"/>
      </w:rPr>
    </w:lvl>
    <w:lvl w:ilvl="4">
      <w:start w:val="1"/>
      <w:numFmt w:val="lowerLetter"/>
      <w:pStyle w:val="TAXL5"/>
      <w:lvlText w:val="(%5)"/>
      <w:lvlJc w:val="left"/>
      <w:pPr>
        <w:tabs>
          <w:tab w:val="num" w:pos="1440"/>
        </w:tabs>
        <w:ind w:left="1440" w:hanging="720"/>
      </w:pPr>
      <w:rPr>
        <w:rFonts w:ascii="Times New Roman" w:hAnsi="Times New Roman" w:cs="Times New Roman"/>
        <w:b/>
        <w:i w:val="0"/>
        <w:caps w:val="0"/>
        <w:sz w:val="22"/>
        <w:szCs w:val="22"/>
        <w:u w:val="none"/>
      </w:rPr>
    </w:lvl>
    <w:lvl w:ilvl="5">
      <w:start w:val="1"/>
      <w:numFmt w:val="lowerRoman"/>
      <w:pStyle w:val="TAXL6"/>
      <w:lvlText w:val="(%6)"/>
      <w:lvlJc w:val="left"/>
      <w:pPr>
        <w:tabs>
          <w:tab w:val="num" w:pos="2160"/>
        </w:tabs>
        <w:ind w:left="2160" w:hanging="720"/>
      </w:pPr>
      <w:rPr>
        <w:rFonts w:ascii="Times New Roman" w:hAnsi="Times New Roman" w:cs="Times New Roman"/>
        <w:b/>
        <w:i w:val="0"/>
        <w:caps w:val="0"/>
        <w:sz w:val="24"/>
        <w:u w:val="none"/>
      </w:rPr>
    </w:lvl>
    <w:lvl w:ilvl="6">
      <w:start w:val="1"/>
      <w:numFmt w:val="upperLetter"/>
      <w:pStyle w:val="TAXL7"/>
      <w:lvlText w:val="(%7)"/>
      <w:lvlJc w:val="left"/>
      <w:pPr>
        <w:tabs>
          <w:tab w:val="num" w:pos="2880"/>
        </w:tabs>
        <w:ind w:left="2880" w:hanging="720"/>
      </w:pPr>
      <w:rPr>
        <w:rFonts w:ascii="Times New Roman" w:hAnsi="Times New Roman" w:cs="Times New Roman"/>
        <w:b w:val="0"/>
        <w:i w:val="0"/>
        <w:caps w:val="0"/>
        <w:sz w:val="24"/>
        <w:u w:val="none"/>
      </w:rPr>
    </w:lvl>
    <w:lvl w:ilvl="7">
      <w:start w:val="1"/>
      <w:numFmt w:val="decimal"/>
      <w:pStyle w:val="TAXL8"/>
      <w:lvlText w:val="(%8)"/>
      <w:lvlJc w:val="left"/>
      <w:pPr>
        <w:tabs>
          <w:tab w:val="num" w:pos="3600"/>
        </w:tabs>
        <w:ind w:left="3600" w:hanging="720"/>
      </w:pPr>
      <w:rPr>
        <w:rFonts w:ascii="Times New Roman" w:hAnsi="Times New Roman" w:cs="Times New Roman"/>
        <w:b w:val="0"/>
        <w:i w:val="0"/>
        <w:caps w:val="0"/>
        <w:sz w:val="24"/>
        <w:u w:val="none"/>
      </w:rPr>
    </w:lvl>
    <w:lvl w:ilvl="8">
      <w:start w:val="1"/>
      <w:numFmt w:val="lowerLetter"/>
      <w:pStyle w:val="TAXL9"/>
      <w:lvlText w:val="%9)"/>
      <w:lvlJc w:val="left"/>
      <w:pPr>
        <w:tabs>
          <w:tab w:val="num" w:pos="4320"/>
        </w:tabs>
        <w:ind w:left="4320" w:hanging="720"/>
      </w:pPr>
      <w:rPr>
        <w:rFonts w:ascii="Times New Roman" w:hAnsi="Times New Roman" w:cs="Times New Roman"/>
        <w:b w:val="0"/>
        <w:i w:val="0"/>
        <w:caps w:val="0"/>
        <w:sz w:val="24"/>
        <w:u w:val="none"/>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8"/>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6"/>
  </w:num>
  <w:num w:numId="22">
    <w:abstractNumId w:val="5"/>
  </w:num>
  <w:num w:numId="23">
    <w:abstractNumId w:val="4"/>
  </w:num>
  <w:num w:numId="24">
    <w:abstractNumId w:val="7"/>
  </w:num>
  <w:num w:numId="25">
    <w:abstractNumId w:val="9"/>
  </w:num>
  <w:num w:numId="26">
    <w:abstractNumId w:val="3"/>
  </w:num>
  <w:num w:numId="27">
    <w:abstractNumId w:val="2"/>
  </w:num>
  <w:num w:numId="28">
    <w:abstractNumId w:val="1"/>
  </w:num>
  <w:num w:numId="29">
    <w:abstractNumId w:val="0"/>
  </w:num>
  <w:num w:numId="30">
    <w:abstractNumId w:val="13"/>
  </w:num>
  <w:num w:numId="31">
    <w:abstractNumId w:val="14"/>
  </w:num>
  <w:num w:numId="32">
    <w:abstractNumId w:val="12"/>
  </w:num>
  <w:num w:numId="33">
    <w:abstractNumId w:val="15"/>
  </w:num>
  <w:num w:numId="34">
    <w:abstractNumId w:val="11"/>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Author" w:val="0"/>
    <w:docVar w:name="85TrailerCAMNUMBER" w:val="0"/>
    <w:docVar w:name="85TrailerDate" w:val="0"/>
    <w:docVar w:name="85TrailerDateCreated" w:val="0"/>
    <w:docVar w:name="85TrailerDateField" w:val="0"/>
    <w:docVar w:name="85TrailerDateLastEdited" w:val="0"/>
    <w:docVar w:name="85TrailerDocName" w:val="0"/>
    <w:docVar w:name="85TrailerDraft" w:val="0"/>
    <w:docVar w:name="85TrailerTime" w:val="0"/>
    <w:docVar w:name="85TrailerType" w:val="100"/>
    <w:docVar w:name="MPDocID" w:val="NAI-1500380686v3"/>
    <w:docVar w:name="MPDocIDTemplate" w:val="%l-|%n|v%v"/>
    <w:docVar w:name="MPDocIDTemplateDefault" w:val="%l-|%n|v%v"/>
    <w:docVar w:name="NewDocStampType" w:val="1"/>
  </w:docVars>
  <w:rsids>
    <w:rsidRoot w:val="00E26BBB"/>
    <w:rsid w:val="00541329"/>
    <w:rsid w:val="00D03D53"/>
    <w:rsid w:val="00D238EA"/>
    <w:rsid w:val="00E26BB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22A1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BodyText"/>
    <w:qFormat/>
    <w:pPr>
      <w:keepNext/>
      <w:spacing w:after="240"/>
      <w:jc w:val="center"/>
      <w:outlineLvl w:val="0"/>
    </w:pPr>
  </w:style>
  <w:style w:type="paragraph" w:styleId="Heading2">
    <w:name w:val="heading 2"/>
    <w:basedOn w:val="Normal"/>
    <w:next w:val="BodyText"/>
    <w:qFormat/>
    <w:pPr>
      <w:keepNext/>
      <w:spacing w:after="240"/>
      <w:outlineLvl w:val="1"/>
    </w:pPr>
  </w:style>
  <w:style w:type="paragraph" w:styleId="Heading3">
    <w:name w:val="heading 3"/>
    <w:basedOn w:val="Normal"/>
    <w:next w:val="BodyText"/>
    <w:qFormat/>
    <w:pPr>
      <w:spacing w:after="240"/>
      <w:outlineLvl w:val="2"/>
    </w:pPr>
  </w:style>
  <w:style w:type="paragraph" w:styleId="Heading4">
    <w:name w:val="heading 4"/>
    <w:basedOn w:val="Normal"/>
    <w:next w:val="BodyText"/>
    <w:qFormat/>
    <w:pPr>
      <w:spacing w:after="240"/>
      <w:outlineLvl w:val="3"/>
    </w:pPr>
  </w:style>
  <w:style w:type="paragraph" w:styleId="Heading5">
    <w:name w:val="heading 5"/>
    <w:basedOn w:val="Normal"/>
    <w:next w:val="BodyText"/>
    <w:qFormat/>
    <w:pPr>
      <w:spacing w:after="240"/>
      <w:outlineLvl w:val="4"/>
    </w:pPr>
  </w:style>
  <w:style w:type="paragraph" w:styleId="Heading6">
    <w:name w:val="heading 6"/>
    <w:basedOn w:val="Normal"/>
    <w:next w:val="BodyText"/>
    <w:qFormat/>
    <w:pPr>
      <w:spacing w:after="240"/>
      <w:outlineLvl w:val="5"/>
    </w:pPr>
  </w:style>
  <w:style w:type="paragraph" w:styleId="Heading7">
    <w:name w:val="heading 7"/>
    <w:basedOn w:val="Normal"/>
    <w:next w:val="BodyText"/>
    <w:qFormat/>
    <w:pPr>
      <w:spacing w:after="240"/>
      <w:outlineLvl w:val="6"/>
    </w:pPr>
  </w:style>
  <w:style w:type="paragraph" w:styleId="Heading8">
    <w:name w:val="heading 8"/>
    <w:basedOn w:val="Normal"/>
    <w:next w:val="BodyText"/>
    <w:qFormat/>
    <w:pPr>
      <w:spacing w:after="240"/>
      <w:outlineLvl w:val="7"/>
    </w:pPr>
  </w:style>
  <w:style w:type="paragraph" w:styleId="Heading9">
    <w:name w:val="heading 9"/>
    <w:basedOn w:val="Normal"/>
    <w:next w:val="BodyText"/>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pPr>
  </w:style>
  <w:style w:type="paragraph" w:styleId="BodyText">
    <w:name w:val="Body Text"/>
    <w:basedOn w:val="Normal"/>
    <w:pPr>
      <w:spacing w:after="240"/>
      <w:ind w:firstLine="720"/>
    </w:pPr>
  </w:style>
  <w:style w:type="paragraph" w:styleId="BodyText2">
    <w:name w:val="Body Text 2"/>
    <w:basedOn w:val="Normal"/>
    <w:pPr>
      <w:spacing w:line="480" w:lineRule="auto"/>
      <w:ind w:firstLine="720"/>
    </w:pPr>
  </w:style>
  <w:style w:type="paragraph" w:styleId="BodyText3">
    <w:name w:val="Body Text 3"/>
    <w:basedOn w:val="Normal"/>
    <w:pPr>
      <w:spacing w:line="360" w:lineRule="auto"/>
      <w:ind w:firstLine="720"/>
    </w:pPr>
  </w:style>
  <w:style w:type="paragraph" w:styleId="BodyTextFirstIndent">
    <w:name w:val="Body Text First Indent"/>
    <w:basedOn w:val="Normal"/>
    <w:pPr>
      <w:spacing w:after="240"/>
      <w:ind w:firstLine="1440"/>
    </w:pPr>
  </w:style>
  <w:style w:type="paragraph" w:styleId="BodyTextIndent">
    <w:name w:val="Body Text Indent"/>
    <w:basedOn w:val="Normal"/>
    <w:pPr>
      <w:spacing w:after="240"/>
      <w:ind w:left="720"/>
    </w:pPr>
  </w:style>
  <w:style w:type="paragraph" w:styleId="BodyTextFirstIndent2">
    <w:name w:val="Body Text First Indent 2"/>
    <w:basedOn w:val="Normal"/>
    <w:pPr>
      <w:spacing w:line="480" w:lineRule="auto"/>
      <w:ind w:firstLine="144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line="360" w:lineRule="auto"/>
      <w:ind w:left="720"/>
    </w:pPr>
  </w:style>
  <w:style w:type="paragraph" w:customStyle="1" w:styleId="SubtitleLeft">
    <w:name w:val="Subtitle Left"/>
    <w:basedOn w:val="Normal"/>
    <w:next w:val="BodyText"/>
    <w:pPr>
      <w:keepNext/>
      <w:spacing w:after="240"/>
    </w:pPr>
    <w:rPr>
      <w:b/>
    </w:rPr>
  </w:style>
  <w:style w:type="paragraph" w:customStyle="1" w:styleId="TitleUnderline">
    <w:name w:val="Title Underline"/>
    <w:basedOn w:val="Normal"/>
    <w:next w:val="BodyText"/>
    <w:pPr>
      <w:keepNext/>
      <w:spacing w:after="240"/>
      <w:jc w:val="center"/>
    </w:pPr>
    <w:rPr>
      <w:b/>
      <w:caps/>
      <w:u w:val="single"/>
    </w:rPr>
  </w:style>
  <w:style w:type="paragraph" w:styleId="Caption">
    <w:name w:val="caption"/>
    <w:basedOn w:val="Normal"/>
    <w:next w:val="BodyText"/>
    <w:qFormat/>
    <w:pPr>
      <w:spacing w:after="240"/>
    </w:pPr>
    <w:rPr>
      <w:b/>
    </w:rPr>
  </w:style>
  <w:style w:type="character" w:styleId="CommentReference">
    <w:name w:val="annotation reference"/>
    <w:basedOn w:val="DefaultParagraphFont"/>
    <w:semiHidden/>
    <w:rPr>
      <w:rFonts w:ascii="Times New Roman" w:hAnsi="Times New Roman"/>
      <w:sz w:val="16"/>
    </w:rPr>
  </w:style>
  <w:style w:type="paragraph" w:styleId="CommentText">
    <w:name w:val="annotation text"/>
    <w:basedOn w:val="Normal"/>
    <w:link w:val="CommentTextChar"/>
    <w:semiHidden/>
    <w:rPr>
      <w:sz w:val="20"/>
    </w:rPr>
  </w:style>
  <w:style w:type="paragraph" w:styleId="Date">
    <w:name w:val="Date"/>
    <w:basedOn w:val="Normal"/>
    <w:next w:val="Normal"/>
    <w:pPr>
      <w:spacing w:after="240"/>
    </w:pPr>
  </w:style>
  <w:style w:type="paragraph" w:styleId="DocumentMap">
    <w:name w:val="Document Map"/>
    <w:basedOn w:val="Normal"/>
    <w:semiHidden/>
    <w:pPr>
      <w:shd w:val="clear" w:color="auto" w:fill="000080"/>
    </w:pPr>
    <w:rPr>
      <w:sz w:val="20"/>
    </w:rPr>
  </w:style>
  <w:style w:type="character" w:styleId="Emphasis">
    <w:name w:val="Emphasis"/>
    <w:basedOn w:val="DefaultParagraphFont"/>
    <w:qFormat/>
    <w:rPr>
      <w:rFonts w:ascii="Times New Roman" w:hAnsi="Times New Roman"/>
      <w:b/>
      <w:i/>
      <w:sz w:val="24"/>
    </w:rPr>
  </w:style>
  <w:style w:type="character" w:styleId="EndnoteReference">
    <w:name w:val="endnote reference"/>
    <w:basedOn w:val="DefaultParagraphFont"/>
    <w:semiHidden/>
    <w:rPr>
      <w:rFonts w:ascii="Times New Roman" w:hAnsi="Times New Roman"/>
      <w:sz w:val="24"/>
      <w:vertAlign w:val="superscript"/>
    </w:rPr>
  </w:style>
  <w:style w:type="paragraph" w:styleId="EndnoteText">
    <w:name w:val="endnote text"/>
    <w:basedOn w:val="Normal"/>
    <w:semiHidden/>
    <w:pPr>
      <w:spacing w:after="120"/>
      <w:ind w:firstLine="720"/>
    </w:pPr>
    <w:rPr>
      <w:sz w:val="20"/>
    </w:rPr>
  </w:style>
  <w:style w:type="paragraph" w:styleId="EnvelopeAddress">
    <w:name w:val="envelope address"/>
    <w:basedOn w:val="Normal"/>
    <w:pPr>
      <w:framePr w:w="7920" w:h="1987" w:hRule="exact" w:hSpace="187" w:vSpace="187" w:wrap="around" w:hAnchor="page" w:xAlign="center" w:yAlign="bottom"/>
    </w:pPr>
  </w:style>
  <w:style w:type="paragraph" w:styleId="EnvelopeReturn">
    <w:name w:val="envelope return"/>
    <w:basedOn w:val="Normal"/>
  </w:style>
  <w:style w:type="character" w:styleId="FollowedHyperlink">
    <w:name w:val="FollowedHyperlink"/>
    <w:basedOn w:val="DefaultParagraphFont"/>
    <w:rPr>
      <w:rFonts w:ascii="Times New Roman" w:hAnsi="Times New Roman"/>
      <w:color w:val="800080"/>
      <w:sz w:val="24"/>
      <w:u w:val="single"/>
    </w:rPr>
  </w:style>
  <w:style w:type="paragraph" w:styleId="Footer">
    <w:name w:val="footer"/>
    <w:basedOn w:val="Normal"/>
    <w:pPr>
      <w:tabs>
        <w:tab w:val="center" w:pos="4680"/>
        <w:tab w:val="right" w:pos="9360"/>
      </w:tabs>
    </w:p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pPr>
      <w:spacing w:after="120"/>
      <w:ind w:firstLine="720"/>
    </w:pPr>
    <w:rPr>
      <w:sz w:val="20"/>
    </w:rPr>
  </w:style>
  <w:style w:type="paragraph" w:styleId="Header">
    <w:name w:val="header"/>
    <w:basedOn w:val="Normal"/>
    <w:pPr>
      <w:tabs>
        <w:tab w:val="center" w:pos="4680"/>
        <w:tab w:val="right" w:pos="9360"/>
      </w:tabs>
    </w:pPr>
  </w:style>
  <w:style w:type="character" w:styleId="Hyperlink">
    <w:name w:val="Hyperlink"/>
    <w:basedOn w:val="DefaultParagraphFont"/>
    <w:rPr>
      <w:rFonts w:ascii="Times New Roman" w:hAnsi="Times New Roman"/>
      <w:color w:val="0000FF"/>
      <w:sz w:val="24"/>
      <w:u w:val="single"/>
    </w:rPr>
  </w:style>
  <w:style w:type="paragraph" w:styleId="Index1">
    <w:name w:val="index 1"/>
    <w:basedOn w:val="Normal"/>
    <w:next w:val="BodyText"/>
    <w:semiHidden/>
    <w:pPr>
      <w:ind w:left="245" w:hanging="245"/>
    </w:pPr>
  </w:style>
  <w:style w:type="paragraph" w:styleId="Index2">
    <w:name w:val="index 2"/>
    <w:basedOn w:val="Normal"/>
    <w:next w:val="BodyText"/>
    <w:semiHidden/>
    <w:pPr>
      <w:ind w:left="404" w:hanging="202"/>
    </w:pPr>
  </w:style>
  <w:style w:type="paragraph" w:styleId="Index3">
    <w:name w:val="index 3"/>
    <w:basedOn w:val="Normal"/>
    <w:next w:val="BodyText"/>
    <w:semiHidden/>
    <w:pPr>
      <w:ind w:left="605" w:hanging="202"/>
    </w:pPr>
  </w:style>
  <w:style w:type="paragraph" w:styleId="Index4">
    <w:name w:val="index 4"/>
    <w:basedOn w:val="Normal"/>
    <w:next w:val="BodyText"/>
    <w:semiHidden/>
    <w:pPr>
      <w:ind w:left="807" w:hanging="202"/>
    </w:pPr>
  </w:style>
  <w:style w:type="paragraph" w:styleId="Index5">
    <w:name w:val="index 5"/>
    <w:basedOn w:val="Normal"/>
    <w:next w:val="BodyText"/>
    <w:semiHidden/>
    <w:pPr>
      <w:ind w:left="1008" w:hanging="202"/>
    </w:pPr>
  </w:style>
  <w:style w:type="paragraph" w:styleId="Index6">
    <w:name w:val="index 6"/>
    <w:basedOn w:val="Normal"/>
    <w:next w:val="BodyText"/>
    <w:semiHidden/>
    <w:pPr>
      <w:ind w:left="1210" w:hanging="202"/>
    </w:pPr>
  </w:style>
  <w:style w:type="paragraph" w:styleId="Index7">
    <w:name w:val="index 7"/>
    <w:basedOn w:val="Normal"/>
    <w:next w:val="BodyText"/>
    <w:semiHidden/>
    <w:pPr>
      <w:ind w:left="1412" w:hanging="202"/>
    </w:pPr>
  </w:style>
  <w:style w:type="paragraph" w:styleId="Index8">
    <w:name w:val="index 8"/>
    <w:basedOn w:val="Normal"/>
    <w:next w:val="BodyText"/>
    <w:semiHidden/>
    <w:pPr>
      <w:ind w:left="1613" w:hanging="202"/>
    </w:pPr>
  </w:style>
  <w:style w:type="paragraph" w:styleId="Index9">
    <w:name w:val="index 9"/>
    <w:basedOn w:val="Normal"/>
    <w:next w:val="BodyText"/>
    <w:semiHidden/>
    <w:pPr>
      <w:ind w:left="1815" w:hanging="202"/>
    </w:pPr>
  </w:style>
  <w:style w:type="paragraph" w:styleId="IndexHeading">
    <w:name w:val="index heading"/>
    <w:basedOn w:val="Normal"/>
    <w:next w:val="Index1"/>
    <w:semiHidden/>
    <w:pPr>
      <w:spacing w:after="240"/>
      <w:jc w:val="center"/>
      <w:outlineLvl w:val="0"/>
    </w:pPr>
    <w:rPr>
      <w:b/>
    </w:r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rPr>
      <w:rFonts w:ascii="Times New Roman" w:hAnsi="Times New Roman"/>
      <w:sz w:val="24"/>
    </w:rPr>
  </w:style>
  <w:style w:type="paragraph" w:styleId="List">
    <w:name w:val="List"/>
    <w:basedOn w:val="Normal"/>
    <w:pPr>
      <w:ind w:left="720" w:hanging="720"/>
    </w:pPr>
  </w:style>
  <w:style w:type="paragraph" w:styleId="List2">
    <w:name w:val="List 2"/>
    <w:basedOn w:val="Normal"/>
    <w:pPr>
      <w:ind w:left="1440" w:hanging="720"/>
    </w:pPr>
  </w:style>
  <w:style w:type="paragraph" w:styleId="List3">
    <w:name w:val="List 3"/>
    <w:basedOn w:val="Normal"/>
    <w:pPr>
      <w:ind w:left="2160" w:hanging="720"/>
    </w:pPr>
  </w:style>
  <w:style w:type="paragraph" w:styleId="List4">
    <w:name w:val="List 4"/>
    <w:basedOn w:val="Normal"/>
    <w:pPr>
      <w:ind w:left="2880" w:hanging="720"/>
    </w:pPr>
  </w:style>
  <w:style w:type="paragraph" w:styleId="List5">
    <w:name w:val="List 5"/>
    <w:basedOn w:val="Normal"/>
    <w:pPr>
      <w:ind w:left="3600" w:hanging="720"/>
    </w:pPr>
  </w:style>
  <w:style w:type="paragraph" w:styleId="ListBullet">
    <w:name w:val="List Bullet"/>
    <w:basedOn w:val="Normal"/>
    <w:pPr>
      <w:numPr>
        <w:numId w:val="1"/>
      </w:numPr>
    </w:pPr>
  </w:style>
  <w:style w:type="paragraph" w:styleId="ListBullet2">
    <w:name w:val="List Bullet 2"/>
    <w:basedOn w:val="Normal"/>
    <w:pPr>
      <w:numPr>
        <w:numId w:val="3"/>
      </w:numPr>
      <w:tabs>
        <w:tab w:val="left" w:pos="720"/>
      </w:tabs>
    </w:pPr>
  </w:style>
  <w:style w:type="paragraph" w:styleId="ListBullet3">
    <w:name w:val="List Bullet 3"/>
    <w:basedOn w:val="Normal"/>
    <w:pPr>
      <w:numPr>
        <w:numId w:val="5"/>
      </w:numPr>
      <w:tabs>
        <w:tab w:val="left" w:pos="720"/>
      </w:tabs>
    </w:pPr>
  </w:style>
  <w:style w:type="paragraph" w:styleId="ListBullet4">
    <w:name w:val="List Bullet 4"/>
    <w:basedOn w:val="Normal"/>
    <w:pPr>
      <w:numPr>
        <w:numId w:val="7"/>
      </w:numPr>
    </w:pPr>
  </w:style>
  <w:style w:type="paragraph" w:styleId="ListBullet5">
    <w:name w:val="List Bullet 5"/>
    <w:basedOn w:val="Normal"/>
    <w:pPr>
      <w:numPr>
        <w:numId w:val="9"/>
      </w:numPr>
      <w:tabs>
        <w:tab w:val="left" w:pos="720"/>
      </w:tabs>
    </w:pPr>
  </w:style>
  <w:style w:type="paragraph" w:styleId="ListContinue">
    <w:name w:val="List Continue"/>
    <w:basedOn w:val="Normal"/>
    <w:pPr>
      <w:ind w:left="720"/>
    </w:pPr>
  </w:style>
  <w:style w:type="paragraph" w:styleId="ListContinue2">
    <w:name w:val="List Continue 2"/>
    <w:basedOn w:val="Normal"/>
    <w:pPr>
      <w:ind w:left="1440"/>
    </w:pPr>
  </w:style>
  <w:style w:type="paragraph" w:styleId="ListContinue3">
    <w:name w:val="List Continue 3"/>
    <w:basedOn w:val="Normal"/>
    <w:pPr>
      <w:ind w:left="2160"/>
    </w:pPr>
  </w:style>
  <w:style w:type="paragraph" w:styleId="ListContinue5">
    <w:name w:val="List Continue 5"/>
    <w:basedOn w:val="Normal"/>
    <w:pPr>
      <w:ind w:left="3600"/>
    </w:pPr>
  </w:style>
  <w:style w:type="paragraph" w:styleId="ListNumber">
    <w:name w:val="List Number"/>
    <w:basedOn w:val="Normal"/>
    <w:pPr>
      <w:numPr>
        <w:numId w:val="11"/>
      </w:numPr>
      <w:tabs>
        <w:tab w:val="left" w:pos="720"/>
      </w:tabs>
    </w:pPr>
  </w:style>
  <w:style w:type="paragraph" w:styleId="ListNumber2">
    <w:name w:val="List Number 2"/>
    <w:basedOn w:val="Normal"/>
    <w:pPr>
      <w:numPr>
        <w:numId w:val="13"/>
      </w:numPr>
      <w:tabs>
        <w:tab w:val="left" w:pos="720"/>
      </w:tabs>
    </w:pPr>
  </w:style>
  <w:style w:type="paragraph" w:styleId="ListNumber3">
    <w:name w:val="List Number 3"/>
    <w:basedOn w:val="Normal"/>
    <w:pPr>
      <w:numPr>
        <w:numId w:val="15"/>
      </w:numPr>
      <w:tabs>
        <w:tab w:val="left" w:pos="720"/>
      </w:tabs>
    </w:pPr>
  </w:style>
  <w:style w:type="paragraph" w:styleId="ListNumber4">
    <w:name w:val="List Number 4"/>
    <w:basedOn w:val="Normal"/>
    <w:pPr>
      <w:numPr>
        <w:numId w:val="17"/>
      </w:numPr>
      <w:tabs>
        <w:tab w:val="left" w:pos="720"/>
      </w:tabs>
    </w:pPr>
  </w:style>
  <w:style w:type="paragraph" w:styleId="ListNumber5">
    <w:name w:val="List Number 5"/>
    <w:basedOn w:val="Normal"/>
    <w:pPr>
      <w:numPr>
        <w:numId w:val="19"/>
      </w:numPr>
      <w:tabs>
        <w:tab w:val="left" w:pos="72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BodyText"/>
  </w:style>
  <w:style w:type="character" w:styleId="PageNumber">
    <w:name w:val="page number"/>
    <w:basedOn w:val="DefaultParagraphFont"/>
  </w:style>
  <w:style w:type="paragraph" w:styleId="PlainText">
    <w:name w:val="Plain Text"/>
    <w:basedOn w:val="Normal"/>
    <w:rPr>
      <w:sz w:val="20"/>
    </w:rPr>
  </w:style>
  <w:style w:type="paragraph" w:styleId="Quote">
    <w:name w:val="Quote"/>
    <w:basedOn w:val="Normal"/>
    <w:next w:val="BodyText"/>
    <w:qFormat/>
    <w:pPr>
      <w:spacing w:after="240"/>
      <w:ind w:left="1440" w:right="1440"/>
    </w:pPr>
  </w:style>
  <w:style w:type="paragraph" w:styleId="Salutation">
    <w:name w:val="Salutation"/>
    <w:basedOn w:val="Normal"/>
    <w:next w:val="BodyText"/>
    <w:pPr>
      <w:spacing w:after="240"/>
    </w:pPr>
  </w:style>
  <w:style w:type="paragraph" w:styleId="Signature">
    <w:name w:val="Signature"/>
    <w:basedOn w:val="Normal"/>
    <w:pPr>
      <w:tabs>
        <w:tab w:val="right" w:leader="underscore" w:pos="9360"/>
      </w:tabs>
      <w:ind w:left="4680"/>
    </w:pPr>
  </w:style>
  <w:style w:type="character" w:styleId="Strong">
    <w:name w:val="Strong"/>
    <w:basedOn w:val="DefaultParagraphFont"/>
    <w:qFormat/>
    <w:rPr>
      <w:rFonts w:ascii="Times New Roman" w:hAnsi="Times New Roman"/>
      <w:b/>
      <w:sz w:val="24"/>
    </w:rPr>
  </w:style>
  <w:style w:type="paragraph" w:styleId="Subtitle">
    <w:name w:val="Subtitle"/>
    <w:basedOn w:val="Normal"/>
    <w:next w:val="BodyText"/>
    <w:qFormat/>
    <w:pPr>
      <w:keepNext/>
      <w:spacing w:after="240"/>
      <w:jc w:val="center"/>
    </w:pPr>
    <w:rPr>
      <w:b/>
    </w:rPr>
  </w:style>
  <w:style w:type="paragraph" w:styleId="TableofAuthorities">
    <w:name w:val="table of authorities"/>
    <w:basedOn w:val="Normal"/>
    <w:next w:val="Normal"/>
    <w:semiHidden/>
    <w:pPr>
      <w:spacing w:after="120"/>
      <w:ind w:left="245" w:hanging="245"/>
    </w:pPr>
  </w:style>
  <w:style w:type="paragraph" w:styleId="TableofFigures">
    <w:name w:val="table of figures"/>
    <w:basedOn w:val="Normal"/>
    <w:next w:val="Normal"/>
    <w:semiHidden/>
    <w:pPr>
      <w:spacing w:after="120"/>
      <w:ind w:left="475" w:hanging="475"/>
    </w:pPr>
  </w:style>
  <w:style w:type="paragraph" w:styleId="Title">
    <w:name w:val="Title"/>
    <w:basedOn w:val="Normal"/>
    <w:qFormat/>
    <w:pPr>
      <w:keepNext/>
      <w:spacing w:after="240"/>
      <w:jc w:val="center"/>
    </w:pPr>
    <w:rPr>
      <w:b/>
      <w:caps/>
    </w:rPr>
  </w:style>
  <w:style w:type="paragraph" w:styleId="TOC1">
    <w:name w:val="toc 1"/>
    <w:basedOn w:val="Normal"/>
    <w:next w:val="Normal"/>
    <w:semiHidden/>
  </w:style>
  <w:style w:type="paragraph" w:styleId="TOC2">
    <w:name w:val="toc 2"/>
    <w:basedOn w:val="Normal"/>
    <w:next w:val="Normal"/>
    <w:semiHidden/>
    <w:pPr>
      <w:ind w:left="720"/>
    </w:pPr>
  </w:style>
  <w:style w:type="paragraph" w:styleId="TOC3">
    <w:name w:val="toc 3"/>
    <w:basedOn w:val="Normal"/>
    <w:next w:val="Normal"/>
    <w:semiHidden/>
    <w:pPr>
      <w:ind w:left="1440"/>
    </w:pPr>
  </w:style>
  <w:style w:type="paragraph" w:styleId="TOC4">
    <w:name w:val="toc 4"/>
    <w:basedOn w:val="Normal"/>
    <w:next w:val="Normal"/>
    <w:semiHidden/>
    <w:pPr>
      <w:ind w:left="2160"/>
    </w:pPr>
  </w:style>
  <w:style w:type="paragraph" w:styleId="TOC5">
    <w:name w:val="toc 5"/>
    <w:basedOn w:val="Normal"/>
    <w:next w:val="Normal"/>
    <w:semiHidden/>
    <w:pPr>
      <w:ind w:left="2880"/>
    </w:pPr>
  </w:style>
  <w:style w:type="paragraph" w:styleId="TOC6">
    <w:name w:val="toc 6"/>
    <w:basedOn w:val="Normal"/>
    <w:next w:val="Normal"/>
    <w:semiHidden/>
    <w:pPr>
      <w:ind w:left="3600"/>
    </w:pPr>
  </w:style>
  <w:style w:type="paragraph" w:styleId="TOC7">
    <w:name w:val="toc 7"/>
    <w:basedOn w:val="Normal"/>
    <w:next w:val="Normal"/>
    <w:semiHidden/>
    <w:pPr>
      <w:ind w:left="4320"/>
    </w:pPr>
  </w:style>
  <w:style w:type="paragraph" w:styleId="TOC8">
    <w:name w:val="toc 8"/>
    <w:basedOn w:val="Normal"/>
    <w:next w:val="Normal"/>
    <w:semiHidden/>
    <w:pPr>
      <w:ind w:left="5040"/>
    </w:pPr>
  </w:style>
  <w:style w:type="paragraph" w:styleId="TOC9">
    <w:name w:val="toc 9"/>
    <w:basedOn w:val="Normal"/>
    <w:next w:val="Normal"/>
    <w:semiHidden/>
    <w:pPr>
      <w:ind w:left="5760"/>
    </w:pPr>
  </w:style>
  <w:style w:type="paragraph" w:customStyle="1" w:styleId="SubtitleUnderline">
    <w:name w:val="Subtitle Underline"/>
    <w:basedOn w:val="Normal"/>
    <w:next w:val="BodyText"/>
    <w:pPr>
      <w:keepNext/>
      <w:spacing w:after="240"/>
      <w:jc w:val="center"/>
    </w:pPr>
    <w:rPr>
      <w:u w:val="single"/>
    </w:rPr>
  </w:style>
  <w:style w:type="paragraph" w:customStyle="1" w:styleId="BodyTextFirstIndent3">
    <w:name w:val="Body Text First Indent 3"/>
    <w:basedOn w:val="Normal"/>
    <w:pPr>
      <w:spacing w:line="360" w:lineRule="auto"/>
      <w:ind w:firstLine="1440"/>
    </w:pPr>
  </w:style>
  <w:style w:type="paragraph" w:styleId="Closing">
    <w:name w:val="Closing"/>
    <w:basedOn w:val="Normal"/>
    <w:pPr>
      <w:keepNext/>
      <w:spacing w:after="960"/>
      <w:ind w:left="4680"/>
    </w:pPr>
  </w:style>
  <w:style w:type="paragraph" w:customStyle="1" w:styleId="FootnoteContinued">
    <w:name w:val="Footnote Continued"/>
    <w:basedOn w:val="Normal"/>
    <w:pPr>
      <w:spacing w:after="120"/>
    </w:pPr>
    <w:rPr>
      <w:sz w:val="20"/>
    </w:rPr>
  </w:style>
  <w:style w:type="paragraph" w:styleId="ListContinue4">
    <w:name w:val="List Continue 4"/>
    <w:basedOn w:val="Normal"/>
    <w:pPr>
      <w:ind w:left="2880"/>
    </w:pPr>
  </w:style>
  <w:style w:type="paragraph" w:customStyle="1" w:styleId="FootnoteQuote">
    <w:name w:val="Footnote Quote"/>
    <w:basedOn w:val="Normal"/>
    <w:next w:val="FootnoteContinued"/>
    <w:pPr>
      <w:spacing w:after="120"/>
      <w:ind w:left="1440" w:right="1440"/>
    </w:pPr>
    <w:rPr>
      <w:sz w:val="20"/>
    </w:rPr>
  </w:style>
  <w:style w:type="paragraph" w:styleId="TOAHeading">
    <w:name w:val="toa heading"/>
    <w:basedOn w:val="Normal"/>
    <w:next w:val="Normal"/>
    <w:semiHidden/>
    <w:pPr>
      <w:spacing w:after="240"/>
      <w:jc w:val="center"/>
    </w:pPr>
    <w:rPr>
      <w:rFonts w:cs="Arial"/>
      <w:b/>
      <w:bCs/>
      <w:szCs w:val="24"/>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odyTextContinued">
    <w:name w:val="Body Text Continued"/>
    <w:basedOn w:val="BodyText"/>
    <w:next w:val="BodyText"/>
    <w:pPr>
      <w:ind w:firstLine="0"/>
    </w:pPr>
  </w:style>
  <w:style w:type="paragraph" w:customStyle="1" w:styleId="BlockText2">
    <w:name w:val="Block Text 2"/>
    <w:basedOn w:val="Normal"/>
    <w:pPr>
      <w:spacing w:line="480" w:lineRule="auto"/>
    </w:pPr>
  </w:style>
  <w:style w:type="paragraph" w:customStyle="1" w:styleId="BlockText3">
    <w:name w:val="Block Text 3"/>
    <w:basedOn w:val="Normal"/>
    <w:pPr>
      <w:spacing w:line="360" w:lineRule="auto"/>
    </w:pPr>
  </w:style>
  <w:style w:type="paragraph" w:customStyle="1" w:styleId="BlockText4">
    <w:name w:val="Block Text 4"/>
    <w:basedOn w:val="Normal"/>
    <w:pPr>
      <w:spacing w:after="240"/>
      <w:ind w:left="720" w:right="720"/>
    </w:pPr>
  </w:style>
  <w:style w:type="paragraph" w:customStyle="1" w:styleId="BlockText5">
    <w:name w:val="Block Text 5"/>
    <w:basedOn w:val="Normal"/>
    <w:pPr>
      <w:spacing w:line="420" w:lineRule="exact"/>
    </w:pPr>
  </w:style>
  <w:style w:type="paragraph" w:customStyle="1" w:styleId="BodyText4">
    <w:name w:val="Body Text 4"/>
    <w:basedOn w:val="Normal"/>
    <w:pPr>
      <w:spacing w:line="420" w:lineRule="exact"/>
      <w:ind w:firstLine="720"/>
    </w:pPr>
  </w:style>
  <w:style w:type="paragraph" w:customStyle="1" w:styleId="BodyTextFirstIndent4">
    <w:name w:val="Body Text First Indent 4"/>
    <w:basedOn w:val="Normal"/>
    <w:pPr>
      <w:spacing w:line="360" w:lineRule="auto"/>
      <w:ind w:firstLine="2160"/>
    </w:pPr>
  </w:style>
  <w:style w:type="paragraph" w:customStyle="1" w:styleId="BodyTextIndent4">
    <w:name w:val="Body Text Indent 4"/>
    <w:basedOn w:val="Normal"/>
    <w:pPr>
      <w:spacing w:after="240"/>
      <w:ind w:left="720" w:right="720" w:firstLine="720"/>
    </w:pPr>
  </w:style>
  <w:style w:type="paragraph" w:customStyle="1" w:styleId="BodyTextIndent5">
    <w:name w:val="Body Text Indent 5"/>
    <w:basedOn w:val="Normal"/>
    <w:pPr>
      <w:spacing w:after="240"/>
      <w:ind w:left="1440"/>
    </w:pPr>
  </w:style>
  <w:style w:type="paragraph" w:customStyle="1" w:styleId="Graphic">
    <w:name w:val="Graphic"/>
    <w:basedOn w:val="Normal"/>
    <w:pPr>
      <w:spacing w:before="120" w:after="240"/>
      <w:jc w:val="center"/>
    </w:pPr>
  </w:style>
  <w:style w:type="numbering" w:styleId="111111">
    <w:name w:val="Outline List 2"/>
    <w:basedOn w:val="NoList"/>
    <w:semiHidden/>
    <w:pPr>
      <w:numPr>
        <w:numId w:val="30"/>
      </w:numPr>
    </w:pPr>
  </w:style>
  <w:style w:type="numbering" w:styleId="1ai">
    <w:name w:val="Outline List 1"/>
    <w:basedOn w:val="NoList"/>
    <w:semiHidden/>
    <w:pPr>
      <w:numPr>
        <w:numId w:val="31"/>
      </w:numPr>
    </w:pPr>
  </w:style>
  <w:style w:type="numbering" w:styleId="ArticleSection">
    <w:name w:val="Outline List 3"/>
    <w:basedOn w:val="NoList"/>
    <w:semiHidden/>
    <w:pPr>
      <w:numPr>
        <w:numId w:val="32"/>
      </w:numPr>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AL1">
    <w:name w:val="OUTLINEA_L1"/>
    <w:basedOn w:val="Normal"/>
    <w:next w:val="BodyText"/>
    <w:pPr>
      <w:widowControl w:val="0"/>
      <w:numPr>
        <w:numId w:val="33"/>
      </w:numPr>
      <w:spacing w:after="240"/>
      <w:jc w:val="both"/>
      <w:outlineLvl w:val="0"/>
    </w:pPr>
    <w:rPr>
      <w:rFonts w:eastAsia="Times New Roman"/>
      <w:lang w:eastAsia="en-US"/>
    </w:rPr>
  </w:style>
  <w:style w:type="paragraph" w:customStyle="1" w:styleId="OUTLINEAL2">
    <w:name w:val="OUTLINEA_L2"/>
    <w:basedOn w:val="Normal"/>
    <w:next w:val="BodyText"/>
    <w:pPr>
      <w:numPr>
        <w:ilvl w:val="1"/>
        <w:numId w:val="33"/>
      </w:numPr>
      <w:spacing w:after="240"/>
      <w:jc w:val="both"/>
      <w:outlineLvl w:val="1"/>
    </w:pPr>
    <w:rPr>
      <w:rFonts w:eastAsia="Times New Roman"/>
      <w:u w:val="single"/>
      <w:lang w:eastAsia="en-US"/>
    </w:rPr>
  </w:style>
  <w:style w:type="paragraph" w:customStyle="1" w:styleId="OUTLINEAL3">
    <w:name w:val="OUTLINEA_L3"/>
    <w:basedOn w:val="Normal"/>
    <w:next w:val="BodyText"/>
    <w:pPr>
      <w:numPr>
        <w:ilvl w:val="2"/>
        <w:numId w:val="33"/>
      </w:numPr>
      <w:spacing w:after="240"/>
      <w:jc w:val="both"/>
      <w:outlineLvl w:val="2"/>
    </w:pPr>
    <w:rPr>
      <w:rFonts w:eastAsia="Times New Roman"/>
      <w:lang w:eastAsia="en-US"/>
    </w:rPr>
  </w:style>
  <w:style w:type="paragraph" w:customStyle="1" w:styleId="OUTLINEAL4">
    <w:name w:val="OUTLINEA_L4"/>
    <w:basedOn w:val="Normal"/>
    <w:next w:val="BodyText"/>
    <w:pPr>
      <w:numPr>
        <w:ilvl w:val="3"/>
        <w:numId w:val="33"/>
      </w:numPr>
      <w:spacing w:after="240"/>
      <w:jc w:val="both"/>
      <w:outlineLvl w:val="3"/>
    </w:pPr>
    <w:rPr>
      <w:rFonts w:eastAsia="Times New Roman"/>
      <w:lang w:eastAsia="en-US"/>
    </w:rPr>
  </w:style>
  <w:style w:type="paragraph" w:customStyle="1" w:styleId="OUTLINEAL5">
    <w:name w:val="OUTLINEA_L5"/>
    <w:basedOn w:val="Normal"/>
    <w:next w:val="BodyText"/>
    <w:pPr>
      <w:numPr>
        <w:ilvl w:val="4"/>
        <w:numId w:val="33"/>
      </w:numPr>
      <w:spacing w:after="240"/>
      <w:outlineLvl w:val="4"/>
    </w:pPr>
    <w:rPr>
      <w:rFonts w:eastAsia="Times New Roman"/>
      <w:lang w:eastAsia="en-US"/>
    </w:rPr>
  </w:style>
  <w:style w:type="paragraph" w:customStyle="1" w:styleId="OUTLINEAL6">
    <w:name w:val="OUTLINEA_L6"/>
    <w:basedOn w:val="Normal"/>
    <w:next w:val="BodyText"/>
    <w:pPr>
      <w:numPr>
        <w:ilvl w:val="5"/>
        <w:numId w:val="33"/>
      </w:numPr>
      <w:spacing w:after="240"/>
      <w:outlineLvl w:val="5"/>
    </w:pPr>
    <w:rPr>
      <w:rFonts w:eastAsia="Times New Roman"/>
      <w:lang w:eastAsia="en-US"/>
    </w:rPr>
  </w:style>
  <w:style w:type="paragraph" w:customStyle="1" w:styleId="OUTLINEAL7">
    <w:name w:val="OUTLINEA_L7"/>
    <w:basedOn w:val="Normal"/>
    <w:next w:val="BodyText"/>
    <w:pPr>
      <w:numPr>
        <w:ilvl w:val="6"/>
        <w:numId w:val="33"/>
      </w:numPr>
      <w:spacing w:after="240"/>
      <w:outlineLvl w:val="6"/>
    </w:pPr>
    <w:rPr>
      <w:rFonts w:eastAsia="Times New Roman"/>
      <w:lang w:eastAsia="en-US"/>
    </w:rPr>
  </w:style>
  <w:style w:type="paragraph" w:customStyle="1" w:styleId="OUTLINEAL8">
    <w:name w:val="OUTLINEA_L8"/>
    <w:basedOn w:val="Normal"/>
    <w:next w:val="BodyText"/>
    <w:pPr>
      <w:numPr>
        <w:ilvl w:val="7"/>
        <w:numId w:val="33"/>
      </w:numPr>
      <w:spacing w:after="240"/>
      <w:outlineLvl w:val="7"/>
    </w:pPr>
    <w:rPr>
      <w:rFonts w:eastAsia="Times New Roman"/>
      <w:lang w:eastAsia="en-US"/>
    </w:rPr>
  </w:style>
  <w:style w:type="paragraph" w:customStyle="1" w:styleId="OUTLINEAL9">
    <w:name w:val="OUTLINEA_L9"/>
    <w:basedOn w:val="Normal"/>
    <w:next w:val="BodyText"/>
    <w:pPr>
      <w:numPr>
        <w:ilvl w:val="8"/>
        <w:numId w:val="33"/>
      </w:numPr>
      <w:spacing w:after="240"/>
      <w:outlineLvl w:val="8"/>
    </w:pPr>
    <w:rPr>
      <w:rFonts w:eastAsia="Times New Roman"/>
      <w:lang w:eastAsia="en-US"/>
    </w:rPr>
  </w:style>
  <w:style w:type="paragraph" w:customStyle="1" w:styleId="TableStyle">
    <w:name w:val="Table Style"/>
    <w:basedOn w:val="Normal"/>
    <w:pPr>
      <w:spacing w:before="240"/>
      <w:jc w:val="both"/>
    </w:pPr>
    <w:rPr>
      <w:rFonts w:eastAsia="Times New Roman"/>
      <w:snapToGrid w:val="0"/>
      <w:lang w:eastAsia="en-US"/>
    </w:rPr>
  </w:style>
  <w:style w:type="paragraph" w:customStyle="1" w:styleId="TAXL1">
    <w:name w:val="TAX_L1"/>
    <w:basedOn w:val="Normal"/>
    <w:next w:val="BodyTextIndent"/>
    <w:pPr>
      <w:keepNext/>
      <w:numPr>
        <w:numId w:val="37"/>
      </w:numPr>
      <w:spacing w:after="240"/>
      <w:outlineLvl w:val="0"/>
    </w:pPr>
    <w:rPr>
      <w:b/>
      <w:caps/>
      <w:u w:val="single"/>
      <w:lang w:eastAsia="en-US"/>
    </w:rPr>
  </w:style>
  <w:style w:type="paragraph" w:customStyle="1" w:styleId="TAXL2">
    <w:name w:val="TAX_L2"/>
    <w:basedOn w:val="Normal"/>
    <w:next w:val="BodyTextIndent"/>
    <w:pPr>
      <w:keepNext/>
      <w:numPr>
        <w:ilvl w:val="1"/>
        <w:numId w:val="37"/>
      </w:numPr>
      <w:spacing w:after="240"/>
      <w:outlineLvl w:val="1"/>
    </w:pPr>
    <w:rPr>
      <w:b/>
      <w:u w:val="single"/>
      <w:lang w:eastAsia="en-US"/>
    </w:rPr>
  </w:style>
  <w:style w:type="paragraph" w:customStyle="1" w:styleId="TAXL3">
    <w:name w:val="TAX_L3"/>
    <w:basedOn w:val="Normal"/>
    <w:next w:val="BodyTextIndent"/>
    <w:pPr>
      <w:keepNext/>
      <w:numPr>
        <w:ilvl w:val="2"/>
        <w:numId w:val="37"/>
      </w:numPr>
      <w:spacing w:after="240"/>
      <w:outlineLvl w:val="2"/>
    </w:pPr>
    <w:rPr>
      <w:u w:val="single"/>
      <w:lang w:eastAsia="en-US"/>
    </w:rPr>
  </w:style>
  <w:style w:type="paragraph" w:customStyle="1" w:styleId="TAXL4">
    <w:name w:val="TAX_L4"/>
    <w:basedOn w:val="Normal"/>
    <w:next w:val="BodyTextIndent"/>
    <w:pPr>
      <w:numPr>
        <w:ilvl w:val="3"/>
        <w:numId w:val="37"/>
      </w:numPr>
      <w:spacing w:after="240"/>
      <w:outlineLvl w:val="3"/>
    </w:pPr>
    <w:rPr>
      <w:lang w:eastAsia="en-US"/>
    </w:rPr>
  </w:style>
  <w:style w:type="paragraph" w:customStyle="1" w:styleId="TAXL5">
    <w:name w:val="TAX_L5"/>
    <w:basedOn w:val="Normal"/>
    <w:next w:val="BodyText"/>
    <w:pPr>
      <w:numPr>
        <w:ilvl w:val="4"/>
        <w:numId w:val="37"/>
      </w:numPr>
      <w:spacing w:after="240"/>
      <w:outlineLvl w:val="4"/>
    </w:pPr>
    <w:rPr>
      <w:lang w:eastAsia="en-US"/>
    </w:rPr>
  </w:style>
  <w:style w:type="paragraph" w:customStyle="1" w:styleId="TAXL6">
    <w:name w:val="TAX_L6"/>
    <w:basedOn w:val="Normal"/>
    <w:next w:val="BodyText"/>
    <w:pPr>
      <w:numPr>
        <w:ilvl w:val="5"/>
        <w:numId w:val="37"/>
      </w:numPr>
      <w:spacing w:after="240"/>
      <w:outlineLvl w:val="5"/>
    </w:pPr>
    <w:rPr>
      <w:lang w:eastAsia="en-US"/>
    </w:rPr>
  </w:style>
  <w:style w:type="paragraph" w:customStyle="1" w:styleId="TAXL7">
    <w:name w:val="TAX_L7"/>
    <w:basedOn w:val="Normal"/>
    <w:next w:val="BodyText"/>
    <w:pPr>
      <w:numPr>
        <w:ilvl w:val="6"/>
        <w:numId w:val="37"/>
      </w:numPr>
      <w:spacing w:after="240"/>
      <w:outlineLvl w:val="6"/>
    </w:pPr>
    <w:rPr>
      <w:lang w:eastAsia="en-US"/>
    </w:rPr>
  </w:style>
  <w:style w:type="paragraph" w:customStyle="1" w:styleId="TAXL8">
    <w:name w:val="TAX_L8"/>
    <w:basedOn w:val="Normal"/>
    <w:next w:val="BodyText"/>
    <w:pPr>
      <w:numPr>
        <w:ilvl w:val="7"/>
        <w:numId w:val="37"/>
      </w:numPr>
      <w:spacing w:after="240"/>
      <w:outlineLvl w:val="7"/>
    </w:pPr>
    <w:rPr>
      <w:lang w:eastAsia="en-US"/>
    </w:rPr>
  </w:style>
  <w:style w:type="paragraph" w:customStyle="1" w:styleId="TAXL9">
    <w:name w:val="TAX_L9"/>
    <w:basedOn w:val="Normal"/>
    <w:next w:val="BodyText"/>
    <w:pPr>
      <w:numPr>
        <w:ilvl w:val="8"/>
        <w:numId w:val="37"/>
      </w:numPr>
      <w:spacing w:after="240"/>
      <w:outlineLvl w:val="8"/>
    </w:pPr>
    <w:rPr>
      <w:lang w:eastAsia="en-US"/>
    </w:rPr>
  </w:style>
  <w:style w:type="paragraph" w:styleId="CommentSubject">
    <w:name w:val="annotation subject"/>
    <w:basedOn w:val="CommentText"/>
    <w:next w:val="CommentText"/>
    <w:link w:val="CommentSubjectChar"/>
    <w:rPr>
      <w:b/>
      <w:bCs/>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BodyText"/>
    <w:qFormat/>
    <w:pPr>
      <w:keepNext/>
      <w:spacing w:after="240"/>
      <w:jc w:val="center"/>
      <w:outlineLvl w:val="0"/>
    </w:pPr>
  </w:style>
  <w:style w:type="paragraph" w:styleId="Heading2">
    <w:name w:val="heading 2"/>
    <w:basedOn w:val="Normal"/>
    <w:next w:val="BodyText"/>
    <w:qFormat/>
    <w:pPr>
      <w:keepNext/>
      <w:spacing w:after="240"/>
      <w:outlineLvl w:val="1"/>
    </w:pPr>
  </w:style>
  <w:style w:type="paragraph" w:styleId="Heading3">
    <w:name w:val="heading 3"/>
    <w:basedOn w:val="Normal"/>
    <w:next w:val="BodyText"/>
    <w:qFormat/>
    <w:pPr>
      <w:spacing w:after="240"/>
      <w:outlineLvl w:val="2"/>
    </w:pPr>
  </w:style>
  <w:style w:type="paragraph" w:styleId="Heading4">
    <w:name w:val="heading 4"/>
    <w:basedOn w:val="Normal"/>
    <w:next w:val="BodyText"/>
    <w:qFormat/>
    <w:pPr>
      <w:spacing w:after="240"/>
      <w:outlineLvl w:val="3"/>
    </w:pPr>
  </w:style>
  <w:style w:type="paragraph" w:styleId="Heading5">
    <w:name w:val="heading 5"/>
    <w:basedOn w:val="Normal"/>
    <w:next w:val="BodyText"/>
    <w:qFormat/>
    <w:pPr>
      <w:spacing w:after="240"/>
      <w:outlineLvl w:val="4"/>
    </w:pPr>
  </w:style>
  <w:style w:type="paragraph" w:styleId="Heading6">
    <w:name w:val="heading 6"/>
    <w:basedOn w:val="Normal"/>
    <w:next w:val="BodyText"/>
    <w:qFormat/>
    <w:pPr>
      <w:spacing w:after="240"/>
      <w:outlineLvl w:val="5"/>
    </w:pPr>
  </w:style>
  <w:style w:type="paragraph" w:styleId="Heading7">
    <w:name w:val="heading 7"/>
    <w:basedOn w:val="Normal"/>
    <w:next w:val="BodyText"/>
    <w:qFormat/>
    <w:pPr>
      <w:spacing w:after="240"/>
      <w:outlineLvl w:val="6"/>
    </w:pPr>
  </w:style>
  <w:style w:type="paragraph" w:styleId="Heading8">
    <w:name w:val="heading 8"/>
    <w:basedOn w:val="Normal"/>
    <w:next w:val="BodyText"/>
    <w:qFormat/>
    <w:pPr>
      <w:spacing w:after="240"/>
      <w:outlineLvl w:val="7"/>
    </w:pPr>
  </w:style>
  <w:style w:type="paragraph" w:styleId="Heading9">
    <w:name w:val="heading 9"/>
    <w:basedOn w:val="Normal"/>
    <w:next w:val="BodyText"/>
    <w:qFormat/>
    <w:p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240"/>
    </w:pPr>
  </w:style>
  <w:style w:type="paragraph" w:styleId="BodyText">
    <w:name w:val="Body Text"/>
    <w:basedOn w:val="Normal"/>
    <w:pPr>
      <w:spacing w:after="240"/>
      <w:ind w:firstLine="720"/>
    </w:pPr>
  </w:style>
  <w:style w:type="paragraph" w:styleId="BodyText2">
    <w:name w:val="Body Text 2"/>
    <w:basedOn w:val="Normal"/>
    <w:pPr>
      <w:spacing w:line="480" w:lineRule="auto"/>
      <w:ind w:firstLine="720"/>
    </w:pPr>
  </w:style>
  <w:style w:type="paragraph" w:styleId="BodyText3">
    <w:name w:val="Body Text 3"/>
    <w:basedOn w:val="Normal"/>
    <w:pPr>
      <w:spacing w:line="360" w:lineRule="auto"/>
      <w:ind w:firstLine="720"/>
    </w:pPr>
  </w:style>
  <w:style w:type="paragraph" w:styleId="BodyTextFirstIndent">
    <w:name w:val="Body Text First Indent"/>
    <w:basedOn w:val="Normal"/>
    <w:pPr>
      <w:spacing w:after="240"/>
      <w:ind w:firstLine="1440"/>
    </w:pPr>
  </w:style>
  <w:style w:type="paragraph" w:styleId="BodyTextIndent">
    <w:name w:val="Body Text Indent"/>
    <w:basedOn w:val="Normal"/>
    <w:pPr>
      <w:spacing w:after="240"/>
      <w:ind w:left="720"/>
    </w:pPr>
  </w:style>
  <w:style w:type="paragraph" w:styleId="BodyTextFirstIndent2">
    <w:name w:val="Body Text First Indent 2"/>
    <w:basedOn w:val="Normal"/>
    <w:pPr>
      <w:spacing w:line="480" w:lineRule="auto"/>
      <w:ind w:firstLine="144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line="360" w:lineRule="auto"/>
      <w:ind w:left="720"/>
    </w:pPr>
  </w:style>
  <w:style w:type="paragraph" w:customStyle="1" w:styleId="SubtitleLeft">
    <w:name w:val="Subtitle Left"/>
    <w:basedOn w:val="Normal"/>
    <w:next w:val="BodyText"/>
    <w:pPr>
      <w:keepNext/>
      <w:spacing w:after="240"/>
    </w:pPr>
    <w:rPr>
      <w:b/>
    </w:rPr>
  </w:style>
  <w:style w:type="paragraph" w:customStyle="1" w:styleId="TitleUnderline">
    <w:name w:val="Title Underline"/>
    <w:basedOn w:val="Normal"/>
    <w:next w:val="BodyText"/>
    <w:pPr>
      <w:keepNext/>
      <w:spacing w:after="240"/>
      <w:jc w:val="center"/>
    </w:pPr>
    <w:rPr>
      <w:b/>
      <w:caps/>
      <w:u w:val="single"/>
    </w:rPr>
  </w:style>
  <w:style w:type="paragraph" w:styleId="Caption">
    <w:name w:val="caption"/>
    <w:basedOn w:val="Normal"/>
    <w:next w:val="BodyText"/>
    <w:qFormat/>
    <w:pPr>
      <w:spacing w:after="240"/>
    </w:pPr>
    <w:rPr>
      <w:b/>
    </w:rPr>
  </w:style>
  <w:style w:type="character" w:styleId="CommentReference">
    <w:name w:val="annotation reference"/>
    <w:basedOn w:val="DefaultParagraphFont"/>
    <w:semiHidden/>
    <w:rPr>
      <w:rFonts w:ascii="Times New Roman" w:hAnsi="Times New Roman"/>
      <w:sz w:val="16"/>
    </w:rPr>
  </w:style>
  <w:style w:type="paragraph" w:styleId="CommentText">
    <w:name w:val="annotation text"/>
    <w:basedOn w:val="Normal"/>
    <w:link w:val="CommentTextChar"/>
    <w:semiHidden/>
    <w:rPr>
      <w:sz w:val="20"/>
    </w:rPr>
  </w:style>
  <w:style w:type="paragraph" w:styleId="Date">
    <w:name w:val="Date"/>
    <w:basedOn w:val="Normal"/>
    <w:next w:val="Normal"/>
    <w:pPr>
      <w:spacing w:after="240"/>
    </w:pPr>
  </w:style>
  <w:style w:type="paragraph" w:styleId="DocumentMap">
    <w:name w:val="Document Map"/>
    <w:basedOn w:val="Normal"/>
    <w:semiHidden/>
    <w:pPr>
      <w:shd w:val="clear" w:color="auto" w:fill="000080"/>
    </w:pPr>
    <w:rPr>
      <w:sz w:val="20"/>
    </w:rPr>
  </w:style>
  <w:style w:type="character" w:styleId="Emphasis">
    <w:name w:val="Emphasis"/>
    <w:basedOn w:val="DefaultParagraphFont"/>
    <w:qFormat/>
    <w:rPr>
      <w:rFonts w:ascii="Times New Roman" w:hAnsi="Times New Roman"/>
      <w:b/>
      <w:i/>
      <w:sz w:val="24"/>
    </w:rPr>
  </w:style>
  <w:style w:type="character" w:styleId="EndnoteReference">
    <w:name w:val="endnote reference"/>
    <w:basedOn w:val="DefaultParagraphFont"/>
    <w:semiHidden/>
    <w:rPr>
      <w:rFonts w:ascii="Times New Roman" w:hAnsi="Times New Roman"/>
      <w:sz w:val="24"/>
      <w:vertAlign w:val="superscript"/>
    </w:rPr>
  </w:style>
  <w:style w:type="paragraph" w:styleId="EndnoteText">
    <w:name w:val="endnote text"/>
    <w:basedOn w:val="Normal"/>
    <w:semiHidden/>
    <w:pPr>
      <w:spacing w:after="120"/>
      <w:ind w:firstLine="720"/>
    </w:pPr>
    <w:rPr>
      <w:sz w:val="20"/>
    </w:rPr>
  </w:style>
  <w:style w:type="paragraph" w:styleId="EnvelopeAddress">
    <w:name w:val="envelope address"/>
    <w:basedOn w:val="Normal"/>
    <w:pPr>
      <w:framePr w:w="7920" w:h="1987" w:hRule="exact" w:hSpace="187" w:vSpace="187" w:wrap="around" w:hAnchor="page" w:xAlign="center" w:yAlign="bottom"/>
    </w:pPr>
  </w:style>
  <w:style w:type="paragraph" w:styleId="EnvelopeReturn">
    <w:name w:val="envelope return"/>
    <w:basedOn w:val="Normal"/>
  </w:style>
  <w:style w:type="character" w:styleId="FollowedHyperlink">
    <w:name w:val="FollowedHyperlink"/>
    <w:basedOn w:val="DefaultParagraphFont"/>
    <w:rPr>
      <w:rFonts w:ascii="Times New Roman" w:hAnsi="Times New Roman"/>
      <w:color w:val="800080"/>
      <w:sz w:val="24"/>
      <w:u w:val="single"/>
    </w:rPr>
  </w:style>
  <w:style w:type="paragraph" w:styleId="Footer">
    <w:name w:val="footer"/>
    <w:basedOn w:val="Normal"/>
    <w:pPr>
      <w:tabs>
        <w:tab w:val="center" w:pos="4680"/>
        <w:tab w:val="right" w:pos="9360"/>
      </w:tabs>
    </w:p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pPr>
      <w:spacing w:after="120"/>
      <w:ind w:firstLine="720"/>
    </w:pPr>
    <w:rPr>
      <w:sz w:val="20"/>
    </w:rPr>
  </w:style>
  <w:style w:type="paragraph" w:styleId="Header">
    <w:name w:val="header"/>
    <w:basedOn w:val="Normal"/>
    <w:pPr>
      <w:tabs>
        <w:tab w:val="center" w:pos="4680"/>
        <w:tab w:val="right" w:pos="9360"/>
      </w:tabs>
    </w:pPr>
  </w:style>
  <w:style w:type="character" w:styleId="Hyperlink">
    <w:name w:val="Hyperlink"/>
    <w:basedOn w:val="DefaultParagraphFont"/>
    <w:rPr>
      <w:rFonts w:ascii="Times New Roman" w:hAnsi="Times New Roman"/>
      <w:color w:val="0000FF"/>
      <w:sz w:val="24"/>
      <w:u w:val="single"/>
    </w:rPr>
  </w:style>
  <w:style w:type="paragraph" w:styleId="Index1">
    <w:name w:val="index 1"/>
    <w:basedOn w:val="Normal"/>
    <w:next w:val="BodyText"/>
    <w:semiHidden/>
    <w:pPr>
      <w:ind w:left="245" w:hanging="245"/>
    </w:pPr>
  </w:style>
  <w:style w:type="paragraph" w:styleId="Index2">
    <w:name w:val="index 2"/>
    <w:basedOn w:val="Normal"/>
    <w:next w:val="BodyText"/>
    <w:semiHidden/>
    <w:pPr>
      <w:ind w:left="404" w:hanging="202"/>
    </w:pPr>
  </w:style>
  <w:style w:type="paragraph" w:styleId="Index3">
    <w:name w:val="index 3"/>
    <w:basedOn w:val="Normal"/>
    <w:next w:val="BodyText"/>
    <w:semiHidden/>
    <w:pPr>
      <w:ind w:left="605" w:hanging="202"/>
    </w:pPr>
  </w:style>
  <w:style w:type="paragraph" w:styleId="Index4">
    <w:name w:val="index 4"/>
    <w:basedOn w:val="Normal"/>
    <w:next w:val="BodyText"/>
    <w:semiHidden/>
    <w:pPr>
      <w:ind w:left="807" w:hanging="202"/>
    </w:pPr>
  </w:style>
  <w:style w:type="paragraph" w:styleId="Index5">
    <w:name w:val="index 5"/>
    <w:basedOn w:val="Normal"/>
    <w:next w:val="BodyText"/>
    <w:semiHidden/>
    <w:pPr>
      <w:ind w:left="1008" w:hanging="202"/>
    </w:pPr>
  </w:style>
  <w:style w:type="paragraph" w:styleId="Index6">
    <w:name w:val="index 6"/>
    <w:basedOn w:val="Normal"/>
    <w:next w:val="BodyText"/>
    <w:semiHidden/>
    <w:pPr>
      <w:ind w:left="1210" w:hanging="202"/>
    </w:pPr>
  </w:style>
  <w:style w:type="paragraph" w:styleId="Index7">
    <w:name w:val="index 7"/>
    <w:basedOn w:val="Normal"/>
    <w:next w:val="BodyText"/>
    <w:semiHidden/>
    <w:pPr>
      <w:ind w:left="1412" w:hanging="202"/>
    </w:pPr>
  </w:style>
  <w:style w:type="paragraph" w:styleId="Index8">
    <w:name w:val="index 8"/>
    <w:basedOn w:val="Normal"/>
    <w:next w:val="BodyText"/>
    <w:semiHidden/>
    <w:pPr>
      <w:ind w:left="1613" w:hanging="202"/>
    </w:pPr>
  </w:style>
  <w:style w:type="paragraph" w:styleId="Index9">
    <w:name w:val="index 9"/>
    <w:basedOn w:val="Normal"/>
    <w:next w:val="BodyText"/>
    <w:semiHidden/>
    <w:pPr>
      <w:ind w:left="1815" w:hanging="202"/>
    </w:pPr>
  </w:style>
  <w:style w:type="paragraph" w:styleId="IndexHeading">
    <w:name w:val="index heading"/>
    <w:basedOn w:val="Normal"/>
    <w:next w:val="Index1"/>
    <w:semiHidden/>
    <w:pPr>
      <w:spacing w:after="240"/>
      <w:jc w:val="center"/>
      <w:outlineLvl w:val="0"/>
    </w:pPr>
    <w:rPr>
      <w:b/>
    </w:rPr>
  </w:style>
  <w:style w:type="paragraph" w:customStyle="1" w:styleId="SubtitleItalic">
    <w:name w:val="Subtitle Italic"/>
    <w:basedOn w:val="Normal"/>
    <w:next w:val="BodyText"/>
    <w:pPr>
      <w:keepNext/>
      <w:spacing w:after="240"/>
      <w:jc w:val="center"/>
    </w:pPr>
    <w:rPr>
      <w:i/>
    </w:rPr>
  </w:style>
  <w:style w:type="character" w:styleId="LineNumber">
    <w:name w:val="line number"/>
    <w:basedOn w:val="DefaultParagraphFont"/>
    <w:rPr>
      <w:rFonts w:ascii="Times New Roman" w:hAnsi="Times New Roman"/>
      <w:sz w:val="24"/>
    </w:rPr>
  </w:style>
  <w:style w:type="paragraph" w:styleId="List">
    <w:name w:val="List"/>
    <w:basedOn w:val="Normal"/>
    <w:pPr>
      <w:ind w:left="720" w:hanging="720"/>
    </w:pPr>
  </w:style>
  <w:style w:type="paragraph" w:styleId="List2">
    <w:name w:val="List 2"/>
    <w:basedOn w:val="Normal"/>
    <w:pPr>
      <w:ind w:left="1440" w:hanging="720"/>
    </w:pPr>
  </w:style>
  <w:style w:type="paragraph" w:styleId="List3">
    <w:name w:val="List 3"/>
    <w:basedOn w:val="Normal"/>
    <w:pPr>
      <w:ind w:left="2160" w:hanging="720"/>
    </w:pPr>
  </w:style>
  <w:style w:type="paragraph" w:styleId="List4">
    <w:name w:val="List 4"/>
    <w:basedOn w:val="Normal"/>
    <w:pPr>
      <w:ind w:left="2880" w:hanging="720"/>
    </w:pPr>
  </w:style>
  <w:style w:type="paragraph" w:styleId="List5">
    <w:name w:val="List 5"/>
    <w:basedOn w:val="Normal"/>
    <w:pPr>
      <w:ind w:left="3600" w:hanging="720"/>
    </w:pPr>
  </w:style>
  <w:style w:type="paragraph" w:styleId="ListBullet">
    <w:name w:val="List Bullet"/>
    <w:basedOn w:val="Normal"/>
    <w:pPr>
      <w:numPr>
        <w:numId w:val="1"/>
      </w:numPr>
    </w:pPr>
  </w:style>
  <w:style w:type="paragraph" w:styleId="ListBullet2">
    <w:name w:val="List Bullet 2"/>
    <w:basedOn w:val="Normal"/>
    <w:pPr>
      <w:numPr>
        <w:numId w:val="3"/>
      </w:numPr>
      <w:tabs>
        <w:tab w:val="left" w:pos="720"/>
      </w:tabs>
    </w:pPr>
  </w:style>
  <w:style w:type="paragraph" w:styleId="ListBullet3">
    <w:name w:val="List Bullet 3"/>
    <w:basedOn w:val="Normal"/>
    <w:pPr>
      <w:numPr>
        <w:numId w:val="5"/>
      </w:numPr>
      <w:tabs>
        <w:tab w:val="left" w:pos="720"/>
      </w:tabs>
    </w:pPr>
  </w:style>
  <w:style w:type="paragraph" w:styleId="ListBullet4">
    <w:name w:val="List Bullet 4"/>
    <w:basedOn w:val="Normal"/>
    <w:pPr>
      <w:numPr>
        <w:numId w:val="7"/>
      </w:numPr>
    </w:pPr>
  </w:style>
  <w:style w:type="paragraph" w:styleId="ListBullet5">
    <w:name w:val="List Bullet 5"/>
    <w:basedOn w:val="Normal"/>
    <w:pPr>
      <w:numPr>
        <w:numId w:val="9"/>
      </w:numPr>
      <w:tabs>
        <w:tab w:val="left" w:pos="720"/>
      </w:tabs>
    </w:pPr>
  </w:style>
  <w:style w:type="paragraph" w:styleId="ListContinue">
    <w:name w:val="List Continue"/>
    <w:basedOn w:val="Normal"/>
    <w:pPr>
      <w:ind w:left="720"/>
    </w:pPr>
  </w:style>
  <w:style w:type="paragraph" w:styleId="ListContinue2">
    <w:name w:val="List Continue 2"/>
    <w:basedOn w:val="Normal"/>
    <w:pPr>
      <w:ind w:left="1440"/>
    </w:pPr>
  </w:style>
  <w:style w:type="paragraph" w:styleId="ListContinue3">
    <w:name w:val="List Continue 3"/>
    <w:basedOn w:val="Normal"/>
    <w:pPr>
      <w:ind w:left="2160"/>
    </w:pPr>
  </w:style>
  <w:style w:type="paragraph" w:styleId="ListContinue5">
    <w:name w:val="List Continue 5"/>
    <w:basedOn w:val="Normal"/>
    <w:pPr>
      <w:ind w:left="3600"/>
    </w:pPr>
  </w:style>
  <w:style w:type="paragraph" w:styleId="ListNumber">
    <w:name w:val="List Number"/>
    <w:basedOn w:val="Normal"/>
    <w:pPr>
      <w:numPr>
        <w:numId w:val="11"/>
      </w:numPr>
      <w:tabs>
        <w:tab w:val="left" w:pos="720"/>
      </w:tabs>
    </w:pPr>
  </w:style>
  <w:style w:type="paragraph" w:styleId="ListNumber2">
    <w:name w:val="List Number 2"/>
    <w:basedOn w:val="Normal"/>
    <w:pPr>
      <w:numPr>
        <w:numId w:val="13"/>
      </w:numPr>
      <w:tabs>
        <w:tab w:val="left" w:pos="720"/>
      </w:tabs>
    </w:pPr>
  </w:style>
  <w:style w:type="paragraph" w:styleId="ListNumber3">
    <w:name w:val="List Number 3"/>
    <w:basedOn w:val="Normal"/>
    <w:pPr>
      <w:numPr>
        <w:numId w:val="15"/>
      </w:numPr>
      <w:tabs>
        <w:tab w:val="left" w:pos="720"/>
      </w:tabs>
    </w:pPr>
  </w:style>
  <w:style w:type="paragraph" w:styleId="ListNumber4">
    <w:name w:val="List Number 4"/>
    <w:basedOn w:val="Normal"/>
    <w:pPr>
      <w:numPr>
        <w:numId w:val="17"/>
      </w:numPr>
      <w:tabs>
        <w:tab w:val="left" w:pos="720"/>
      </w:tabs>
    </w:pPr>
  </w:style>
  <w:style w:type="paragraph" w:styleId="ListNumber5">
    <w:name w:val="List Number 5"/>
    <w:basedOn w:val="Normal"/>
    <w:pPr>
      <w:numPr>
        <w:numId w:val="19"/>
      </w:numPr>
      <w:tabs>
        <w:tab w:val="left" w:pos="720"/>
      </w:tabs>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sz w:val="24"/>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pPr>
      <w:ind w:left="720"/>
    </w:pPr>
  </w:style>
  <w:style w:type="paragraph" w:styleId="NoteHeading">
    <w:name w:val="Note Heading"/>
    <w:basedOn w:val="Normal"/>
    <w:next w:val="BodyText"/>
  </w:style>
  <w:style w:type="character" w:styleId="PageNumber">
    <w:name w:val="page number"/>
    <w:basedOn w:val="DefaultParagraphFont"/>
  </w:style>
  <w:style w:type="paragraph" w:styleId="PlainText">
    <w:name w:val="Plain Text"/>
    <w:basedOn w:val="Normal"/>
    <w:rPr>
      <w:sz w:val="20"/>
    </w:rPr>
  </w:style>
  <w:style w:type="paragraph" w:styleId="Quote">
    <w:name w:val="Quote"/>
    <w:basedOn w:val="Normal"/>
    <w:next w:val="BodyText"/>
    <w:qFormat/>
    <w:pPr>
      <w:spacing w:after="240"/>
      <w:ind w:left="1440" w:right="1440"/>
    </w:pPr>
  </w:style>
  <w:style w:type="paragraph" w:styleId="Salutation">
    <w:name w:val="Salutation"/>
    <w:basedOn w:val="Normal"/>
    <w:next w:val="BodyText"/>
    <w:pPr>
      <w:spacing w:after="240"/>
    </w:pPr>
  </w:style>
  <w:style w:type="paragraph" w:styleId="Signature">
    <w:name w:val="Signature"/>
    <w:basedOn w:val="Normal"/>
    <w:pPr>
      <w:tabs>
        <w:tab w:val="right" w:leader="underscore" w:pos="9360"/>
      </w:tabs>
      <w:ind w:left="4680"/>
    </w:pPr>
  </w:style>
  <w:style w:type="character" w:styleId="Strong">
    <w:name w:val="Strong"/>
    <w:basedOn w:val="DefaultParagraphFont"/>
    <w:qFormat/>
    <w:rPr>
      <w:rFonts w:ascii="Times New Roman" w:hAnsi="Times New Roman"/>
      <w:b/>
      <w:sz w:val="24"/>
    </w:rPr>
  </w:style>
  <w:style w:type="paragraph" w:styleId="Subtitle">
    <w:name w:val="Subtitle"/>
    <w:basedOn w:val="Normal"/>
    <w:next w:val="BodyText"/>
    <w:qFormat/>
    <w:pPr>
      <w:keepNext/>
      <w:spacing w:after="240"/>
      <w:jc w:val="center"/>
    </w:pPr>
    <w:rPr>
      <w:b/>
    </w:rPr>
  </w:style>
  <w:style w:type="paragraph" w:styleId="TableofAuthorities">
    <w:name w:val="table of authorities"/>
    <w:basedOn w:val="Normal"/>
    <w:next w:val="Normal"/>
    <w:semiHidden/>
    <w:pPr>
      <w:spacing w:after="120"/>
      <w:ind w:left="245" w:hanging="245"/>
    </w:pPr>
  </w:style>
  <w:style w:type="paragraph" w:styleId="TableofFigures">
    <w:name w:val="table of figures"/>
    <w:basedOn w:val="Normal"/>
    <w:next w:val="Normal"/>
    <w:semiHidden/>
    <w:pPr>
      <w:spacing w:after="120"/>
      <w:ind w:left="475" w:hanging="475"/>
    </w:pPr>
  </w:style>
  <w:style w:type="paragraph" w:styleId="Title">
    <w:name w:val="Title"/>
    <w:basedOn w:val="Normal"/>
    <w:qFormat/>
    <w:pPr>
      <w:keepNext/>
      <w:spacing w:after="240"/>
      <w:jc w:val="center"/>
    </w:pPr>
    <w:rPr>
      <w:b/>
      <w:caps/>
    </w:rPr>
  </w:style>
  <w:style w:type="paragraph" w:styleId="TOC1">
    <w:name w:val="toc 1"/>
    <w:basedOn w:val="Normal"/>
    <w:next w:val="Normal"/>
    <w:semiHidden/>
  </w:style>
  <w:style w:type="paragraph" w:styleId="TOC2">
    <w:name w:val="toc 2"/>
    <w:basedOn w:val="Normal"/>
    <w:next w:val="Normal"/>
    <w:semiHidden/>
    <w:pPr>
      <w:ind w:left="720"/>
    </w:pPr>
  </w:style>
  <w:style w:type="paragraph" w:styleId="TOC3">
    <w:name w:val="toc 3"/>
    <w:basedOn w:val="Normal"/>
    <w:next w:val="Normal"/>
    <w:semiHidden/>
    <w:pPr>
      <w:ind w:left="1440"/>
    </w:pPr>
  </w:style>
  <w:style w:type="paragraph" w:styleId="TOC4">
    <w:name w:val="toc 4"/>
    <w:basedOn w:val="Normal"/>
    <w:next w:val="Normal"/>
    <w:semiHidden/>
    <w:pPr>
      <w:ind w:left="2160"/>
    </w:pPr>
  </w:style>
  <w:style w:type="paragraph" w:styleId="TOC5">
    <w:name w:val="toc 5"/>
    <w:basedOn w:val="Normal"/>
    <w:next w:val="Normal"/>
    <w:semiHidden/>
    <w:pPr>
      <w:ind w:left="2880"/>
    </w:pPr>
  </w:style>
  <w:style w:type="paragraph" w:styleId="TOC6">
    <w:name w:val="toc 6"/>
    <w:basedOn w:val="Normal"/>
    <w:next w:val="Normal"/>
    <w:semiHidden/>
    <w:pPr>
      <w:ind w:left="3600"/>
    </w:pPr>
  </w:style>
  <w:style w:type="paragraph" w:styleId="TOC7">
    <w:name w:val="toc 7"/>
    <w:basedOn w:val="Normal"/>
    <w:next w:val="Normal"/>
    <w:semiHidden/>
    <w:pPr>
      <w:ind w:left="4320"/>
    </w:pPr>
  </w:style>
  <w:style w:type="paragraph" w:styleId="TOC8">
    <w:name w:val="toc 8"/>
    <w:basedOn w:val="Normal"/>
    <w:next w:val="Normal"/>
    <w:semiHidden/>
    <w:pPr>
      <w:ind w:left="5040"/>
    </w:pPr>
  </w:style>
  <w:style w:type="paragraph" w:styleId="TOC9">
    <w:name w:val="toc 9"/>
    <w:basedOn w:val="Normal"/>
    <w:next w:val="Normal"/>
    <w:semiHidden/>
    <w:pPr>
      <w:ind w:left="5760"/>
    </w:pPr>
  </w:style>
  <w:style w:type="paragraph" w:customStyle="1" w:styleId="SubtitleUnderline">
    <w:name w:val="Subtitle Underline"/>
    <w:basedOn w:val="Normal"/>
    <w:next w:val="BodyText"/>
    <w:pPr>
      <w:keepNext/>
      <w:spacing w:after="240"/>
      <w:jc w:val="center"/>
    </w:pPr>
    <w:rPr>
      <w:u w:val="single"/>
    </w:rPr>
  </w:style>
  <w:style w:type="paragraph" w:customStyle="1" w:styleId="BodyTextFirstIndent3">
    <w:name w:val="Body Text First Indent 3"/>
    <w:basedOn w:val="Normal"/>
    <w:pPr>
      <w:spacing w:line="360" w:lineRule="auto"/>
      <w:ind w:firstLine="1440"/>
    </w:pPr>
  </w:style>
  <w:style w:type="paragraph" w:styleId="Closing">
    <w:name w:val="Closing"/>
    <w:basedOn w:val="Normal"/>
    <w:pPr>
      <w:keepNext/>
      <w:spacing w:after="960"/>
      <w:ind w:left="4680"/>
    </w:pPr>
  </w:style>
  <w:style w:type="paragraph" w:customStyle="1" w:styleId="FootnoteContinued">
    <w:name w:val="Footnote Continued"/>
    <w:basedOn w:val="Normal"/>
    <w:pPr>
      <w:spacing w:after="120"/>
    </w:pPr>
    <w:rPr>
      <w:sz w:val="20"/>
    </w:rPr>
  </w:style>
  <w:style w:type="paragraph" w:styleId="ListContinue4">
    <w:name w:val="List Continue 4"/>
    <w:basedOn w:val="Normal"/>
    <w:pPr>
      <w:ind w:left="2880"/>
    </w:pPr>
  </w:style>
  <w:style w:type="paragraph" w:customStyle="1" w:styleId="FootnoteQuote">
    <w:name w:val="Footnote Quote"/>
    <w:basedOn w:val="Normal"/>
    <w:next w:val="FootnoteContinued"/>
    <w:pPr>
      <w:spacing w:after="120"/>
      <w:ind w:left="1440" w:right="1440"/>
    </w:pPr>
    <w:rPr>
      <w:sz w:val="20"/>
    </w:rPr>
  </w:style>
  <w:style w:type="paragraph" w:styleId="TOAHeading">
    <w:name w:val="toa heading"/>
    <w:basedOn w:val="Normal"/>
    <w:next w:val="Normal"/>
    <w:semiHidden/>
    <w:pPr>
      <w:spacing w:after="240"/>
      <w:jc w:val="center"/>
    </w:pPr>
    <w:rPr>
      <w:rFonts w:cs="Arial"/>
      <w:b/>
      <w:bCs/>
      <w:szCs w:val="24"/>
    </w:rPr>
  </w:style>
  <w:style w:type="character" w:customStyle="1" w:styleId="zzmpTrailerItem">
    <w:name w:val="zzmpTrailerItem"/>
    <w:basedOn w:val="DefaultParagraphFont"/>
    <w:rPr>
      <w:rFonts w:ascii="Times New Roman" w:hAnsi="Times New Roman" w:cs="Times New Roman"/>
      <w:dstrike w:val="0"/>
      <w:noProof/>
      <w:color w:val="auto"/>
      <w:spacing w:val="0"/>
      <w:position w:val="0"/>
      <w:sz w:val="16"/>
      <w:szCs w:val="16"/>
      <w:u w:val="none"/>
      <w:effect w:val="none"/>
      <w:vertAlign w:val="baseline"/>
    </w:rPr>
  </w:style>
  <w:style w:type="paragraph" w:customStyle="1" w:styleId="BodyTextContinued">
    <w:name w:val="Body Text Continued"/>
    <w:basedOn w:val="BodyText"/>
    <w:next w:val="BodyText"/>
    <w:pPr>
      <w:ind w:firstLine="0"/>
    </w:pPr>
  </w:style>
  <w:style w:type="paragraph" w:customStyle="1" w:styleId="BlockText2">
    <w:name w:val="Block Text 2"/>
    <w:basedOn w:val="Normal"/>
    <w:pPr>
      <w:spacing w:line="480" w:lineRule="auto"/>
    </w:pPr>
  </w:style>
  <w:style w:type="paragraph" w:customStyle="1" w:styleId="BlockText3">
    <w:name w:val="Block Text 3"/>
    <w:basedOn w:val="Normal"/>
    <w:pPr>
      <w:spacing w:line="360" w:lineRule="auto"/>
    </w:pPr>
  </w:style>
  <w:style w:type="paragraph" w:customStyle="1" w:styleId="BlockText4">
    <w:name w:val="Block Text 4"/>
    <w:basedOn w:val="Normal"/>
    <w:pPr>
      <w:spacing w:after="240"/>
      <w:ind w:left="720" w:right="720"/>
    </w:pPr>
  </w:style>
  <w:style w:type="paragraph" w:customStyle="1" w:styleId="BlockText5">
    <w:name w:val="Block Text 5"/>
    <w:basedOn w:val="Normal"/>
    <w:pPr>
      <w:spacing w:line="420" w:lineRule="exact"/>
    </w:pPr>
  </w:style>
  <w:style w:type="paragraph" w:customStyle="1" w:styleId="BodyText4">
    <w:name w:val="Body Text 4"/>
    <w:basedOn w:val="Normal"/>
    <w:pPr>
      <w:spacing w:line="420" w:lineRule="exact"/>
      <w:ind w:firstLine="720"/>
    </w:pPr>
  </w:style>
  <w:style w:type="paragraph" w:customStyle="1" w:styleId="BodyTextFirstIndent4">
    <w:name w:val="Body Text First Indent 4"/>
    <w:basedOn w:val="Normal"/>
    <w:pPr>
      <w:spacing w:line="360" w:lineRule="auto"/>
      <w:ind w:firstLine="2160"/>
    </w:pPr>
  </w:style>
  <w:style w:type="paragraph" w:customStyle="1" w:styleId="BodyTextIndent4">
    <w:name w:val="Body Text Indent 4"/>
    <w:basedOn w:val="Normal"/>
    <w:pPr>
      <w:spacing w:after="240"/>
      <w:ind w:left="720" w:right="720" w:firstLine="720"/>
    </w:pPr>
  </w:style>
  <w:style w:type="paragraph" w:customStyle="1" w:styleId="BodyTextIndent5">
    <w:name w:val="Body Text Indent 5"/>
    <w:basedOn w:val="Normal"/>
    <w:pPr>
      <w:spacing w:after="240"/>
      <w:ind w:left="1440"/>
    </w:pPr>
  </w:style>
  <w:style w:type="paragraph" w:customStyle="1" w:styleId="Graphic">
    <w:name w:val="Graphic"/>
    <w:basedOn w:val="Normal"/>
    <w:pPr>
      <w:spacing w:before="120" w:after="240"/>
      <w:jc w:val="center"/>
    </w:pPr>
  </w:style>
  <w:style w:type="numbering" w:styleId="111111">
    <w:name w:val="Outline List 2"/>
    <w:basedOn w:val="NoList"/>
    <w:semiHidden/>
    <w:pPr>
      <w:numPr>
        <w:numId w:val="30"/>
      </w:numPr>
    </w:pPr>
  </w:style>
  <w:style w:type="numbering" w:styleId="1ai">
    <w:name w:val="Outline List 1"/>
    <w:basedOn w:val="NoList"/>
    <w:semiHidden/>
    <w:pPr>
      <w:numPr>
        <w:numId w:val="31"/>
      </w:numPr>
    </w:pPr>
  </w:style>
  <w:style w:type="numbering" w:styleId="ArticleSection">
    <w:name w:val="Outline List 3"/>
    <w:basedOn w:val="NoList"/>
    <w:semiHidden/>
    <w:pPr>
      <w:numPr>
        <w:numId w:val="32"/>
      </w:numPr>
    </w:p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UTLINEAL1">
    <w:name w:val="OUTLINEA_L1"/>
    <w:basedOn w:val="Normal"/>
    <w:next w:val="BodyText"/>
    <w:pPr>
      <w:widowControl w:val="0"/>
      <w:numPr>
        <w:numId w:val="33"/>
      </w:numPr>
      <w:spacing w:after="240"/>
      <w:jc w:val="both"/>
      <w:outlineLvl w:val="0"/>
    </w:pPr>
    <w:rPr>
      <w:rFonts w:eastAsia="Times New Roman"/>
      <w:lang w:eastAsia="en-US"/>
    </w:rPr>
  </w:style>
  <w:style w:type="paragraph" w:customStyle="1" w:styleId="OUTLINEAL2">
    <w:name w:val="OUTLINEA_L2"/>
    <w:basedOn w:val="Normal"/>
    <w:next w:val="BodyText"/>
    <w:pPr>
      <w:numPr>
        <w:ilvl w:val="1"/>
        <w:numId w:val="33"/>
      </w:numPr>
      <w:spacing w:after="240"/>
      <w:jc w:val="both"/>
      <w:outlineLvl w:val="1"/>
    </w:pPr>
    <w:rPr>
      <w:rFonts w:eastAsia="Times New Roman"/>
      <w:u w:val="single"/>
      <w:lang w:eastAsia="en-US"/>
    </w:rPr>
  </w:style>
  <w:style w:type="paragraph" w:customStyle="1" w:styleId="OUTLINEAL3">
    <w:name w:val="OUTLINEA_L3"/>
    <w:basedOn w:val="Normal"/>
    <w:next w:val="BodyText"/>
    <w:pPr>
      <w:numPr>
        <w:ilvl w:val="2"/>
        <w:numId w:val="33"/>
      </w:numPr>
      <w:spacing w:after="240"/>
      <w:jc w:val="both"/>
      <w:outlineLvl w:val="2"/>
    </w:pPr>
    <w:rPr>
      <w:rFonts w:eastAsia="Times New Roman"/>
      <w:lang w:eastAsia="en-US"/>
    </w:rPr>
  </w:style>
  <w:style w:type="paragraph" w:customStyle="1" w:styleId="OUTLINEAL4">
    <w:name w:val="OUTLINEA_L4"/>
    <w:basedOn w:val="Normal"/>
    <w:next w:val="BodyText"/>
    <w:pPr>
      <w:numPr>
        <w:ilvl w:val="3"/>
        <w:numId w:val="33"/>
      </w:numPr>
      <w:spacing w:after="240"/>
      <w:jc w:val="both"/>
      <w:outlineLvl w:val="3"/>
    </w:pPr>
    <w:rPr>
      <w:rFonts w:eastAsia="Times New Roman"/>
      <w:lang w:eastAsia="en-US"/>
    </w:rPr>
  </w:style>
  <w:style w:type="paragraph" w:customStyle="1" w:styleId="OUTLINEAL5">
    <w:name w:val="OUTLINEA_L5"/>
    <w:basedOn w:val="Normal"/>
    <w:next w:val="BodyText"/>
    <w:pPr>
      <w:numPr>
        <w:ilvl w:val="4"/>
        <w:numId w:val="33"/>
      </w:numPr>
      <w:spacing w:after="240"/>
      <w:outlineLvl w:val="4"/>
    </w:pPr>
    <w:rPr>
      <w:rFonts w:eastAsia="Times New Roman"/>
      <w:lang w:eastAsia="en-US"/>
    </w:rPr>
  </w:style>
  <w:style w:type="paragraph" w:customStyle="1" w:styleId="OUTLINEAL6">
    <w:name w:val="OUTLINEA_L6"/>
    <w:basedOn w:val="Normal"/>
    <w:next w:val="BodyText"/>
    <w:pPr>
      <w:numPr>
        <w:ilvl w:val="5"/>
        <w:numId w:val="33"/>
      </w:numPr>
      <w:spacing w:after="240"/>
      <w:outlineLvl w:val="5"/>
    </w:pPr>
    <w:rPr>
      <w:rFonts w:eastAsia="Times New Roman"/>
      <w:lang w:eastAsia="en-US"/>
    </w:rPr>
  </w:style>
  <w:style w:type="paragraph" w:customStyle="1" w:styleId="OUTLINEAL7">
    <w:name w:val="OUTLINEA_L7"/>
    <w:basedOn w:val="Normal"/>
    <w:next w:val="BodyText"/>
    <w:pPr>
      <w:numPr>
        <w:ilvl w:val="6"/>
        <w:numId w:val="33"/>
      </w:numPr>
      <w:spacing w:after="240"/>
      <w:outlineLvl w:val="6"/>
    </w:pPr>
    <w:rPr>
      <w:rFonts w:eastAsia="Times New Roman"/>
      <w:lang w:eastAsia="en-US"/>
    </w:rPr>
  </w:style>
  <w:style w:type="paragraph" w:customStyle="1" w:styleId="OUTLINEAL8">
    <w:name w:val="OUTLINEA_L8"/>
    <w:basedOn w:val="Normal"/>
    <w:next w:val="BodyText"/>
    <w:pPr>
      <w:numPr>
        <w:ilvl w:val="7"/>
        <w:numId w:val="33"/>
      </w:numPr>
      <w:spacing w:after="240"/>
      <w:outlineLvl w:val="7"/>
    </w:pPr>
    <w:rPr>
      <w:rFonts w:eastAsia="Times New Roman"/>
      <w:lang w:eastAsia="en-US"/>
    </w:rPr>
  </w:style>
  <w:style w:type="paragraph" w:customStyle="1" w:styleId="OUTLINEAL9">
    <w:name w:val="OUTLINEA_L9"/>
    <w:basedOn w:val="Normal"/>
    <w:next w:val="BodyText"/>
    <w:pPr>
      <w:numPr>
        <w:ilvl w:val="8"/>
        <w:numId w:val="33"/>
      </w:numPr>
      <w:spacing w:after="240"/>
      <w:outlineLvl w:val="8"/>
    </w:pPr>
    <w:rPr>
      <w:rFonts w:eastAsia="Times New Roman"/>
      <w:lang w:eastAsia="en-US"/>
    </w:rPr>
  </w:style>
  <w:style w:type="paragraph" w:customStyle="1" w:styleId="TableStyle">
    <w:name w:val="Table Style"/>
    <w:basedOn w:val="Normal"/>
    <w:pPr>
      <w:spacing w:before="240"/>
      <w:jc w:val="both"/>
    </w:pPr>
    <w:rPr>
      <w:rFonts w:eastAsia="Times New Roman"/>
      <w:snapToGrid w:val="0"/>
      <w:lang w:eastAsia="en-US"/>
    </w:rPr>
  </w:style>
  <w:style w:type="paragraph" w:customStyle="1" w:styleId="TAXL1">
    <w:name w:val="TAX_L1"/>
    <w:basedOn w:val="Normal"/>
    <w:next w:val="BodyTextIndent"/>
    <w:pPr>
      <w:keepNext/>
      <w:numPr>
        <w:numId w:val="37"/>
      </w:numPr>
      <w:spacing w:after="240"/>
      <w:outlineLvl w:val="0"/>
    </w:pPr>
    <w:rPr>
      <w:b/>
      <w:caps/>
      <w:u w:val="single"/>
      <w:lang w:eastAsia="en-US"/>
    </w:rPr>
  </w:style>
  <w:style w:type="paragraph" w:customStyle="1" w:styleId="TAXL2">
    <w:name w:val="TAX_L2"/>
    <w:basedOn w:val="Normal"/>
    <w:next w:val="BodyTextIndent"/>
    <w:pPr>
      <w:keepNext/>
      <w:numPr>
        <w:ilvl w:val="1"/>
        <w:numId w:val="37"/>
      </w:numPr>
      <w:spacing w:after="240"/>
      <w:outlineLvl w:val="1"/>
    </w:pPr>
    <w:rPr>
      <w:b/>
      <w:u w:val="single"/>
      <w:lang w:eastAsia="en-US"/>
    </w:rPr>
  </w:style>
  <w:style w:type="paragraph" w:customStyle="1" w:styleId="TAXL3">
    <w:name w:val="TAX_L3"/>
    <w:basedOn w:val="Normal"/>
    <w:next w:val="BodyTextIndent"/>
    <w:pPr>
      <w:keepNext/>
      <w:numPr>
        <w:ilvl w:val="2"/>
        <w:numId w:val="37"/>
      </w:numPr>
      <w:spacing w:after="240"/>
      <w:outlineLvl w:val="2"/>
    </w:pPr>
    <w:rPr>
      <w:u w:val="single"/>
      <w:lang w:eastAsia="en-US"/>
    </w:rPr>
  </w:style>
  <w:style w:type="paragraph" w:customStyle="1" w:styleId="TAXL4">
    <w:name w:val="TAX_L4"/>
    <w:basedOn w:val="Normal"/>
    <w:next w:val="BodyTextIndent"/>
    <w:pPr>
      <w:numPr>
        <w:ilvl w:val="3"/>
        <w:numId w:val="37"/>
      </w:numPr>
      <w:spacing w:after="240"/>
      <w:outlineLvl w:val="3"/>
    </w:pPr>
    <w:rPr>
      <w:lang w:eastAsia="en-US"/>
    </w:rPr>
  </w:style>
  <w:style w:type="paragraph" w:customStyle="1" w:styleId="TAXL5">
    <w:name w:val="TAX_L5"/>
    <w:basedOn w:val="Normal"/>
    <w:next w:val="BodyText"/>
    <w:pPr>
      <w:numPr>
        <w:ilvl w:val="4"/>
        <w:numId w:val="37"/>
      </w:numPr>
      <w:spacing w:after="240"/>
      <w:outlineLvl w:val="4"/>
    </w:pPr>
    <w:rPr>
      <w:lang w:eastAsia="en-US"/>
    </w:rPr>
  </w:style>
  <w:style w:type="paragraph" w:customStyle="1" w:styleId="TAXL6">
    <w:name w:val="TAX_L6"/>
    <w:basedOn w:val="Normal"/>
    <w:next w:val="BodyText"/>
    <w:pPr>
      <w:numPr>
        <w:ilvl w:val="5"/>
        <w:numId w:val="37"/>
      </w:numPr>
      <w:spacing w:after="240"/>
      <w:outlineLvl w:val="5"/>
    </w:pPr>
    <w:rPr>
      <w:lang w:eastAsia="en-US"/>
    </w:rPr>
  </w:style>
  <w:style w:type="paragraph" w:customStyle="1" w:styleId="TAXL7">
    <w:name w:val="TAX_L7"/>
    <w:basedOn w:val="Normal"/>
    <w:next w:val="BodyText"/>
    <w:pPr>
      <w:numPr>
        <w:ilvl w:val="6"/>
        <w:numId w:val="37"/>
      </w:numPr>
      <w:spacing w:after="240"/>
      <w:outlineLvl w:val="6"/>
    </w:pPr>
    <w:rPr>
      <w:lang w:eastAsia="en-US"/>
    </w:rPr>
  </w:style>
  <w:style w:type="paragraph" w:customStyle="1" w:styleId="TAXL8">
    <w:name w:val="TAX_L8"/>
    <w:basedOn w:val="Normal"/>
    <w:next w:val="BodyText"/>
    <w:pPr>
      <w:numPr>
        <w:ilvl w:val="7"/>
        <w:numId w:val="37"/>
      </w:numPr>
      <w:spacing w:after="240"/>
      <w:outlineLvl w:val="7"/>
    </w:pPr>
    <w:rPr>
      <w:lang w:eastAsia="en-US"/>
    </w:rPr>
  </w:style>
  <w:style w:type="paragraph" w:customStyle="1" w:styleId="TAXL9">
    <w:name w:val="TAX_L9"/>
    <w:basedOn w:val="Normal"/>
    <w:next w:val="BodyText"/>
    <w:pPr>
      <w:numPr>
        <w:ilvl w:val="8"/>
        <w:numId w:val="37"/>
      </w:numPr>
      <w:spacing w:after="240"/>
      <w:outlineLvl w:val="8"/>
    </w:pPr>
    <w:rPr>
      <w:lang w:eastAsia="en-US"/>
    </w:rPr>
  </w:style>
  <w:style w:type="paragraph" w:styleId="CommentSubject">
    <w:name w:val="annotation subject"/>
    <w:basedOn w:val="CommentText"/>
    <w:next w:val="CommentText"/>
    <w:link w:val="CommentSubjectChar"/>
    <w:rPr>
      <w:b/>
      <w:bCs/>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07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eneral%20L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B136A-1EC4-1244-95AF-83AEF4978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office\templates\General Ltr.dot</Template>
  <TotalTime>10</TotalTime>
  <Pages>9</Pages>
  <Words>2260</Words>
  <Characters>12883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subject>
  <dc:creator>
  </dc:creator>
  <cp:keywords>
  </cp:keywords>
  <dc:description>
  </dc:description>
  <cp:lastModifiedBy>Matthew Price</cp:lastModifiedBy>
  <cp:revision>4</cp:revision>
  <cp:lastPrinted>2015-06-17T21:57:00Z</cp:lastPrinted>
  <dcterms:created xsi:type="dcterms:W3CDTF">2015-10-20T23:41:00Z</dcterms:created>
  <dcterms:modified xsi:type="dcterms:W3CDTF">2016-08-04T21:00:00Z</dcterms:modified>
</cp:coreProperties>
</file>