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6CD" w:rsidRPr="007676CD" w:rsidRDefault="007676CD" w:rsidP="001221F8">
      <w:pPr>
        <w:pStyle w:val="NormalWeb"/>
        <w:rPr>
          <w:rFonts w:ascii="Arial" w:hAnsi="Arial" w:cs="Arial"/>
          <w:b/>
        </w:rPr>
      </w:pPr>
      <w:r w:rsidRPr="007676CD">
        <w:rPr>
          <w:rFonts w:ascii="Arial" w:hAnsi="Arial" w:cs="Arial"/>
          <w:b/>
        </w:rPr>
        <w:t>Halotechnics response to action items</w:t>
      </w:r>
    </w:p>
    <w:p w:rsidR="001221F8" w:rsidRDefault="001221F8" w:rsidP="001221F8">
      <w:pPr>
        <w:pStyle w:val="NormalWeb"/>
      </w:pPr>
      <w:r>
        <w:rPr>
          <w:rFonts w:ascii="Arial" w:hAnsi="Arial" w:cs="Arial"/>
        </w:rPr>
        <w:t>Action items from the Panel:</w:t>
      </w:r>
    </w:p>
    <w:p w:rsidR="001221F8" w:rsidRDefault="001221F8" w:rsidP="001221F8">
      <w:pPr>
        <w:pStyle w:val="NormalWeb"/>
        <w:rPr>
          <w:rFonts w:ascii="Arial" w:hAnsi="Arial" w:cs="Arial"/>
        </w:rPr>
      </w:pPr>
      <w:r>
        <w:rPr>
          <w:rFonts w:ascii="Arial" w:hAnsi="Arial" w:cs="Arial"/>
        </w:rPr>
        <w:t>1.  The key innovative aspect to the proposed project is the use of a kind of “combinatorial chemistry” approach to developing new eutectic salts from a wide range of possible compositions.  Can you explain how much of this approach is new to this particular proposal?  Has the company already used this approach to develop similar material systems before?  If so, what is the novelty specific in this particular R&amp;D project?</w:t>
      </w:r>
    </w:p>
    <w:p w:rsidR="00D75D98" w:rsidRPr="00B2755E" w:rsidRDefault="005F500E" w:rsidP="001221F8">
      <w:pPr>
        <w:pStyle w:val="NormalWeb"/>
        <w:rPr>
          <w:color w:val="0000FF"/>
        </w:rPr>
      </w:pPr>
      <w:r w:rsidRPr="00B2755E">
        <w:rPr>
          <w:color w:val="0000FF"/>
        </w:rPr>
        <w:t xml:space="preserve">We believe that our previous work with discovering eutectic salts is an asset to the current proposal, since it validates the methodology we are proposing for discovering new thermal materials. </w:t>
      </w:r>
      <w:r w:rsidR="00D75D98" w:rsidRPr="00B2755E">
        <w:rPr>
          <w:color w:val="0000FF"/>
        </w:rPr>
        <w:t xml:space="preserve">The discovery of novel materials with the target properties is a high-risk </w:t>
      </w:r>
      <w:r w:rsidR="0049528B" w:rsidRPr="00B2755E">
        <w:rPr>
          <w:color w:val="0000FF"/>
        </w:rPr>
        <w:t>endeavor</w:t>
      </w:r>
      <w:r w:rsidR="00D75D98" w:rsidRPr="00B2755E">
        <w:rPr>
          <w:color w:val="0000FF"/>
        </w:rPr>
        <w:t xml:space="preserve"> that </w:t>
      </w:r>
      <w:r w:rsidR="00F75B2F">
        <w:rPr>
          <w:color w:val="0000FF"/>
        </w:rPr>
        <w:t>requires</w:t>
      </w:r>
      <w:r w:rsidR="00D75D98" w:rsidRPr="00B2755E">
        <w:rPr>
          <w:color w:val="0000FF"/>
        </w:rPr>
        <w:t xml:space="preserve"> </w:t>
      </w:r>
      <w:r w:rsidR="0049528B" w:rsidRPr="00B2755E">
        <w:rPr>
          <w:color w:val="0000FF"/>
        </w:rPr>
        <w:t>powerful</w:t>
      </w:r>
      <w:r w:rsidR="00D75D98" w:rsidRPr="00B2755E">
        <w:rPr>
          <w:color w:val="0000FF"/>
        </w:rPr>
        <w:t xml:space="preserve"> technique</w:t>
      </w:r>
      <w:r w:rsidR="0049528B" w:rsidRPr="00B2755E">
        <w:rPr>
          <w:color w:val="0000FF"/>
        </w:rPr>
        <w:t>s and know-how</w:t>
      </w:r>
      <w:r w:rsidR="00D75D98" w:rsidRPr="00B2755E">
        <w:rPr>
          <w:color w:val="0000FF"/>
        </w:rPr>
        <w:t xml:space="preserve"> in order to maximize its chance of success.</w:t>
      </w:r>
    </w:p>
    <w:p w:rsidR="00A22A7D" w:rsidRDefault="00A22A7D" w:rsidP="001221F8">
      <w:pPr>
        <w:pStyle w:val="NormalWeb"/>
        <w:rPr>
          <w:color w:val="0000FF"/>
        </w:rPr>
      </w:pPr>
      <w:r w:rsidRPr="00B2755E">
        <w:rPr>
          <w:color w:val="0000FF"/>
        </w:rPr>
        <w:t>An approach similar to that described in this proposal was used once before in a program to develop a nitrate-based heat transfer fluid. This program is currently underway at Halotechnics, funded by the DOE grant referenced in the proposal.</w:t>
      </w:r>
      <w:r w:rsidR="009C4B48" w:rsidRPr="00B2755E">
        <w:rPr>
          <w:color w:val="0000FF"/>
        </w:rPr>
        <w:t xml:space="preserve"> </w:t>
      </w:r>
      <w:r w:rsidR="005F500E" w:rsidRPr="00B2755E">
        <w:rPr>
          <w:color w:val="0000FF"/>
        </w:rPr>
        <w:t>T</w:t>
      </w:r>
      <w:r w:rsidR="009C4B48" w:rsidRPr="00B2755E">
        <w:rPr>
          <w:color w:val="0000FF"/>
        </w:rPr>
        <w:t xml:space="preserve">he novelty </w:t>
      </w:r>
      <w:r w:rsidR="00B8406A">
        <w:rPr>
          <w:color w:val="0000FF"/>
        </w:rPr>
        <w:t>of our NSF proposal</w:t>
      </w:r>
      <w:r w:rsidR="009C4B48" w:rsidRPr="00B2755E">
        <w:rPr>
          <w:color w:val="0000FF"/>
        </w:rPr>
        <w:t xml:space="preserve"> lies primarily in the new </w:t>
      </w:r>
      <w:r w:rsidR="005F500E" w:rsidRPr="00B2755E">
        <w:rPr>
          <w:color w:val="0000FF"/>
        </w:rPr>
        <w:t xml:space="preserve">target </w:t>
      </w:r>
      <w:r w:rsidR="009C4B48" w:rsidRPr="00B2755E">
        <w:rPr>
          <w:color w:val="0000FF"/>
        </w:rPr>
        <w:t>materials</w:t>
      </w:r>
      <w:r w:rsidR="0098675B" w:rsidRPr="00B2755E">
        <w:rPr>
          <w:color w:val="0000FF"/>
        </w:rPr>
        <w:t>, which are carbonate, sulf</w:t>
      </w:r>
      <w:r w:rsidR="00A9693F">
        <w:rPr>
          <w:color w:val="0000FF"/>
        </w:rPr>
        <w:t>ate, or chloride based salt mixtures</w:t>
      </w:r>
      <w:r w:rsidR="007F50DC" w:rsidRPr="00B2755E">
        <w:rPr>
          <w:color w:val="0000FF"/>
        </w:rPr>
        <w:t>, rather than in the methodology of how to discover them</w:t>
      </w:r>
      <w:r w:rsidR="009C4B48" w:rsidRPr="00B2755E">
        <w:rPr>
          <w:color w:val="0000FF"/>
        </w:rPr>
        <w:t xml:space="preserve">. These materials are chemically very different </w:t>
      </w:r>
      <w:r w:rsidR="000119FD">
        <w:rPr>
          <w:color w:val="0000FF"/>
        </w:rPr>
        <w:t>from</w:t>
      </w:r>
      <w:r w:rsidR="009C4B48" w:rsidRPr="00B2755E">
        <w:rPr>
          <w:color w:val="0000FF"/>
        </w:rPr>
        <w:t xml:space="preserve"> nitrate salts </w:t>
      </w:r>
      <w:r w:rsidR="000119FD">
        <w:rPr>
          <w:color w:val="0000FF"/>
        </w:rPr>
        <w:t xml:space="preserve">(higher melting point, varying reactivity, etc.) </w:t>
      </w:r>
      <w:r w:rsidR="009C4B48" w:rsidRPr="00B2755E">
        <w:rPr>
          <w:color w:val="0000FF"/>
        </w:rPr>
        <w:t>and new handling protocols will have to be developed to adapt our materials discovery workflow to their properties.</w:t>
      </w:r>
      <w:r w:rsidR="008566E2" w:rsidRPr="00B2755E">
        <w:rPr>
          <w:color w:val="0000FF"/>
        </w:rPr>
        <w:t xml:space="preserve"> </w:t>
      </w:r>
      <w:r w:rsidR="00B038BD">
        <w:rPr>
          <w:color w:val="0000FF"/>
        </w:rPr>
        <w:t>We will</w:t>
      </w:r>
      <w:r w:rsidR="00C43D67">
        <w:rPr>
          <w:color w:val="0000FF"/>
        </w:rPr>
        <w:t xml:space="preserve"> also</w:t>
      </w:r>
      <w:r w:rsidR="00B038BD">
        <w:rPr>
          <w:color w:val="0000FF"/>
        </w:rPr>
        <w:t xml:space="preserve"> need to modify our melting point apparatus to operate at higher temperatures. We have some experience with these</w:t>
      </w:r>
      <w:r w:rsidR="008566E2" w:rsidRPr="00B2755E">
        <w:rPr>
          <w:color w:val="0000FF"/>
        </w:rPr>
        <w:t xml:space="preserve"> materials as trace additives to nitrate salts as p</w:t>
      </w:r>
      <w:r w:rsidR="00B038BD">
        <w:rPr>
          <w:color w:val="0000FF"/>
        </w:rPr>
        <w:t>art of the DOE program but we are now proposing to use them as the majority component in the salt mixtures, significantly changing the</w:t>
      </w:r>
      <w:r w:rsidR="00C43D67">
        <w:rPr>
          <w:color w:val="0000FF"/>
        </w:rPr>
        <w:t xml:space="preserve"> </w:t>
      </w:r>
      <w:r w:rsidR="00B038BD">
        <w:rPr>
          <w:color w:val="0000FF"/>
        </w:rPr>
        <w:t>handling and measurement requirements</w:t>
      </w:r>
      <w:r w:rsidR="008566E2" w:rsidRPr="00B2755E">
        <w:rPr>
          <w:color w:val="0000FF"/>
        </w:rPr>
        <w:t>.</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 xml:space="preserve">2.  Can you give greater detail on what separates this proposed NSF SBIR project from the already-funded DOE effort, other than changes in some of the target material specifications?  Put another way, can you give an argument why this effort, at just $150,000, will be able to come up with new and improved materials versus the much larger $1.5 million DOE effort?  Please be specific and quantitative if possible.  </w:t>
      </w:r>
    </w:p>
    <w:p w:rsidR="00833F24" w:rsidRDefault="00833F24" w:rsidP="001221F8">
      <w:pPr>
        <w:pStyle w:val="NormalWeb"/>
        <w:rPr>
          <w:color w:val="0000FF"/>
        </w:rPr>
      </w:pPr>
      <w:r>
        <w:rPr>
          <w:color w:val="0000FF"/>
        </w:rPr>
        <w:t xml:space="preserve">The primary difference between our current DOE program and the proposed NSF SBIR program is the target material properties and the candidate material systems we have identified to achieve these targets. The methodology, experimental hardware, and data analytics will be very similar for both programs, although the materials for the NSF SBIR program will require higher temperature melting point measurements and unique handling protocols. The high temperature decomposition mechanics will </w:t>
      </w:r>
      <w:r w:rsidR="005A1109">
        <w:rPr>
          <w:color w:val="0000FF"/>
        </w:rPr>
        <w:t xml:space="preserve">also </w:t>
      </w:r>
      <w:r>
        <w:rPr>
          <w:color w:val="0000FF"/>
        </w:rPr>
        <w:t>differ significantly with the proposed materials for the NSF SBIR program</w:t>
      </w:r>
      <w:r w:rsidR="005A1109">
        <w:rPr>
          <w:color w:val="0000FF"/>
        </w:rPr>
        <w:t>, although we intend to use the same apparatus (TGA) to quantify this behavior.</w:t>
      </w:r>
    </w:p>
    <w:p w:rsidR="009A47BD" w:rsidRDefault="009C4B48" w:rsidP="001221F8">
      <w:pPr>
        <w:pStyle w:val="NormalWeb"/>
        <w:rPr>
          <w:color w:val="0000FF"/>
        </w:rPr>
      </w:pPr>
      <w:r w:rsidRPr="00B2755E">
        <w:rPr>
          <w:color w:val="0000FF"/>
        </w:rPr>
        <w:t xml:space="preserve">We believe that we can leverage previous work from the DOE program to focus on additional high-impact materials with a smaller NSF SBIR grant of $150,000. </w:t>
      </w:r>
      <w:r w:rsidR="00536C26">
        <w:rPr>
          <w:color w:val="0000FF"/>
        </w:rPr>
        <w:t xml:space="preserve">While we believe </w:t>
      </w:r>
      <w:r w:rsidR="00536C26">
        <w:rPr>
          <w:color w:val="0000FF"/>
        </w:rPr>
        <w:lastRenderedPageBreak/>
        <w:t>scientifically and commercially significant results can be achieved in Phase I, w</w:t>
      </w:r>
      <w:r w:rsidR="00B55910">
        <w:rPr>
          <w:color w:val="0000FF"/>
        </w:rPr>
        <w:t>e view our NSF Phase I</w:t>
      </w:r>
      <w:r w:rsidR="00B65628">
        <w:rPr>
          <w:color w:val="0000FF"/>
        </w:rPr>
        <w:t xml:space="preserve"> proposal as the first portion of a larger research pr</w:t>
      </w:r>
      <w:r w:rsidR="00B55910">
        <w:rPr>
          <w:color w:val="0000FF"/>
        </w:rPr>
        <w:t>ogram, to be followed by Phase IB</w:t>
      </w:r>
      <w:r w:rsidR="00B65628">
        <w:rPr>
          <w:color w:val="0000FF"/>
        </w:rPr>
        <w:t xml:space="preserve"> an</w:t>
      </w:r>
      <w:r w:rsidR="00B55910">
        <w:rPr>
          <w:color w:val="0000FF"/>
        </w:rPr>
        <w:t>d Phase II</w:t>
      </w:r>
      <w:r w:rsidR="00B65628">
        <w:rPr>
          <w:color w:val="0000FF"/>
        </w:rPr>
        <w:t xml:space="preserve"> applica</w:t>
      </w:r>
      <w:r w:rsidR="00536C26">
        <w:rPr>
          <w:color w:val="0000FF"/>
        </w:rPr>
        <w:t xml:space="preserve">tions (assuming </w:t>
      </w:r>
      <w:r w:rsidR="002D3C86">
        <w:rPr>
          <w:color w:val="0000FF"/>
        </w:rPr>
        <w:t xml:space="preserve">each </w:t>
      </w:r>
      <w:r w:rsidR="00536C26">
        <w:rPr>
          <w:color w:val="0000FF"/>
        </w:rPr>
        <w:t xml:space="preserve">phase is </w:t>
      </w:r>
      <w:r w:rsidR="00837F4A">
        <w:rPr>
          <w:color w:val="0000FF"/>
        </w:rPr>
        <w:t xml:space="preserve">successful). We have granted </w:t>
      </w:r>
      <w:r w:rsidR="00B65628">
        <w:rPr>
          <w:color w:val="0000FF"/>
        </w:rPr>
        <w:t xml:space="preserve">current </w:t>
      </w:r>
      <w:r w:rsidR="00837F4A">
        <w:rPr>
          <w:color w:val="0000FF"/>
        </w:rPr>
        <w:t xml:space="preserve">third party </w:t>
      </w:r>
      <w:r w:rsidR="00B65628">
        <w:rPr>
          <w:color w:val="0000FF"/>
        </w:rPr>
        <w:t>investors in Halotechnics an option to invest</w:t>
      </w:r>
      <w:r w:rsidR="00837F4A">
        <w:rPr>
          <w:color w:val="0000FF"/>
        </w:rPr>
        <w:t xml:space="preserve"> next year when their funds would be matched in a Phase </w:t>
      </w:r>
      <w:r w:rsidR="009A47BD">
        <w:rPr>
          <w:color w:val="0000FF"/>
        </w:rPr>
        <w:t>IB</w:t>
      </w:r>
      <w:r w:rsidR="00837F4A">
        <w:rPr>
          <w:color w:val="0000FF"/>
        </w:rPr>
        <w:t xml:space="preserve"> program. </w:t>
      </w:r>
      <w:r w:rsidRPr="00B2755E">
        <w:rPr>
          <w:color w:val="0000FF"/>
        </w:rPr>
        <w:t>As</w:t>
      </w:r>
      <w:r w:rsidR="00536C26">
        <w:rPr>
          <w:color w:val="0000FF"/>
        </w:rPr>
        <w:t>suming a successful SBIR Phase I</w:t>
      </w:r>
      <w:r w:rsidR="00837F4A">
        <w:rPr>
          <w:color w:val="0000FF"/>
        </w:rPr>
        <w:t>,</w:t>
      </w:r>
      <w:r w:rsidRPr="00B2755E">
        <w:rPr>
          <w:color w:val="0000FF"/>
        </w:rPr>
        <w:t xml:space="preserve"> </w:t>
      </w:r>
      <w:r w:rsidR="00536C26">
        <w:rPr>
          <w:color w:val="0000FF"/>
        </w:rPr>
        <w:t>Phase IB</w:t>
      </w:r>
      <w:r w:rsidR="00837F4A">
        <w:rPr>
          <w:color w:val="0000FF"/>
        </w:rPr>
        <w:t xml:space="preserve">, </w:t>
      </w:r>
      <w:r w:rsidR="00536C26">
        <w:rPr>
          <w:color w:val="0000FF"/>
        </w:rPr>
        <w:t>and Phase II</w:t>
      </w:r>
      <w:r w:rsidRPr="00B2755E">
        <w:rPr>
          <w:color w:val="0000FF"/>
        </w:rPr>
        <w:t xml:space="preserve"> wo</w:t>
      </w:r>
      <w:r w:rsidR="00536C26">
        <w:rPr>
          <w:color w:val="0000FF"/>
        </w:rPr>
        <w:t xml:space="preserve">uld result in an </w:t>
      </w:r>
      <w:r w:rsidR="009A47BD">
        <w:rPr>
          <w:color w:val="0000FF"/>
        </w:rPr>
        <w:t xml:space="preserve">NSF </w:t>
      </w:r>
      <w:r w:rsidR="00536C26">
        <w:rPr>
          <w:color w:val="0000FF"/>
        </w:rPr>
        <w:t xml:space="preserve">SBIR program </w:t>
      </w:r>
      <w:r w:rsidR="009A47BD">
        <w:rPr>
          <w:color w:val="0000FF"/>
        </w:rPr>
        <w:t>totaling</w:t>
      </w:r>
      <w:r w:rsidRPr="00B2755E">
        <w:rPr>
          <w:color w:val="0000FF"/>
        </w:rPr>
        <w:t xml:space="preserve"> $</w:t>
      </w:r>
      <w:r w:rsidR="00837F4A">
        <w:rPr>
          <w:color w:val="0000FF"/>
        </w:rPr>
        <w:t>740</w:t>
      </w:r>
      <w:r w:rsidRPr="00B2755E">
        <w:rPr>
          <w:color w:val="0000FF"/>
        </w:rPr>
        <w:t xml:space="preserve">,000 which is closer in size to the DOE program. </w:t>
      </w:r>
    </w:p>
    <w:p w:rsidR="009C4B48" w:rsidRDefault="00A22A7D" w:rsidP="001221F8">
      <w:pPr>
        <w:pStyle w:val="NormalWeb"/>
        <w:rPr>
          <w:color w:val="0000FF"/>
        </w:rPr>
      </w:pPr>
      <w:r w:rsidRPr="00B2755E">
        <w:rPr>
          <w:color w:val="0000FF"/>
        </w:rPr>
        <w:t xml:space="preserve">The DOE program is a three year effort, including the development of a materials discovery workflow and primary screening program (Phase 1), a secondary screening program (Phase 2), and finally a field testing program (Phase 3). </w:t>
      </w:r>
      <w:r w:rsidR="009C4B48" w:rsidRPr="00B2755E">
        <w:rPr>
          <w:color w:val="0000FF"/>
        </w:rPr>
        <w:t xml:space="preserve">Each phase is funded with $500,000. </w:t>
      </w:r>
      <w:r w:rsidRPr="00B2755E">
        <w:rPr>
          <w:color w:val="0000FF"/>
        </w:rPr>
        <w:t xml:space="preserve">Halotechnics has completed Phase 1 of this program and is approximately 25% complete with Phase 2. Much of the infrastructure, including the software tools for experiment design, automation, and data analytics has been developed under this grant. The experimental hardware is also largely complete. </w:t>
      </w:r>
      <w:r w:rsidR="009A47BD">
        <w:rPr>
          <w:color w:val="0000FF"/>
        </w:rPr>
        <w:t xml:space="preserve">This previous work can be leveraged for the proposed NSF SBIR program to </w:t>
      </w:r>
      <w:r w:rsidR="00125514">
        <w:rPr>
          <w:color w:val="0000FF"/>
        </w:rPr>
        <w:t>allow significant work to be accomplished with less funding</w:t>
      </w:r>
      <w:r w:rsidR="00D14AD4">
        <w:rPr>
          <w:color w:val="0000FF"/>
        </w:rPr>
        <w:t xml:space="preserve"> by requiring less time and staffing costs to develop the methodology and apparatus for materials discovery</w:t>
      </w:r>
      <w:r w:rsidR="00125514">
        <w:rPr>
          <w:color w:val="0000FF"/>
        </w:rPr>
        <w:t>.</w:t>
      </w:r>
      <w:r w:rsidR="009A47BD">
        <w:rPr>
          <w:color w:val="0000FF"/>
        </w:rPr>
        <w:t xml:space="preserve"> </w:t>
      </w:r>
      <w:r w:rsidR="00130BFE">
        <w:rPr>
          <w:color w:val="0000FF"/>
        </w:rPr>
        <w:t>For example, the DOE program required 6 months of method and workflow development before discovery could begin. We are proposing a shorter 3 month period for method and workflow developing before discovery begins.</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3.  Is there any material specification or property that separates salts appropriate for trough applications versus those for central receiver applications, other than the operating temperature range?</w:t>
      </w:r>
    </w:p>
    <w:p w:rsidR="00CF674C" w:rsidRDefault="00CF674C" w:rsidP="001221F8">
      <w:pPr>
        <w:pStyle w:val="NormalWeb"/>
        <w:rPr>
          <w:color w:val="0000FF"/>
        </w:rPr>
      </w:pPr>
      <w:r w:rsidRPr="00B2755E">
        <w:rPr>
          <w:color w:val="0000FF"/>
        </w:rPr>
        <w:t>The operating range is the primary difference</w:t>
      </w:r>
      <w:r w:rsidR="008301B2">
        <w:rPr>
          <w:color w:val="0000FF"/>
        </w:rPr>
        <w:t>, but viscosity requirements also differ between trough and central receiver plants</w:t>
      </w:r>
      <w:r w:rsidRPr="00B2755E">
        <w:rPr>
          <w:color w:val="0000FF"/>
        </w:rPr>
        <w:t xml:space="preserve">. Viscosity is of a lesser concern with central receivers since there is less </w:t>
      </w:r>
      <w:proofErr w:type="gramStart"/>
      <w:r w:rsidRPr="00B2755E">
        <w:rPr>
          <w:color w:val="0000FF"/>
        </w:rPr>
        <w:t>piping</w:t>
      </w:r>
      <w:proofErr w:type="gramEnd"/>
      <w:r w:rsidRPr="00B2755E">
        <w:rPr>
          <w:color w:val="0000FF"/>
        </w:rPr>
        <w:t xml:space="preserve"> to pump the salts through.</w:t>
      </w:r>
      <w:r w:rsidR="00D93020">
        <w:rPr>
          <w:color w:val="0000FF"/>
        </w:rPr>
        <w:t xml:space="preserve"> In a central receiver plant, the salt piping is confined to the tower and thermal storage systems at the tower’s base. In a tough plant </w:t>
      </w:r>
      <w:r w:rsidR="00731F38">
        <w:rPr>
          <w:color w:val="0000FF"/>
        </w:rPr>
        <w:t>however</w:t>
      </w:r>
      <w:r w:rsidR="00D93020">
        <w:rPr>
          <w:color w:val="0000FF"/>
        </w:rPr>
        <w:t>, there are many kilometers of pipes distributed in a field which must carry the molten salt to collect the heat from the receivers. For this reason the parasitic pumping losses in a trough plant are significantly higher than in a central receiver plant. The pumping losses increase with a higher viscosity salt, making this property a higher concern for trough applications.</w:t>
      </w:r>
    </w:p>
    <w:p w:rsidR="00731F38" w:rsidRDefault="000D1C5E" w:rsidP="001221F8">
      <w:pPr>
        <w:pStyle w:val="NormalWeb"/>
        <w:rPr>
          <w:color w:val="0000FF"/>
        </w:rPr>
      </w:pPr>
      <w:r>
        <w:rPr>
          <w:color w:val="0000FF"/>
        </w:rPr>
        <w:t>Candidate s</w:t>
      </w:r>
      <w:r w:rsidR="00731F38">
        <w:rPr>
          <w:color w:val="0000FF"/>
        </w:rPr>
        <w:t xml:space="preserve">alts for </w:t>
      </w:r>
      <w:r w:rsidR="0052237E">
        <w:rPr>
          <w:color w:val="0000FF"/>
        </w:rPr>
        <w:t xml:space="preserve">both </w:t>
      </w:r>
      <w:r w:rsidR="00731F38" w:rsidRPr="00B2755E">
        <w:rPr>
          <w:color w:val="0000FF"/>
        </w:rPr>
        <w:t xml:space="preserve">central receiver </w:t>
      </w:r>
      <w:r w:rsidR="00731F38">
        <w:rPr>
          <w:color w:val="0000FF"/>
        </w:rPr>
        <w:t xml:space="preserve">and trough </w:t>
      </w:r>
      <w:r w:rsidR="00731F38" w:rsidRPr="00B2755E">
        <w:rPr>
          <w:color w:val="0000FF"/>
        </w:rPr>
        <w:t>applications have similar constraints on materials compatibility and corrosion, long term stability, and cost.</w:t>
      </w:r>
    </w:p>
    <w:p w:rsidR="00567B5D" w:rsidRPr="00B2755E" w:rsidRDefault="00567B5D" w:rsidP="001221F8">
      <w:pPr>
        <w:pStyle w:val="NormalWeb"/>
        <w:rPr>
          <w:color w:val="0000FF"/>
        </w:rPr>
      </w:pPr>
    </w:p>
    <w:p w:rsidR="001221F8" w:rsidRDefault="001221F8" w:rsidP="001221F8">
      <w:pPr>
        <w:pStyle w:val="NormalWeb"/>
      </w:pPr>
      <w:r>
        <w:rPr>
          <w:rFonts w:ascii="Arial" w:hAnsi="Arial" w:cs="Arial"/>
        </w:rPr>
        <w:t xml:space="preserve">Action items from the Program Director: </w:t>
      </w:r>
    </w:p>
    <w:p w:rsidR="001221F8" w:rsidRDefault="001221F8" w:rsidP="001221F8">
      <w:pPr>
        <w:pStyle w:val="NormalWeb"/>
        <w:rPr>
          <w:rFonts w:ascii="Arial" w:hAnsi="Arial" w:cs="Arial"/>
        </w:rPr>
      </w:pPr>
      <w:r>
        <w:rPr>
          <w:rFonts w:ascii="Arial" w:hAnsi="Arial" w:cs="Arial"/>
        </w:rPr>
        <w:t>1.  The specific materials systems to be explored in this effort are very unclear, as is the scientific motivation behind these choices.  Please elaborate.  Also, is there a difference in the materials phase space to be explored and what was the thinking that led to the choice of this new phase space?</w:t>
      </w:r>
    </w:p>
    <w:p w:rsidR="006C101A" w:rsidRPr="00B2755E" w:rsidRDefault="006C101A" w:rsidP="001221F8">
      <w:pPr>
        <w:pStyle w:val="NormalWeb"/>
        <w:rPr>
          <w:color w:val="0000FF"/>
        </w:rPr>
      </w:pPr>
      <w:r w:rsidRPr="00B2755E">
        <w:rPr>
          <w:color w:val="0000FF"/>
        </w:rPr>
        <w:lastRenderedPageBreak/>
        <w:t>The motivation for our target materials systems is driven by the desired operating range of central receiver solar thermal plants. We have surveyed the scientific literature, including phase diagram compilations and academic publications, and have selected three materials systems with properties that are promising for the proposed operating range. These sal</w:t>
      </w:r>
      <w:r w:rsidR="00CF0B11">
        <w:rPr>
          <w:color w:val="0000FF"/>
        </w:rPr>
        <w:t>ts have high thermal stability</w:t>
      </w:r>
      <w:r w:rsidRPr="00B2755E">
        <w:rPr>
          <w:color w:val="0000FF"/>
        </w:rPr>
        <w:t xml:space="preserve"> but do not have </w:t>
      </w:r>
      <w:r w:rsidR="005B33E3">
        <w:rPr>
          <w:color w:val="0000FF"/>
        </w:rPr>
        <w:t xml:space="preserve">currently </w:t>
      </w:r>
      <w:r w:rsidRPr="00B2755E">
        <w:rPr>
          <w:color w:val="0000FF"/>
        </w:rPr>
        <w:t xml:space="preserve">known eutectic mixtures </w:t>
      </w:r>
      <w:r w:rsidR="008635CF">
        <w:rPr>
          <w:color w:val="0000FF"/>
        </w:rPr>
        <w:t>with</w:t>
      </w:r>
      <w:r w:rsidRPr="00B2755E">
        <w:rPr>
          <w:color w:val="0000FF"/>
        </w:rPr>
        <w:t xml:space="preserve"> low enough </w:t>
      </w:r>
      <w:r w:rsidR="008635CF">
        <w:rPr>
          <w:color w:val="0000FF"/>
        </w:rPr>
        <w:t>melting points to be viable</w:t>
      </w:r>
      <w:r w:rsidRPr="00B2755E">
        <w:rPr>
          <w:color w:val="0000FF"/>
        </w:rPr>
        <w:t>.</w:t>
      </w:r>
      <w:r w:rsidR="005B33E3">
        <w:rPr>
          <w:color w:val="0000FF"/>
        </w:rPr>
        <w:t xml:space="preserve"> Information on ternary eutectics is available for these systems, but little or no information is available on quaternary and higher order systems. We intend to explore these high order </w:t>
      </w:r>
      <w:r w:rsidR="00CF0B11">
        <w:rPr>
          <w:color w:val="0000FF"/>
        </w:rPr>
        <w:t xml:space="preserve">combinatorial </w:t>
      </w:r>
      <w:r w:rsidR="005B33E3">
        <w:rPr>
          <w:color w:val="0000FF"/>
        </w:rPr>
        <w:t>systems to discover new eutectic mixtures with lower melting points.</w:t>
      </w:r>
      <w:r w:rsidR="00282864">
        <w:rPr>
          <w:color w:val="0000FF"/>
        </w:rPr>
        <w:t xml:space="preserve"> The data generated by the proposed program will embody a rich database of high order phase diagrams, furthering scientific knowledge in the field of inorganic materials.</w:t>
      </w:r>
    </w:p>
    <w:p w:rsidR="001E5258" w:rsidRPr="00B2755E" w:rsidRDefault="005B33E3" w:rsidP="001221F8">
      <w:pPr>
        <w:pStyle w:val="NormalWeb"/>
        <w:rPr>
          <w:color w:val="0000FF"/>
        </w:rPr>
      </w:pPr>
      <w:r w:rsidRPr="005B33E3">
        <w:rPr>
          <w:color w:val="0000FF"/>
          <w:u w:val="single"/>
        </w:rPr>
        <w:t>C</w:t>
      </w:r>
      <w:r>
        <w:rPr>
          <w:color w:val="0000FF"/>
          <w:u w:val="single"/>
        </w:rPr>
        <w:t>arbonates</w:t>
      </w:r>
      <w:r>
        <w:rPr>
          <w:color w:val="0000FF"/>
        </w:rPr>
        <w:tab/>
      </w:r>
      <w:r w:rsidR="001E5258" w:rsidRPr="00B2755E">
        <w:rPr>
          <w:color w:val="0000FF"/>
        </w:rPr>
        <w:t xml:space="preserve">Carbonates are low cost, stable, and typically non-corrosive. They have high melting points as pure substances </w:t>
      </w:r>
      <w:r w:rsidR="008635CF">
        <w:rPr>
          <w:color w:val="0000FF"/>
        </w:rPr>
        <w:t>(</w:t>
      </w:r>
      <w:r w:rsidR="00BB3676">
        <w:rPr>
          <w:color w:val="0000FF"/>
        </w:rPr>
        <w:t xml:space="preserve">typically </w:t>
      </w:r>
      <w:r w:rsidR="008635CF">
        <w:rPr>
          <w:color w:val="0000FF"/>
        </w:rPr>
        <w:t xml:space="preserve">700 to 900 </w:t>
      </w:r>
      <w:r w:rsidR="003D7745">
        <w:rPr>
          <w:color w:val="0000FF"/>
        </w:rPr>
        <w:t>°</w:t>
      </w:r>
      <w:r w:rsidR="008635CF">
        <w:rPr>
          <w:color w:val="0000FF"/>
        </w:rPr>
        <w:t xml:space="preserve">C) </w:t>
      </w:r>
      <w:r w:rsidR="001E5258" w:rsidRPr="00B2755E">
        <w:rPr>
          <w:color w:val="0000FF"/>
        </w:rPr>
        <w:t>but readily form eutectic mixtures.</w:t>
      </w:r>
      <w:r w:rsidR="00BE1BBF" w:rsidRPr="00B2755E">
        <w:rPr>
          <w:color w:val="0000FF"/>
        </w:rPr>
        <w:t xml:space="preserve"> </w:t>
      </w:r>
      <w:r w:rsidR="008635CF">
        <w:rPr>
          <w:color w:val="0000FF"/>
        </w:rPr>
        <w:t xml:space="preserve">The lithium, sodium, and potassium system we show in the proposal has a eutectic melting point of 394 </w:t>
      </w:r>
      <w:r w:rsidR="003D7745">
        <w:rPr>
          <w:color w:val="0000FF"/>
        </w:rPr>
        <w:t>°</w:t>
      </w:r>
      <w:r w:rsidR="008635CF">
        <w:rPr>
          <w:color w:val="0000FF"/>
        </w:rPr>
        <w:t xml:space="preserve">C. </w:t>
      </w:r>
      <w:r w:rsidR="00BE1BBF" w:rsidRPr="00B2755E">
        <w:rPr>
          <w:color w:val="0000FF"/>
        </w:rPr>
        <w:t>We will target carbonate salts made</w:t>
      </w:r>
      <w:r w:rsidR="00BD5498" w:rsidRPr="00B2755E">
        <w:rPr>
          <w:color w:val="0000FF"/>
        </w:rPr>
        <w:t xml:space="preserve"> from the alkali metal and alkali</w:t>
      </w:r>
      <w:r w:rsidR="00BE1BBF" w:rsidRPr="00B2755E">
        <w:rPr>
          <w:color w:val="0000FF"/>
        </w:rPr>
        <w:t>ne earth elements.</w:t>
      </w:r>
      <w:r w:rsidR="00390E98" w:rsidRPr="00B2755E">
        <w:rPr>
          <w:color w:val="0000FF"/>
        </w:rPr>
        <w:t xml:space="preserve"> </w:t>
      </w:r>
      <w:r w:rsidR="003C0949">
        <w:rPr>
          <w:color w:val="0000FF"/>
        </w:rPr>
        <w:t xml:space="preserve">Transition metal carbonates typically decompose at temperatures too low to be of interest for this proposal. </w:t>
      </w:r>
    </w:p>
    <w:p w:rsidR="001E5258" w:rsidRPr="00B2755E" w:rsidRDefault="005B33E3" w:rsidP="001221F8">
      <w:pPr>
        <w:pStyle w:val="NormalWeb"/>
        <w:rPr>
          <w:color w:val="0000FF"/>
        </w:rPr>
      </w:pPr>
      <w:r w:rsidRPr="005B33E3">
        <w:rPr>
          <w:color w:val="0000FF"/>
          <w:u w:val="single"/>
        </w:rPr>
        <w:t>Sulfates</w:t>
      </w:r>
      <w:r>
        <w:rPr>
          <w:color w:val="0000FF"/>
        </w:rPr>
        <w:tab/>
      </w:r>
      <w:r w:rsidR="001E5258" w:rsidRPr="00B2755E">
        <w:rPr>
          <w:color w:val="0000FF"/>
        </w:rPr>
        <w:t xml:space="preserve">Sulfates are </w:t>
      </w:r>
      <w:r w:rsidR="003D7745">
        <w:rPr>
          <w:color w:val="0000FF"/>
        </w:rPr>
        <w:t>generally</w:t>
      </w:r>
      <w:r w:rsidR="001E5258" w:rsidRPr="00B2755E">
        <w:rPr>
          <w:color w:val="0000FF"/>
        </w:rPr>
        <w:t xml:space="preserve"> lower cost than carbonates, stable, and non-corrosive. They have higher melting points</w:t>
      </w:r>
      <w:r w:rsidR="00CF0B11">
        <w:rPr>
          <w:color w:val="0000FF"/>
        </w:rPr>
        <w:t xml:space="preserve"> as pure substances</w:t>
      </w:r>
      <w:r w:rsidR="008635CF">
        <w:rPr>
          <w:color w:val="0000FF"/>
        </w:rPr>
        <w:t xml:space="preserve"> (</w:t>
      </w:r>
      <w:r w:rsidR="00BB3676">
        <w:rPr>
          <w:color w:val="0000FF"/>
        </w:rPr>
        <w:t xml:space="preserve">typically </w:t>
      </w:r>
      <w:r w:rsidR="008635CF">
        <w:rPr>
          <w:color w:val="0000FF"/>
        </w:rPr>
        <w:t xml:space="preserve">900 to 1100 </w:t>
      </w:r>
      <w:r w:rsidR="003D7745">
        <w:rPr>
          <w:color w:val="0000FF"/>
        </w:rPr>
        <w:t>°</w:t>
      </w:r>
      <w:r w:rsidR="008635CF">
        <w:rPr>
          <w:color w:val="0000FF"/>
        </w:rPr>
        <w:t>C)</w:t>
      </w:r>
      <w:r w:rsidR="00005207">
        <w:rPr>
          <w:color w:val="0000FF"/>
        </w:rPr>
        <w:t xml:space="preserve"> but do </w:t>
      </w:r>
      <w:r w:rsidR="00CF0B11">
        <w:rPr>
          <w:color w:val="0000FF"/>
        </w:rPr>
        <w:t>form</w:t>
      </w:r>
      <w:r w:rsidR="00005207">
        <w:rPr>
          <w:color w:val="0000FF"/>
        </w:rPr>
        <w:t xml:space="preserve"> known eutectic mixtures</w:t>
      </w:r>
      <w:r w:rsidR="001E5258" w:rsidRPr="00B2755E">
        <w:rPr>
          <w:color w:val="0000FF"/>
        </w:rPr>
        <w:t>.</w:t>
      </w:r>
      <w:r w:rsidR="00BE1BBF" w:rsidRPr="00B2755E">
        <w:rPr>
          <w:color w:val="0000FF"/>
        </w:rPr>
        <w:t xml:space="preserve"> </w:t>
      </w:r>
      <w:r w:rsidR="00005207">
        <w:rPr>
          <w:color w:val="0000FF"/>
        </w:rPr>
        <w:t>The sodium, potassium, and zinc system we show in the proposal has a eutectic melting point of 384 °C</w:t>
      </w:r>
      <w:r w:rsidR="0051010E">
        <w:rPr>
          <w:color w:val="0000FF"/>
        </w:rPr>
        <w:t>.</w:t>
      </w:r>
      <w:r w:rsidR="00005207" w:rsidRPr="00B2755E">
        <w:rPr>
          <w:color w:val="0000FF"/>
        </w:rPr>
        <w:t xml:space="preserve"> </w:t>
      </w:r>
      <w:r w:rsidR="00BE1BBF" w:rsidRPr="00B2755E">
        <w:rPr>
          <w:color w:val="0000FF"/>
        </w:rPr>
        <w:t>We will target sulfate s</w:t>
      </w:r>
      <w:r w:rsidR="00F1666A">
        <w:rPr>
          <w:color w:val="0000FF"/>
        </w:rPr>
        <w:t>alts made from the alkali metal</w:t>
      </w:r>
      <w:r w:rsidR="00BE1BBF" w:rsidRPr="00B2755E">
        <w:rPr>
          <w:color w:val="0000FF"/>
        </w:rPr>
        <w:t xml:space="preserve"> and transition metal elements.</w:t>
      </w:r>
      <w:r w:rsidR="00F1666A">
        <w:rPr>
          <w:color w:val="0000FF"/>
        </w:rPr>
        <w:t xml:space="preserve"> Sulfates from alkaline earth elements have very high melting points </w:t>
      </w:r>
      <w:r w:rsidR="00FF5E31">
        <w:rPr>
          <w:color w:val="0000FF"/>
        </w:rPr>
        <w:t xml:space="preserve">(1400 to 1600 °C) </w:t>
      </w:r>
      <w:r w:rsidR="00F1666A">
        <w:rPr>
          <w:color w:val="0000FF"/>
        </w:rPr>
        <w:t>which will likely prevent them from forming eutectics in the required temperature range.</w:t>
      </w:r>
    </w:p>
    <w:p w:rsidR="001E5258" w:rsidRDefault="005B33E3" w:rsidP="001221F8">
      <w:pPr>
        <w:pStyle w:val="NormalWeb"/>
        <w:rPr>
          <w:color w:val="0000FF"/>
        </w:rPr>
      </w:pPr>
      <w:r w:rsidRPr="005B33E3">
        <w:rPr>
          <w:color w:val="0000FF"/>
          <w:u w:val="single"/>
        </w:rPr>
        <w:t>Chlorides</w:t>
      </w:r>
      <w:r>
        <w:rPr>
          <w:color w:val="0000FF"/>
        </w:rPr>
        <w:tab/>
      </w:r>
      <w:r w:rsidR="001E5258" w:rsidRPr="00B2755E">
        <w:rPr>
          <w:color w:val="0000FF"/>
        </w:rPr>
        <w:t xml:space="preserve">Chlorides are low cost </w:t>
      </w:r>
      <w:r w:rsidR="00A85521">
        <w:rPr>
          <w:color w:val="0000FF"/>
        </w:rPr>
        <w:t>and stable but do have corrosive</w:t>
      </w:r>
      <w:r w:rsidR="001E5258" w:rsidRPr="00B2755E">
        <w:rPr>
          <w:color w:val="0000FF"/>
        </w:rPr>
        <w:t xml:space="preserve"> tendencies with steel.</w:t>
      </w:r>
      <w:r w:rsidR="00BE1BBF" w:rsidRPr="00B2755E">
        <w:rPr>
          <w:color w:val="0000FF"/>
        </w:rPr>
        <w:t xml:space="preserve"> </w:t>
      </w:r>
      <w:r w:rsidR="003D7745">
        <w:rPr>
          <w:color w:val="0000FF"/>
        </w:rPr>
        <w:t xml:space="preserve">It will be important to perform additional characterization of candidate salt mixtures consisting of chlorides to quantify their long term corrosion behavior with alloys of interest for central receiver applications. </w:t>
      </w:r>
      <w:r w:rsidR="00005207">
        <w:rPr>
          <w:color w:val="0000FF"/>
        </w:rPr>
        <w:t xml:space="preserve">Chloride </w:t>
      </w:r>
      <w:r w:rsidR="00BB3676">
        <w:rPr>
          <w:color w:val="0000FF"/>
        </w:rPr>
        <w:t xml:space="preserve">melting points </w:t>
      </w:r>
      <w:r w:rsidR="00F00D65">
        <w:rPr>
          <w:color w:val="0000FF"/>
        </w:rPr>
        <w:t xml:space="preserve">for </w:t>
      </w:r>
      <w:r w:rsidR="00CF0B11">
        <w:rPr>
          <w:color w:val="0000FF"/>
        </w:rPr>
        <w:t xml:space="preserve">pure substances </w:t>
      </w:r>
      <w:r w:rsidR="00BB3676">
        <w:rPr>
          <w:color w:val="0000FF"/>
        </w:rPr>
        <w:t xml:space="preserve">are typically 600 to 800 </w:t>
      </w:r>
      <w:r w:rsidR="003D7745">
        <w:rPr>
          <w:color w:val="0000FF"/>
        </w:rPr>
        <w:t>°</w:t>
      </w:r>
      <w:r w:rsidR="00BB3676">
        <w:rPr>
          <w:color w:val="0000FF"/>
        </w:rPr>
        <w:t>C.</w:t>
      </w:r>
      <w:r w:rsidR="00BB3676" w:rsidRPr="00B2755E">
        <w:rPr>
          <w:color w:val="0000FF"/>
        </w:rPr>
        <w:t xml:space="preserve"> </w:t>
      </w:r>
      <w:r w:rsidR="0051010E">
        <w:rPr>
          <w:color w:val="0000FF"/>
        </w:rPr>
        <w:t>The lithium, sodium, and potassium system we show in the proposal has a eutectic melting point of 332 °C</w:t>
      </w:r>
      <w:r w:rsidR="00275F3B">
        <w:rPr>
          <w:color w:val="0000FF"/>
        </w:rPr>
        <w:t>.</w:t>
      </w:r>
      <w:r w:rsidR="0051010E" w:rsidRPr="00B2755E">
        <w:rPr>
          <w:color w:val="0000FF"/>
        </w:rPr>
        <w:t xml:space="preserve"> </w:t>
      </w:r>
      <w:r w:rsidR="00BE1BBF" w:rsidRPr="00B2755E">
        <w:rPr>
          <w:color w:val="0000FF"/>
        </w:rPr>
        <w:t>We will target chloride salts made from the alkali metal and alk</w:t>
      </w:r>
      <w:r w:rsidR="00BD5498" w:rsidRPr="00B2755E">
        <w:rPr>
          <w:color w:val="0000FF"/>
        </w:rPr>
        <w:t>al</w:t>
      </w:r>
      <w:r w:rsidR="00BE1BBF" w:rsidRPr="00B2755E">
        <w:rPr>
          <w:color w:val="0000FF"/>
        </w:rPr>
        <w:t>ine earth elements.</w:t>
      </w:r>
      <w:r w:rsidR="003C0949" w:rsidRPr="003C0949">
        <w:rPr>
          <w:color w:val="0000FF"/>
        </w:rPr>
        <w:t xml:space="preserve"> </w:t>
      </w:r>
      <w:r w:rsidR="00E819CA">
        <w:rPr>
          <w:color w:val="0000FF"/>
        </w:rPr>
        <w:t xml:space="preserve">Rare earth chlorides may also be potential components. </w:t>
      </w:r>
      <w:r w:rsidR="003C0949">
        <w:rPr>
          <w:color w:val="0000FF"/>
        </w:rPr>
        <w:t>Transition metal chlorides typically decompose at temperatures too low to be of interest for this proposal.</w:t>
      </w:r>
    </w:p>
    <w:p w:rsidR="00217C73" w:rsidRDefault="00F31AEC" w:rsidP="001221F8">
      <w:pPr>
        <w:pStyle w:val="NormalWeb"/>
        <w:rPr>
          <w:color w:val="0000FF"/>
        </w:rPr>
      </w:pPr>
      <w:r>
        <w:rPr>
          <w:color w:val="0000FF"/>
        </w:rPr>
        <w:t xml:space="preserve">See Table 1 for a list of candidate </w:t>
      </w:r>
      <w:r w:rsidR="00B9388D">
        <w:rPr>
          <w:color w:val="0000FF"/>
        </w:rPr>
        <w:t xml:space="preserve">salt </w:t>
      </w:r>
      <w:r>
        <w:rPr>
          <w:color w:val="0000FF"/>
        </w:rPr>
        <w:t>components. These salts were selected on a basis of promising melting point</w:t>
      </w:r>
      <w:r w:rsidR="009754F5">
        <w:rPr>
          <w:color w:val="0000FF"/>
        </w:rPr>
        <w:t>, sufficient thermal stability,</w:t>
      </w:r>
      <w:r>
        <w:rPr>
          <w:color w:val="0000FF"/>
        </w:rPr>
        <w:t xml:space="preserve"> and potential availability in large scales and low cost.</w:t>
      </w:r>
    </w:p>
    <w:p w:rsidR="00217C73" w:rsidRDefault="00217C73">
      <w:pPr>
        <w:rPr>
          <w:rFonts w:ascii="Times New Roman" w:eastAsia="Times New Roman" w:hAnsi="Times New Roman" w:cs="Times New Roman"/>
          <w:color w:val="0000FF"/>
          <w:sz w:val="24"/>
          <w:szCs w:val="24"/>
        </w:rPr>
      </w:pPr>
      <w:r>
        <w:rPr>
          <w:color w:val="0000FF"/>
        </w:rPr>
        <w:br w:type="page"/>
      </w:r>
    </w:p>
    <w:tbl>
      <w:tblPr>
        <w:tblW w:w="9483" w:type="dxa"/>
        <w:tblInd w:w="93" w:type="dxa"/>
        <w:tblLook w:val="04A0" w:firstRow="1" w:lastRow="0" w:firstColumn="1" w:lastColumn="0" w:noHBand="0" w:noVBand="1"/>
      </w:tblPr>
      <w:tblGrid>
        <w:gridCol w:w="1886"/>
        <w:gridCol w:w="2941"/>
        <w:gridCol w:w="1552"/>
        <w:gridCol w:w="1552"/>
        <w:gridCol w:w="1552"/>
      </w:tblGrid>
      <w:tr w:rsidR="00863AF1" w:rsidRPr="00863AF1" w:rsidTr="00217C73">
        <w:trPr>
          <w:trHeight w:val="510"/>
          <w:tblHeader/>
        </w:trPr>
        <w:tc>
          <w:tcPr>
            <w:tcW w:w="1886"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lastRenderedPageBreak/>
              <w:t>Group</w:t>
            </w:r>
          </w:p>
        </w:tc>
        <w:tc>
          <w:tcPr>
            <w:tcW w:w="2941"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t>Material name</w:t>
            </w:r>
          </w:p>
        </w:tc>
        <w:tc>
          <w:tcPr>
            <w:tcW w:w="1552"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t>Formula</w:t>
            </w:r>
          </w:p>
        </w:tc>
        <w:tc>
          <w:tcPr>
            <w:tcW w:w="1552"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t>Melting point (°C)</w:t>
            </w:r>
          </w:p>
        </w:tc>
        <w:tc>
          <w:tcPr>
            <w:tcW w:w="1552" w:type="dxa"/>
            <w:tcBorders>
              <w:top w:val="single" w:sz="4" w:space="0" w:color="auto"/>
              <w:left w:val="nil"/>
              <w:bottom w:val="single" w:sz="4" w:space="0" w:color="auto"/>
              <w:right w:val="nil"/>
            </w:tcBorders>
            <w:shd w:val="clear" w:color="auto" w:fill="auto"/>
            <w:vAlign w:val="center"/>
            <w:hideMark/>
          </w:tcPr>
          <w:p w:rsidR="00863AF1" w:rsidRPr="00863AF1" w:rsidRDefault="00863AF1" w:rsidP="00863AF1">
            <w:pPr>
              <w:spacing w:after="0" w:line="240" w:lineRule="auto"/>
              <w:jc w:val="center"/>
              <w:rPr>
                <w:rFonts w:ascii="Arial" w:eastAsia="Times New Roman" w:hAnsi="Arial" w:cs="Arial"/>
                <w:b/>
                <w:bCs/>
                <w:sz w:val="20"/>
                <w:szCs w:val="20"/>
              </w:rPr>
            </w:pPr>
            <w:r w:rsidRPr="00863AF1">
              <w:rPr>
                <w:rFonts w:ascii="Arial" w:eastAsia="Times New Roman" w:hAnsi="Arial" w:cs="Arial"/>
                <w:b/>
                <w:bCs/>
                <w:sz w:val="20"/>
                <w:szCs w:val="20"/>
              </w:rPr>
              <w:t>Boiling point (°C)</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Carbonates</w:t>
            </w: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lithium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723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 xml:space="preserve"> d. 1300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sodium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Na2CO3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851</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1600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potassium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K2CO3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898</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rubidium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Rb2CO3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837</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cesium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Cs2CO3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792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calcium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CaCO3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825</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strontium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SrCO3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1497</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1340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barium carbonate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BaCO3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811</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1300</w:t>
            </w:r>
          </w:p>
        </w:tc>
      </w:tr>
      <w:tr w:rsidR="00863AF1" w:rsidRPr="00863AF1" w:rsidTr="00217C73">
        <w:trPr>
          <w:trHeight w:val="255"/>
        </w:trPr>
        <w:tc>
          <w:tcPr>
            <w:tcW w:w="1886"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Sulfates</w:t>
            </w:r>
          </w:p>
        </w:tc>
        <w:tc>
          <w:tcPr>
            <w:tcW w:w="2941"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lithium sulfate</w:t>
            </w:r>
          </w:p>
        </w:tc>
        <w:tc>
          <w:tcPr>
            <w:tcW w:w="1552"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Li2SO4</w:t>
            </w:r>
          </w:p>
        </w:tc>
        <w:tc>
          <w:tcPr>
            <w:tcW w:w="1552"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860</w:t>
            </w:r>
          </w:p>
        </w:tc>
        <w:tc>
          <w:tcPr>
            <w:tcW w:w="1552" w:type="dxa"/>
            <w:tcBorders>
              <w:top w:val="single" w:sz="4" w:space="0" w:color="auto"/>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1377</w:t>
            </w: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sodium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Na2SO4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884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potassium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K2SO4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1076</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rubidium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Rb2SO4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1050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cesium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Cs2SO4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1005</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chromium (III)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Cr2(SO4)3</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manganese (II)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MnSO4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700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850</w:t>
            </w: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iron (II)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FeSO4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copper (II)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CuSO4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560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zinc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ZnSO4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680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zirconium (IV) sulfate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Zr</w:t>
            </w:r>
            <w:proofErr w:type="spellEnd"/>
            <w:r w:rsidRPr="00863AF1">
              <w:rPr>
                <w:rFonts w:ascii="Arial" w:eastAsia="Times New Roman" w:hAnsi="Arial" w:cs="Arial"/>
                <w:sz w:val="20"/>
                <w:szCs w:val="20"/>
              </w:rPr>
              <w:t>(SO4)2</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 </w:t>
            </w:r>
          </w:p>
        </w:tc>
        <w:tc>
          <w:tcPr>
            <w:tcW w:w="2941"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aluminum sulfate</w:t>
            </w:r>
          </w:p>
        </w:tc>
        <w:tc>
          <w:tcPr>
            <w:tcW w:w="1552"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Al2(SO4)3</w:t>
            </w:r>
          </w:p>
        </w:tc>
        <w:tc>
          <w:tcPr>
            <w:tcW w:w="1552"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d. 1040</w:t>
            </w:r>
          </w:p>
        </w:tc>
        <w:tc>
          <w:tcPr>
            <w:tcW w:w="1552" w:type="dxa"/>
            <w:tcBorders>
              <w:top w:val="nil"/>
              <w:left w:val="nil"/>
              <w:bottom w:val="single" w:sz="4" w:space="0" w:color="auto"/>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 </w:t>
            </w:r>
          </w:p>
        </w:tc>
      </w:tr>
      <w:tr w:rsidR="00863AF1" w:rsidRPr="00863AF1" w:rsidTr="00217C73">
        <w:trPr>
          <w:trHeight w:val="255"/>
        </w:trPr>
        <w:tc>
          <w:tcPr>
            <w:tcW w:w="1886"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Chlorides</w:t>
            </w: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lithium chloride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LiCl</w:t>
            </w:r>
            <w:proofErr w:type="spellEnd"/>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614</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1360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sodium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NaCl</w:t>
            </w:r>
            <w:proofErr w:type="spellEnd"/>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800</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1413</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potassium chloride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KCl</w:t>
            </w:r>
            <w:proofErr w:type="spellEnd"/>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790</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1500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rubidium chloride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RbCl</w:t>
            </w:r>
            <w:proofErr w:type="spellEnd"/>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715</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1390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cesium chloride</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proofErr w:type="spellStart"/>
            <w:r w:rsidRPr="00863AF1">
              <w:rPr>
                <w:rFonts w:ascii="Arial" w:eastAsia="Times New Roman" w:hAnsi="Arial" w:cs="Arial"/>
                <w:sz w:val="20"/>
                <w:szCs w:val="20"/>
              </w:rPr>
              <w:t>CsCl</w:t>
            </w:r>
            <w:proofErr w:type="spellEnd"/>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645</w:t>
            </w:r>
          </w:p>
        </w:tc>
        <w:tc>
          <w:tcPr>
            <w:tcW w:w="1552" w:type="dxa"/>
            <w:tcBorders>
              <w:top w:val="nil"/>
              <w:left w:val="nil"/>
              <w:bottom w:val="nil"/>
              <w:right w:val="nil"/>
            </w:tcBorders>
            <w:shd w:val="clear" w:color="auto" w:fill="auto"/>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1297</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magnesium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MgCl2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714</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1412</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calcium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CaCl2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775</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1936</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strontium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SrCl2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874</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1250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barium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BaCl2</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960</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1560</w:t>
            </w: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lanthanum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LaCl3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859</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p>
        </w:tc>
        <w:tc>
          <w:tcPr>
            <w:tcW w:w="2941"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cerium (III) chloride</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CeCl3</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817</w:t>
            </w:r>
          </w:p>
        </w:tc>
        <w:tc>
          <w:tcPr>
            <w:tcW w:w="1552" w:type="dxa"/>
            <w:tcBorders>
              <w:top w:val="nil"/>
              <w:left w:val="nil"/>
              <w:bottom w:val="nil"/>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p>
        </w:tc>
      </w:tr>
      <w:tr w:rsidR="00863AF1" w:rsidRPr="00863AF1" w:rsidTr="00217C73">
        <w:trPr>
          <w:trHeight w:val="255"/>
        </w:trPr>
        <w:tc>
          <w:tcPr>
            <w:tcW w:w="1886"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b/>
                <w:bCs/>
                <w:i/>
                <w:iCs/>
                <w:color w:val="0000FF"/>
                <w:sz w:val="20"/>
                <w:szCs w:val="20"/>
              </w:rPr>
            </w:pPr>
            <w:r w:rsidRPr="00863AF1">
              <w:rPr>
                <w:rFonts w:ascii="Arial" w:eastAsia="Times New Roman" w:hAnsi="Arial" w:cs="Arial"/>
                <w:b/>
                <w:bCs/>
                <w:i/>
                <w:iCs/>
                <w:color w:val="0000FF"/>
                <w:sz w:val="20"/>
                <w:szCs w:val="20"/>
              </w:rPr>
              <w:t> </w:t>
            </w:r>
          </w:p>
        </w:tc>
        <w:tc>
          <w:tcPr>
            <w:tcW w:w="2941"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neodymium chloride</w:t>
            </w:r>
          </w:p>
        </w:tc>
        <w:tc>
          <w:tcPr>
            <w:tcW w:w="1552"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NdCl3</w:t>
            </w:r>
          </w:p>
        </w:tc>
        <w:tc>
          <w:tcPr>
            <w:tcW w:w="1552"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758</w:t>
            </w:r>
          </w:p>
        </w:tc>
        <w:tc>
          <w:tcPr>
            <w:tcW w:w="1552" w:type="dxa"/>
            <w:tcBorders>
              <w:top w:val="nil"/>
              <w:left w:val="nil"/>
              <w:bottom w:val="single" w:sz="4" w:space="0" w:color="auto"/>
              <w:right w:val="nil"/>
            </w:tcBorders>
            <w:shd w:val="clear" w:color="auto" w:fill="auto"/>
            <w:noWrap/>
            <w:vAlign w:val="bottom"/>
            <w:hideMark/>
          </w:tcPr>
          <w:p w:rsidR="00863AF1" w:rsidRPr="00863AF1" w:rsidRDefault="00863AF1" w:rsidP="00863AF1">
            <w:pPr>
              <w:spacing w:after="0" w:line="240" w:lineRule="auto"/>
              <w:jc w:val="center"/>
              <w:rPr>
                <w:rFonts w:ascii="Arial" w:eastAsia="Times New Roman" w:hAnsi="Arial" w:cs="Arial"/>
                <w:sz w:val="20"/>
                <w:szCs w:val="20"/>
              </w:rPr>
            </w:pPr>
            <w:r w:rsidRPr="00863AF1">
              <w:rPr>
                <w:rFonts w:ascii="Arial" w:eastAsia="Times New Roman" w:hAnsi="Arial" w:cs="Arial"/>
                <w:sz w:val="20"/>
                <w:szCs w:val="20"/>
              </w:rPr>
              <w:t>1600</w:t>
            </w:r>
          </w:p>
        </w:tc>
      </w:tr>
    </w:tbl>
    <w:p w:rsidR="00F31AEC" w:rsidRDefault="00863AF1" w:rsidP="00863AF1">
      <w:pPr>
        <w:pStyle w:val="NormalWeb"/>
        <w:jc w:val="center"/>
        <w:rPr>
          <w:color w:val="0000FF"/>
        </w:rPr>
      </w:pPr>
      <w:proofErr w:type="gramStart"/>
      <w:r>
        <w:rPr>
          <w:color w:val="0000FF"/>
        </w:rPr>
        <w:t>Table 1: Candidate materials for combinatorial screening.</w:t>
      </w:r>
      <w:proofErr w:type="gramEnd"/>
      <w:r w:rsidR="00CB080D">
        <w:rPr>
          <w:color w:val="0000FF"/>
        </w:rPr>
        <w:t xml:space="preserve"> </w:t>
      </w:r>
      <w:r w:rsidR="009967E4">
        <w:rPr>
          <w:color w:val="0000FF"/>
        </w:rPr>
        <w:t>(</w:t>
      </w:r>
      <w:r w:rsidR="00CB080D">
        <w:rPr>
          <w:color w:val="0000FF"/>
        </w:rPr>
        <w:t>d. = decomposition</w:t>
      </w:r>
      <w:r w:rsidR="009967E4">
        <w:rPr>
          <w:color w:val="0000FF"/>
        </w:rPr>
        <w:t>)</w:t>
      </w:r>
    </w:p>
    <w:p w:rsidR="00275F3B" w:rsidRDefault="00275F3B" w:rsidP="001221F8">
      <w:pPr>
        <w:pStyle w:val="NormalWeb"/>
        <w:rPr>
          <w:color w:val="0000FF"/>
        </w:rPr>
      </w:pPr>
      <w:r>
        <w:rPr>
          <w:color w:val="0000FF"/>
        </w:rPr>
        <w:t xml:space="preserve">Other salt types exist and will be investigated as alternatives to the three primary systems described above. Fluoride salts form eutectics but are typically more expensive and more corrosive than chloride salts. Bromide salts are also more expensive. Hydroxide salts are very reactive and corrosive but have been used for many years in industrial applications. </w:t>
      </w:r>
      <w:proofErr w:type="spellStart"/>
      <w:r>
        <w:rPr>
          <w:color w:val="0000FF"/>
        </w:rPr>
        <w:t>Tungstates</w:t>
      </w:r>
      <w:proofErr w:type="spellEnd"/>
      <w:r>
        <w:rPr>
          <w:color w:val="0000FF"/>
        </w:rPr>
        <w:t xml:space="preserve"> and </w:t>
      </w:r>
      <w:proofErr w:type="spellStart"/>
      <w:r>
        <w:rPr>
          <w:color w:val="0000FF"/>
        </w:rPr>
        <w:t>molybdates</w:t>
      </w:r>
      <w:proofErr w:type="spellEnd"/>
      <w:r>
        <w:rPr>
          <w:color w:val="0000FF"/>
        </w:rPr>
        <w:t xml:space="preserve"> </w:t>
      </w:r>
      <w:r w:rsidR="00944B88">
        <w:rPr>
          <w:color w:val="0000FF"/>
        </w:rPr>
        <w:t>are known to form eutectic mixtures</w:t>
      </w:r>
      <w:r>
        <w:rPr>
          <w:color w:val="0000FF"/>
        </w:rPr>
        <w:t xml:space="preserve"> but are generally more expensive and </w:t>
      </w:r>
      <w:r w:rsidR="004A0AD8">
        <w:rPr>
          <w:color w:val="0000FF"/>
        </w:rPr>
        <w:t>have limited</w:t>
      </w:r>
      <w:r>
        <w:rPr>
          <w:color w:val="0000FF"/>
        </w:rPr>
        <w:t xml:space="preserve"> data on eutectic behavior.</w:t>
      </w:r>
      <w:r w:rsidR="004E6E46">
        <w:rPr>
          <w:color w:val="0000FF"/>
        </w:rPr>
        <w:t xml:space="preserve"> Borates are cheap but </w:t>
      </w:r>
      <w:r w:rsidR="004E6E46">
        <w:rPr>
          <w:color w:val="0000FF"/>
        </w:rPr>
        <w:t>have limited data on eutectic behavior</w:t>
      </w:r>
      <w:r w:rsidR="004E6E46">
        <w:rPr>
          <w:color w:val="0000FF"/>
        </w:rPr>
        <w:t>.</w:t>
      </w:r>
    </w:p>
    <w:p w:rsidR="003D7745" w:rsidRDefault="003D7745" w:rsidP="001221F8">
      <w:pPr>
        <w:pStyle w:val="NormalWeb"/>
        <w:rPr>
          <w:color w:val="0000FF"/>
        </w:rPr>
      </w:pPr>
      <w:r>
        <w:rPr>
          <w:color w:val="0000FF"/>
        </w:rPr>
        <w:t>There is a possibility that mixed anion salt mixtures will also be useful to achieve the goals of this project. Halotechnics has experience in the behavior of mixed salt systems and the general compatibility of different salt types.</w:t>
      </w:r>
      <w:r w:rsidR="00F1666A">
        <w:rPr>
          <w:color w:val="0000FF"/>
        </w:rPr>
        <w:t xml:space="preserve"> For example, carbonates and sulfates are typically miscible and form eutectic mixtures.</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 xml:space="preserve">2.  Can you give the details behind the spin-off of Halotechnics from </w:t>
      </w:r>
      <w:proofErr w:type="spellStart"/>
      <w:r>
        <w:rPr>
          <w:rFonts w:ascii="Arial" w:hAnsi="Arial" w:cs="Arial"/>
        </w:rPr>
        <w:t>Symyx</w:t>
      </w:r>
      <w:proofErr w:type="spellEnd"/>
      <w:r>
        <w:rPr>
          <w:rFonts w:ascii="Arial" w:hAnsi="Arial" w:cs="Arial"/>
        </w:rPr>
        <w:t xml:space="preserve">?  What were the terms of the spin-off?  What is </w:t>
      </w:r>
      <w:proofErr w:type="spellStart"/>
      <w:r>
        <w:rPr>
          <w:rFonts w:ascii="Arial" w:hAnsi="Arial" w:cs="Arial"/>
        </w:rPr>
        <w:t>Symyx’s</w:t>
      </w:r>
      <w:proofErr w:type="spellEnd"/>
      <w:r>
        <w:rPr>
          <w:rFonts w:ascii="Arial" w:hAnsi="Arial" w:cs="Arial"/>
        </w:rPr>
        <w:t xml:space="preserve"> current involvement in Halotechnics’ management/operations, if any?  How is the equity of Halotechnics distributed?</w:t>
      </w:r>
    </w:p>
    <w:p w:rsidR="00B2755E" w:rsidRPr="00B2755E" w:rsidRDefault="00B11587" w:rsidP="001221F8">
      <w:pPr>
        <w:pStyle w:val="NormalWeb"/>
        <w:rPr>
          <w:color w:val="0000FF"/>
        </w:rPr>
      </w:pPr>
      <w:proofErr w:type="spellStart"/>
      <w:r w:rsidRPr="00B2755E">
        <w:rPr>
          <w:color w:val="0000FF"/>
        </w:rPr>
        <w:t>Symyx</w:t>
      </w:r>
      <w:proofErr w:type="spellEnd"/>
      <w:r w:rsidRPr="00B2755E">
        <w:rPr>
          <w:color w:val="0000FF"/>
        </w:rPr>
        <w:t xml:space="preserve"> </w:t>
      </w:r>
      <w:r w:rsidR="00486D86">
        <w:rPr>
          <w:color w:val="0000FF"/>
        </w:rPr>
        <w:t xml:space="preserve">management </w:t>
      </w:r>
      <w:r w:rsidRPr="00B2755E">
        <w:rPr>
          <w:color w:val="0000FF"/>
        </w:rPr>
        <w:t xml:space="preserve">made a strategic decision to exit all research operations at the end of 2009. Justin Raade had been leading the DOE </w:t>
      </w:r>
      <w:r w:rsidR="00217C73">
        <w:rPr>
          <w:color w:val="0000FF"/>
        </w:rPr>
        <w:t xml:space="preserve">eutectic salt research </w:t>
      </w:r>
      <w:r w:rsidRPr="00B2755E">
        <w:rPr>
          <w:color w:val="0000FF"/>
        </w:rPr>
        <w:t xml:space="preserve">program as PI for one year at </w:t>
      </w:r>
      <w:proofErr w:type="spellStart"/>
      <w:r w:rsidRPr="00B2755E">
        <w:rPr>
          <w:color w:val="0000FF"/>
        </w:rPr>
        <w:t>Symyx</w:t>
      </w:r>
      <w:proofErr w:type="spellEnd"/>
      <w:r w:rsidR="00217C73">
        <w:rPr>
          <w:color w:val="0000FF"/>
        </w:rPr>
        <w:t>. He</w:t>
      </w:r>
      <w:r w:rsidRPr="00B2755E">
        <w:rPr>
          <w:color w:val="0000FF"/>
        </w:rPr>
        <w:t xml:space="preserve"> founded Halotechnics to spin out from </w:t>
      </w:r>
      <w:proofErr w:type="spellStart"/>
      <w:r w:rsidRPr="00B2755E">
        <w:rPr>
          <w:color w:val="0000FF"/>
        </w:rPr>
        <w:t>Symyx</w:t>
      </w:r>
      <w:proofErr w:type="spellEnd"/>
      <w:r w:rsidRPr="00B2755E">
        <w:rPr>
          <w:color w:val="0000FF"/>
        </w:rPr>
        <w:t xml:space="preserve"> and continue the R&amp;D and commercialization of the nitrate salt-based materials his research was focused on. </w:t>
      </w:r>
      <w:r w:rsidR="00D2329D">
        <w:rPr>
          <w:color w:val="0000FF"/>
        </w:rPr>
        <w:t xml:space="preserve">Several co-workers from </w:t>
      </w:r>
      <w:proofErr w:type="spellStart"/>
      <w:r w:rsidR="00D2329D">
        <w:rPr>
          <w:color w:val="0000FF"/>
        </w:rPr>
        <w:t>Symyx</w:t>
      </w:r>
      <w:proofErr w:type="spellEnd"/>
      <w:r w:rsidR="00D2329D">
        <w:rPr>
          <w:color w:val="0000FF"/>
        </w:rPr>
        <w:t xml:space="preserve"> joined Dr. Raade at Halotechnics, including Thomas Roark who will be involved with the proposed project. </w:t>
      </w:r>
      <w:proofErr w:type="spellStart"/>
      <w:r w:rsidRPr="00B2755E">
        <w:rPr>
          <w:color w:val="0000FF"/>
        </w:rPr>
        <w:t>Symyx</w:t>
      </w:r>
      <w:proofErr w:type="spellEnd"/>
      <w:r w:rsidRPr="00B2755E">
        <w:rPr>
          <w:color w:val="0000FF"/>
        </w:rPr>
        <w:t xml:space="preserve"> agreed to transfer the remaining portion </w:t>
      </w:r>
      <w:r w:rsidR="00217C73">
        <w:rPr>
          <w:color w:val="0000FF"/>
        </w:rPr>
        <w:t xml:space="preserve">of the grant </w:t>
      </w:r>
      <w:r w:rsidRPr="00B2755E">
        <w:rPr>
          <w:color w:val="0000FF"/>
        </w:rPr>
        <w:t xml:space="preserve">(2 years and a total of $1 million) to Halotechnics. </w:t>
      </w:r>
      <w:proofErr w:type="spellStart"/>
      <w:r w:rsidRPr="00B2755E">
        <w:rPr>
          <w:color w:val="0000FF"/>
        </w:rPr>
        <w:t>Symyx</w:t>
      </w:r>
      <w:proofErr w:type="spellEnd"/>
      <w:r w:rsidRPr="00B2755E">
        <w:rPr>
          <w:color w:val="0000FF"/>
        </w:rPr>
        <w:t xml:space="preserve"> further agreed to assign all intellectual property related to thermal materials to Halotechnics. Halotechnics acquired the scientific software, laboratory equipment</w:t>
      </w:r>
      <w:r w:rsidR="000A2647">
        <w:rPr>
          <w:color w:val="0000FF"/>
        </w:rPr>
        <w:t>,</w:t>
      </w:r>
      <w:r w:rsidRPr="00B2755E">
        <w:rPr>
          <w:color w:val="0000FF"/>
        </w:rPr>
        <w:t xml:space="preserve"> and supplies necessary to continue the work from </w:t>
      </w:r>
      <w:proofErr w:type="spellStart"/>
      <w:r w:rsidRPr="00B2755E">
        <w:rPr>
          <w:color w:val="0000FF"/>
        </w:rPr>
        <w:t>Symyx</w:t>
      </w:r>
      <w:proofErr w:type="spellEnd"/>
      <w:r w:rsidRPr="00B2755E">
        <w:rPr>
          <w:color w:val="0000FF"/>
        </w:rPr>
        <w:t xml:space="preserve">. In exchange for these items </w:t>
      </w:r>
      <w:proofErr w:type="spellStart"/>
      <w:r w:rsidRPr="00B2755E">
        <w:rPr>
          <w:color w:val="0000FF"/>
        </w:rPr>
        <w:t>Symyx</w:t>
      </w:r>
      <w:proofErr w:type="spellEnd"/>
      <w:r w:rsidRPr="00B2755E">
        <w:rPr>
          <w:color w:val="0000FF"/>
        </w:rPr>
        <w:t xml:space="preserve"> retained an ownership of 19% of Halotechnics. Since the spin-out Halotechnics has set aside a portion of shares for employee stock options. See the pro-forma capitalization of the company belo</w:t>
      </w:r>
      <w:bookmarkStart w:id="0" w:name="_GoBack"/>
      <w:bookmarkEnd w:id="0"/>
      <w:r w:rsidRPr="00B2755E">
        <w:rPr>
          <w:color w:val="0000FF"/>
        </w:rPr>
        <w:t>w</w:t>
      </w:r>
      <w:r w:rsidR="00217C73">
        <w:rPr>
          <w:color w:val="0000FF"/>
        </w:rPr>
        <w:t xml:space="preserve"> in Table 2</w:t>
      </w:r>
      <w:r w:rsidRPr="00B2755E">
        <w:rPr>
          <w:color w:val="0000FF"/>
        </w:rPr>
        <w:t>.</w:t>
      </w:r>
      <w:r w:rsidR="00A64262">
        <w:rPr>
          <w:color w:val="0000FF"/>
        </w:rPr>
        <w:t xml:space="preserve"> </w:t>
      </w:r>
      <w:proofErr w:type="spellStart"/>
      <w:r w:rsidR="00A64262" w:rsidRPr="00B2755E">
        <w:rPr>
          <w:color w:val="0000FF"/>
        </w:rPr>
        <w:t>Symyx</w:t>
      </w:r>
      <w:proofErr w:type="spellEnd"/>
      <w:r w:rsidR="00A64262" w:rsidRPr="00B2755E">
        <w:rPr>
          <w:color w:val="0000FF"/>
        </w:rPr>
        <w:t xml:space="preserve"> does not have a board seat or any other managerial</w:t>
      </w:r>
      <w:r w:rsidR="000A2647">
        <w:rPr>
          <w:color w:val="0000FF"/>
        </w:rPr>
        <w:t>/operational</w:t>
      </w:r>
      <w:r w:rsidR="00A64262" w:rsidRPr="00B2755E">
        <w:rPr>
          <w:color w:val="0000FF"/>
        </w:rPr>
        <w:t xml:space="preserve"> position with Halotechnics.</w:t>
      </w:r>
      <w:r w:rsidR="0030622E">
        <w:rPr>
          <w:color w:val="0000FF"/>
        </w:rPr>
        <w:t xml:space="preserve"> After the spin-out </w:t>
      </w:r>
      <w:proofErr w:type="spellStart"/>
      <w:r w:rsidR="0030622E">
        <w:rPr>
          <w:color w:val="0000FF"/>
        </w:rPr>
        <w:t>Symyx</w:t>
      </w:r>
      <w:proofErr w:type="spellEnd"/>
      <w:r w:rsidR="0030622E">
        <w:rPr>
          <w:color w:val="0000FF"/>
        </w:rPr>
        <w:t xml:space="preserve"> merged with another software company, </w:t>
      </w:r>
      <w:proofErr w:type="spellStart"/>
      <w:r w:rsidR="0030622E">
        <w:rPr>
          <w:color w:val="0000FF"/>
        </w:rPr>
        <w:t>Accelrys</w:t>
      </w:r>
      <w:proofErr w:type="spellEnd"/>
      <w:r w:rsidR="0030622E">
        <w:rPr>
          <w:color w:val="0000FF"/>
        </w:rPr>
        <w:t>, Inc.</w:t>
      </w:r>
    </w:p>
    <w:tbl>
      <w:tblPr>
        <w:tblW w:w="0" w:type="auto"/>
        <w:jc w:val="center"/>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880"/>
        <w:gridCol w:w="2372"/>
        <w:gridCol w:w="2279"/>
      </w:tblGrid>
      <w:tr w:rsidR="00B2755E" w:rsidRPr="00BF520D" w:rsidTr="00B02BD9">
        <w:trPr>
          <w:jc w:val="center"/>
        </w:trPr>
        <w:tc>
          <w:tcPr>
            <w:tcW w:w="2880" w:type="dxa"/>
            <w:vAlign w:val="bottom"/>
          </w:tcPr>
          <w:p w:rsidR="00B11587" w:rsidRPr="00BF520D" w:rsidRDefault="00B11587" w:rsidP="00B02BD9">
            <w:pPr>
              <w:rPr>
                <w:rFonts w:ascii="Times New Roman" w:hAnsi="Times New Roman" w:cs="Times New Roman"/>
                <w:b/>
                <w:sz w:val="24"/>
                <w:szCs w:val="24"/>
              </w:rPr>
            </w:pPr>
            <w:r w:rsidRPr="00BF520D">
              <w:rPr>
                <w:rFonts w:ascii="Times New Roman" w:hAnsi="Times New Roman" w:cs="Times New Roman"/>
                <w:b/>
                <w:sz w:val="24"/>
                <w:szCs w:val="24"/>
              </w:rPr>
              <w:t>Shareholder</w:t>
            </w:r>
          </w:p>
        </w:tc>
        <w:tc>
          <w:tcPr>
            <w:tcW w:w="2372" w:type="dxa"/>
            <w:vAlign w:val="bottom"/>
          </w:tcPr>
          <w:p w:rsidR="00B11587" w:rsidRPr="00BF520D" w:rsidRDefault="00B11587" w:rsidP="00B02BD9">
            <w:pPr>
              <w:rPr>
                <w:rFonts w:ascii="Times New Roman" w:hAnsi="Times New Roman" w:cs="Times New Roman"/>
                <w:b/>
                <w:sz w:val="24"/>
                <w:szCs w:val="24"/>
              </w:rPr>
            </w:pPr>
            <w:r w:rsidRPr="00BF520D">
              <w:rPr>
                <w:rFonts w:ascii="Times New Roman" w:hAnsi="Times New Roman" w:cs="Times New Roman"/>
                <w:b/>
                <w:sz w:val="24"/>
                <w:szCs w:val="24"/>
              </w:rPr>
              <w:t>Shares Outstanding (Common Stock)</w:t>
            </w:r>
          </w:p>
        </w:tc>
        <w:tc>
          <w:tcPr>
            <w:tcW w:w="2279" w:type="dxa"/>
            <w:vAlign w:val="bottom"/>
          </w:tcPr>
          <w:p w:rsidR="00B11587" w:rsidRPr="00BF520D" w:rsidRDefault="00B11587" w:rsidP="00B02BD9">
            <w:pPr>
              <w:rPr>
                <w:rFonts w:ascii="Times New Roman" w:hAnsi="Times New Roman" w:cs="Times New Roman"/>
                <w:b/>
                <w:sz w:val="24"/>
                <w:szCs w:val="24"/>
              </w:rPr>
            </w:pPr>
            <w:r w:rsidRPr="00BF520D">
              <w:rPr>
                <w:rFonts w:ascii="Times New Roman" w:hAnsi="Times New Roman" w:cs="Times New Roman"/>
                <w:b/>
                <w:sz w:val="24"/>
                <w:szCs w:val="24"/>
              </w:rPr>
              <w:t>Percentage</w:t>
            </w:r>
          </w:p>
        </w:tc>
      </w:tr>
      <w:tr w:rsidR="00B2755E" w:rsidRPr="00BF520D" w:rsidTr="00B02BD9">
        <w:trPr>
          <w:jc w:val="center"/>
        </w:trPr>
        <w:tc>
          <w:tcPr>
            <w:tcW w:w="2880" w:type="dxa"/>
            <w:vAlign w:val="bottom"/>
          </w:tcPr>
          <w:p w:rsidR="00B11587" w:rsidRPr="00BF520D" w:rsidRDefault="00B11587" w:rsidP="00B02BD9">
            <w:pPr>
              <w:rPr>
                <w:rFonts w:ascii="Times New Roman" w:hAnsi="Times New Roman" w:cs="Times New Roman"/>
                <w:sz w:val="24"/>
                <w:szCs w:val="24"/>
              </w:rPr>
            </w:pPr>
            <w:r w:rsidRPr="00BF520D">
              <w:rPr>
                <w:rFonts w:ascii="Times New Roman" w:hAnsi="Times New Roman" w:cs="Times New Roman"/>
                <w:sz w:val="24"/>
                <w:szCs w:val="24"/>
              </w:rPr>
              <w:t>Justin Raade</w:t>
            </w:r>
          </w:p>
        </w:tc>
        <w:tc>
          <w:tcPr>
            <w:tcW w:w="2372" w:type="dxa"/>
            <w:vAlign w:val="bottom"/>
          </w:tcPr>
          <w:p w:rsidR="00B11587" w:rsidRPr="00BF520D" w:rsidRDefault="00B11587" w:rsidP="00B02BD9">
            <w:pPr>
              <w:rPr>
                <w:rFonts w:ascii="Times New Roman" w:hAnsi="Times New Roman" w:cs="Times New Roman"/>
                <w:sz w:val="24"/>
                <w:szCs w:val="24"/>
              </w:rPr>
            </w:pPr>
            <w:r w:rsidRPr="00BF520D">
              <w:rPr>
                <w:rFonts w:ascii="Times New Roman" w:hAnsi="Times New Roman" w:cs="Times New Roman"/>
                <w:sz w:val="24"/>
                <w:szCs w:val="24"/>
              </w:rPr>
              <w:t>5,000,000</w:t>
            </w:r>
          </w:p>
        </w:tc>
        <w:tc>
          <w:tcPr>
            <w:tcW w:w="2279" w:type="dxa"/>
            <w:vAlign w:val="bottom"/>
          </w:tcPr>
          <w:p w:rsidR="00B11587" w:rsidRPr="00BF520D" w:rsidRDefault="00B11587" w:rsidP="00B02BD9">
            <w:pPr>
              <w:rPr>
                <w:rFonts w:ascii="Times New Roman" w:hAnsi="Times New Roman" w:cs="Times New Roman"/>
                <w:sz w:val="24"/>
                <w:szCs w:val="24"/>
              </w:rPr>
            </w:pPr>
            <w:r w:rsidRPr="00BF520D">
              <w:rPr>
                <w:rFonts w:ascii="Times New Roman" w:hAnsi="Times New Roman" w:cs="Times New Roman"/>
                <w:sz w:val="24"/>
                <w:szCs w:val="24"/>
              </w:rPr>
              <w:t>68%</w:t>
            </w:r>
          </w:p>
        </w:tc>
      </w:tr>
      <w:tr w:rsidR="00B2755E" w:rsidRPr="00BF520D" w:rsidTr="00B02BD9">
        <w:trPr>
          <w:jc w:val="center"/>
        </w:trPr>
        <w:tc>
          <w:tcPr>
            <w:tcW w:w="2880" w:type="dxa"/>
            <w:vAlign w:val="bottom"/>
          </w:tcPr>
          <w:p w:rsidR="00B11587" w:rsidRPr="00BF520D" w:rsidRDefault="00B11587" w:rsidP="00B02BD9">
            <w:pPr>
              <w:rPr>
                <w:rFonts w:ascii="Times New Roman" w:hAnsi="Times New Roman" w:cs="Times New Roman"/>
                <w:sz w:val="24"/>
                <w:szCs w:val="24"/>
              </w:rPr>
            </w:pPr>
            <w:proofErr w:type="spellStart"/>
            <w:r w:rsidRPr="00BF520D">
              <w:rPr>
                <w:rFonts w:ascii="Times New Roman" w:hAnsi="Times New Roman" w:cs="Times New Roman"/>
                <w:sz w:val="24"/>
                <w:szCs w:val="24"/>
              </w:rPr>
              <w:t>Symyx</w:t>
            </w:r>
            <w:proofErr w:type="spellEnd"/>
            <w:r w:rsidRPr="00BF520D">
              <w:rPr>
                <w:rFonts w:ascii="Times New Roman" w:hAnsi="Times New Roman" w:cs="Times New Roman"/>
                <w:sz w:val="24"/>
                <w:szCs w:val="24"/>
              </w:rPr>
              <w:t xml:space="preserve"> Technologies, Inc.</w:t>
            </w:r>
          </w:p>
        </w:tc>
        <w:tc>
          <w:tcPr>
            <w:tcW w:w="2372" w:type="dxa"/>
            <w:vAlign w:val="bottom"/>
          </w:tcPr>
          <w:p w:rsidR="00B11587" w:rsidRPr="00BF520D" w:rsidRDefault="00B11587" w:rsidP="00B02BD9">
            <w:pPr>
              <w:rPr>
                <w:rFonts w:ascii="Times New Roman" w:hAnsi="Times New Roman" w:cs="Times New Roman"/>
                <w:sz w:val="24"/>
                <w:szCs w:val="24"/>
              </w:rPr>
            </w:pPr>
            <w:r w:rsidRPr="00BF520D">
              <w:rPr>
                <w:rFonts w:ascii="Times New Roman" w:hAnsi="Times New Roman" w:cs="Times New Roman"/>
                <w:sz w:val="24"/>
                <w:szCs w:val="24"/>
              </w:rPr>
              <w:t>1,172,840</w:t>
            </w:r>
          </w:p>
        </w:tc>
        <w:tc>
          <w:tcPr>
            <w:tcW w:w="2279" w:type="dxa"/>
            <w:vAlign w:val="bottom"/>
          </w:tcPr>
          <w:p w:rsidR="00B11587" w:rsidRPr="00BF520D" w:rsidRDefault="00B11587" w:rsidP="00B02BD9">
            <w:pPr>
              <w:rPr>
                <w:rFonts w:ascii="Times New Roman" w:hAnsi="Times New Roman" w:cs="Times New Roman"/>
                <w:sz w:val="24"/>
                <w:szCs w:val="24"/>
              </w:rPr>
            </w:pPr>
            <w:r w:rsidRPr="00BF520D">
              <w:rPr>
                <w:rFonts w:ascii="Times New Roman" w:hAnsi="Times New Roman" w:cs="Times New Roman"/>
                <w:sz w:val="24"/>
                <w:szCs w:val="24"/>
              </w:rPr>
              <w:t>16%</w:t>
            </w:r>
          </w:p>
        </w:tc>
      </w:tr>
      <w:tr w:rsidR="00B2755E" w:rsidRPr="00BF520D" w:rsidTr="00B02BD9">
        <w:trPr>
          <w:jc w:val="center"/>
        </w:trPr>
        <w:tc>
          <w:tcPr>
            <w:tcW w:w="2880" w:type="dxa"/>
            <w:vAlign w:val="bottom"/>
          </w:tcPr>
          <w:p w:rsidR="00B11587" w:rsidRPr="00BF520D" w:rsidRDefault="00B11587" w:rsidP="00B02BD9">
            <w:pPr>
              <w:rPr>
                <w:rFonts w:ascii="Times New Roman" w:hAnsi="Times New Roman" w:cs="Times New Roman"/>
                <w:sz w:val="24"/>
                <w:szCs w:val="24"/>
              </w:rPr>
            </w:pPr>
            <w:r w:rsidRPr="00BF520D">
              <w:rPr>
                <w:rFonts w:ascii="Times New Roman" w:hAnsi="Times New Roman" w:cs="Times New Roman"/>
                <w:sz w:val="24"/>
                <w:szCs w:val="24"/>
              </w:rPr>
              <w:t>Stock Option Pool</w:t>
            </w:r>
          </w:p>
        </w:tc>
        <w:tc>
          <w:tcPr>
            <w:tcW w:w="2372" w:type="dxa"/>
            <w:vAlign w:val="bottom"/>
          </w:tcPr>
          <w:p w:rsidR="00B11587" w:rsidRPr="00BF520D" w:rsidRDefault="00B11587" w:rsidP="00B02BD9">
            <w:pPr>
              <w:rPr>
                <w:rFonts w:ascii="Times New Roman" w:hAnsi="Times New Roman" w:cs="Times New Roman"/>
                <w:sz w:val="24"/>
                <w:szCs w:val="24"/>
              </w:rPr>
            </w:pPr>
            <w:r w:rsidRPr="00BF520D">
              <w:rPr>
                <w:rFonts w:ascii="Times New Roman" w:hAnsi="Times New Roman" w:cs="Times New Roman"/>
                <w:sz w:val="24"/>
                <w:szCs w:val="24"/>
              </w:rPr>
              <w:t>1,200,000</w:t>
            </w:r>
          </w:p>
        </w:tc>
        <w:tc>
          <w:tcPr>
            <w:tcW w:w="2279" w:type="dxa"/>
            <w:vAlign w:val="bottom"/>
          </w:tcPr>
          <w:p w:rsidR="00B11587" w:rsidRPr="00BF520D" w:rsidRDefault="00B11587" w:rsidP="00B02BD9">
            <w:pPr>
              <w:rPr>
                <w:rFonts w:ascii="Times New Roman" w:hAnsi="Times New Roman" w:cs="Times New Roman"/>
                <w:sz w:val="24"/>
                <w:szCs w:val="24"/>
              </w:rPr>
            </w:pPr>
            <w:r w:rsidRPr="00BF520D">
              <w:rPr>
                <w:rFonts w:ascii="Times New Roman" w:hAnsi="Times New Roman" w:cs="Times New Roman"/>
                <w:sz w:val="24"/>
                <w:szCs w:val="24"/>
              </w:rPr>
              <w:t>16%</w:t>
            </w:r>
          </w:p>
        </w:tc>
      </w:tr>
    </w:tbl>
    <w:p w:rsidR="00B11587" w:rsidRDefault="00217C73" w:rsidP="00217C73">
      <w:pPr>
        <w:pStyle w:val="NormalWeb"/>
        <w:jc w:val="center"/>
        <w:rPr>
          <w:color w:val="0000FF"/>
        </w:rPr>
      </w:pPr>
      <w:proofErr w:type="gramStart"/>
      <w:r>
        <w:rPr>
          <w:color w:val="0000FF"/>
        </w:rPr>
        <w:t>Table 2: Pro-forma capitalization table of Halotechnics.</w:t>
      </w:r>
      <w:proofErr w:type="gramEnd"/>
    </w:p>
    <w:p w:rsidR="00217C73" w:rsidRPr="00B2755E" w:rsidRDefault="00217C73" w:rsidP="00217C73">
      <w:pPr>
        <w:pStyle w:val="NormalWeb"/>
        <w:jc w:val="center"/>
        <w:rPr>
          <w:color w:val="0000FF"/>
        </w:rPr>
      </w:pPr>
    </w:p>
    <w:p w:rsidR="001221F8" w:rsidRDefault="001221F8" w:rsidP="001221F8">
      <w:pPr>
        <w:pStyle w:val="NormalWeb"/>
        <w:rPr>
          <w:rFonts w:ascii="Arial" w:hAnsi="Arial" w:cs="Arial"/>
        </w:rPr>
      </w:pPr>
      <w:r>
        <w:rPr>
          <w:rFonts w:ascii="Arial" w:hAnsi="Arial" w:cs="Arial"/>
        </w:rPr>
        <w:t xml:space="preserve">3.  No materials and supplies are budgeted for the Phase I project.  Please explain.  </w:t>
      </w:r>
    </w:p>
    <w:p w:rsidR="00B11587" w:rsidRPr="00951F79" w:rsidRDefault="00520DC8" w:rsidP="001221F8">
      <w:pPr>
        <w:pStyle w:val="NormalWeb"/>
        <w:rPr>
          <w:color w:val="0000FF"/>
        </w:rPr>
      </w:pPr>
      <w:r w:rsidRPr="00951F79">
        <w:rPr>
          <w:color w:val="0000FF"/>
        </w:rPr>
        <w:t>Materials and supplies purchased by Halotechnics are typically</w:t>
      </w:r>
      <w:r w:rsidR="00B11587" w:rsidRPr="00951F79">
        <w:rPr>
          <w:color w:val="0000FF"/>
        </w:rPr>
        <w:t xml:space="preserve"> used for all research programs</w:t>
      </w:r>
      <w:r w:rsidRPr="00951F79">
        <w:rPr>
          <w:color w:val="0000FF"/>
        </w:rPr>
        <w:t>, both externally funded and internal</w:t>
      </w:r>
      <w:r w:rsidR="00B11587" w:rsidRPr="00951F79">
        <w:rPr>
          <w:color w:val="0000FF"/>
        </w:rPr>
        <w:t>. For this reason they are allocated as indirect costs. For exa</w:t>
      </w:r>
      <w:r w:rsidR="00B317FE" w:rsidRPr="00951F79">
        <w:rPr>
          <w:color w:val="0000FF"/>
        </w:rPr>
        <w:t>mple, one pound</w:t>
      </w:r>
      <w:r w:rsidR="00B11587" w:rsidRPr="00951F79">
        <w:rPr>
          <w:color w:val="0000FF"/>
        </w:rPr>
        <w:t xml:space="preserve"> of laboratory grade carbonate salt will be us</w:t>
      </w:r>
      <w:r w:rsidR="009C5824" w:rsidRPr="00951F79">
        <w:rPr>
          <w:color w:val="0000FF"/>
        </w:rPr>
        <w:t>ed for a variety of experiments over the course of several months, including melting point, thermal stability, and other tests</w:t>
      </w:r>
      <w:r w:rsidR="00B11587" w:rsidRPr="00951F79">
        <w:rPr>
          <w:color w:val="0000FF"/>
        </w:rPr>
        <w:t>.</w:t>
      </w:r>
      <w:r w:rsidR="009C5824" w:rsidRPr="00951F79">
        <w:rPr>
          <w:color w:val="0000FF"/>
        </w:rPr>
        <w:t xml:space="preserve"> It </w:t>
      </w:r>
      <w:r w:rsidR="005A07D1">
        <w:rPr>
          <w:color w:val="0000FF"/>
        </w:rPr>
        <w:t xml:space="preserve">is inevitably </w:t>
      </w:r>
      <w:r w:rsidR="009C5824" w:rsidRPr="00951F79">
        <w:rPr>
          <w:color w:val="0000FF"/>
        </w:rPr>
        <w:t>used on a variety of projects and cannot be budgeted as a direct cost.</w:t>
      </w:r>
      <w:r w:rsidR="00B11587" w:rsidRPr="00951F79">
        <w:rPr>
          <w:color w:val="0000FF"/>
        </w:rPr>
        <w:t xml:space="preserve"> </w:t>
      </w:r>
    </w:p>
    <w:p w:rsidR="00B11587" w:rsidRDefault="00B11587" w:rsidP="001221F8">
      <w:pPr>
        <w:pStyle w:val="NormalWeb"/>
        <w:rPr>
          <w:color w:val="0000FF"/>
        </w:rPr>
      </w:pPr>
      <w:r w:rsidRPr="00951F79">
        <w:rPr>
          <w:color w:val="0000FF"/>
        </w:rPr>
        <w:t xml:space="preserve">We </w:t>
      </w:r>
      <w:r w:rsidR="000F45F5">
        <w:rPr>
          <w:color w:val="0000FF"/>
        </w:rPr>
        <w:t>do not anticipate purchasing any</w:t>
      </w:r>
      <w:r w:rsidRPr="00951F79">
        <w:rPr>
          <w:color w:val="0000FF"/>
        </w:rPr>
        <w:t xml:space="preserve"> major equipment to achieve the objectives of the proposed </w:t>
      </w:r>
      <w:r w:rsidR="00766E12">
        <w:rPr>
          <w:color w:val="0000FF"/>
        </w:rPr>
        <w:t xml:space="preserve">Phase I </w:t>
      </w:r>
      <w:r w:rsidRPr="00951F79">
        <w:rPr>
          <w:color w:val="0000FF"/>
        </w:rPr>
        <w:t xml:space="preserve">program.  </w:t>
      </w:r>
    </w:p>
    <w:p w:rsidR="00567B5D" w:rsidRPr="00951F79"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 xml:space="preserve">4.  The proposal’s facilities and equipment section lists that the target move-in date for the company to acquire lab space is June 2009.  Please clarify and provide updated status on this.  </w:t>
      </w:r>
    </w:p>
    <w:p w:rsidR="00951F79" w:rsidRDefault="00951F79" w:rsidP="001221F8">
      <w:pPr>
        <w:pStyle w:val="NormalWeb"/>
        <w:rPr>
          <w:color w:val="0000FF"/>
        </w:rPr>
      </w:pPr>
      <w:r w:rsidRPr="00951F79">
        <w:rPr>
          <w:color w:val="0000FF"/>
        </w:rPr>
        <w:t xml:space="preserve">We moved into our current facilities on June 28, 2010. Halotechnics is headquartered at the state of the art life science research facility, </w:t>
      </w:r>
      <w:proofErr w:type="spellStart"/>
      <w:r w:rsidRPr="00951F79">
        <w:rPr>
          <w:color w:val="0000FF"/>
        </w:rPr>
        <w:t>Emerystation</w:t>
      </w:r>
      <w:proofErr w:type="spellEnd"/>
      <w:r w:rsidRPr="00951F79">
        <w:rPr>
          <w:color w:val="0000FF"/>
        </w:rPr>
        <w:t xml:space="preserve"> North, located at 5980 Horton St. Suite 450, Emeryville, California, 94608.  Completed in 2001, this facility is home to a variety of life science and biotech tenants including Halotechnics. We have leased approximately 1200 square feet of office and laboratory space. </w:t>
      </w:r>
    </w:p>
    <w:p w:rsidR="00567B5D" w:rsidRPr="00951F79" w:rsidRDefault="00567B5D" w:rsidP="001221F8">
      <w:pPr>
        <w:pStyle w:val="NormalWeb"/>
        <w:rPr>
          <w:color w:val="0000FF"/>
        </w:rPr>
      </w:pPr>
    </w:p>
    <w:p w:rsidR="001221F8" w:rsidRDefault="001221F8" w:rsidP="001221F8">
      <w:pPr>
        <w:pStyle w:val="NormalWeb"/>
      </w:pPr>
      <w:r>
        <w:rPr>
          <w:rFonts w:ascii="Arial" w:hAnsi="Arial" w:cs="Arial"/>
        </w:rPr>
        <w:t>Action items on Administrative Issues:</w:t>
      </w:r>
    </w:p>
    <w:p w:rsidR="001221F8" w:rsidRDefault="001221F8" w:rsidP="001221F8">
      <w:pPr>
        <w:pStyle w:val="NormalWeb"/>
      </w:pPr>
      <w:r>
        <w:rPr>
          <w:rFonts w:ascii="Arial" w:hAnsi="Arial" w:cs="Arial"/>
        </w:rPr>
        <w:t xml:space="preserve">1.  The budget and/or budget justification need some changes.  Please submit a revised budget in </w:t>
      </w:r>
      <w:proofErr w:type="spellStart"/>
      <w:r>
        <w:rPr>
          <w:rFonts w:ascii="Arial" w:hAnsi="Arial" w:cs="Arial"/>
        </w:rPr>
        <w:t>Fastlane</w:t>
      </w:r>
      <w:proofErr w:type="spellEnd"/>
      <w:r>
        <w:rPr>
          <w:rFonts w:ascii="Arial" w:hAnsi="Arial" w:cs="Arial"/>
        </w:rPr>
        <w:t xml:space="preserve">, or email me a revised budget justification (if the budget itself is unchanged) that addresses the following concerns.  Please make sure the entire revised budget justification – for all budgets, including </w:t>
      </w:r>
      <w:proofErr w:type="spellStart"/>
      <w:r>
        <w:rPr>
          <w:rFonts w:ascii="Arial" w:hAnsi="Arial" w:cs="Arial"/>
        </w:rPr>
        <w:t>subawards</w:t>
      </w:r>
      <w:proofErr w:type="spellEnd"/>
      <w:r>
        <w:rPr>
          <w:rFonts w:ascii="Arial" w:hAnsi="Arial" w:cs="Arial"/>
        </w:rPr>
        <w:t xml:space="preserve"> if applicable – is uploaded using the “Budget Impact Statement” function in </w:t>
      </w:r>
      <w:proofErr w:type="spellStart"/>
      <w:r>
        <w:rPr>
          <w:rFonts w:ascii="Arial" w:hAnsi="Arial" w:cs="Arial"/>
        </w:rPr>
        <w:t>Fastlane</w:t>
      </w:r>
      <w:proofErr w:type="spellEnd"/>
      <w:r>
        <w:rPr>
          <w:rFonts w:ascii="Arial" w:hAnsi="Arial" w:cs="Arial"/>
        </w:rPr>
        <w:t xml:space="preserve"> (contact me if you have problems with this and remember that the revised budget needs to be submitted by the PI and THEN the SRO):  </w:t>
      </w:r>
    </w:p>
    <w:p w:rsidR="001221F8" w:rsidRDefault="001221F8" w:rsidP="001221F8">
      <w:pPr>
        <w:pStyle w:val="NormalWeb"/>
      </w:pPr>
      <w:r>
        <w:rPr>
          <w:rFonts w:ascii="Arial" w:hAnsi="Arial" w:cs="Arial"/>
        </w:rPr>
        <w:t>Details here:</w:t>
      </w:r>
      <w:r>
        <w:t xml:space="preserve"> </w:t>
      </w:r>
      <w:hyperlink r:id="rId7" w:tooltip="http://www.nsf.gov/eng/iip/sbir/revised_budget.jsp" w:history="1">
        <w:r>
          <w:rPr>
            <w:rStyle w:val="Hyperlink"/>
            <w:rFonts w:ascii="Arial" w:hAnsi="Arial" w:cs="Arial"/>
          </w:rPr>
          <w:t>http://www.nsf.gov/eng/iip/sbir/revised_budget.jsp</w:t>
        </w:r>
      </w:hyperlink>
    </w:p>
    <w:p w:rsidR="001221F8" w:rsidRDefault="001221F8" w:rsidP="001221F8">
      <w:pPr>
        <w:pStyle w:val="NormalWeb"/>
        <w:rPr>
          <w:rFonts w:ascii="Arial" w:hAnsi="Arial" w:cs="Arial"/>
        </w:rPr>
      </w:pPr>
      <w:r>
        <w:rPr>
          <w:rFonts w:ascii="Arial" w:hAnsi="Arial" w:cs="Arial"/>
        </w:rPr>
        <w:t>i.</w:t>
      </w:r>
      <w:proofErr w:type="gramStart"/>
      <w:r>
        <w:rPr>
          <w:rFonts w:ascii="Arial" w:hAnsi="Arial" w:cs="Arial"/>
        </w:rPr>
        <w:t>  The</w:t>
      </w:r>
      <w:proofErr w:type="gramEnd"/>
      <w:r>
        <w:rPr>
          <w:rFonts w:ascii="Arial" w:hAnsi="Arial" w:cs="Arial"/>
        </w:rPr>
        <w:t xml:space="preserve"> budget lists funds for a graduate student and two undergraduate students.  Will these employees be hired by the company to do this work, or will the company work through a university to allow them to work on the project in their roles as students?  If the latter, a </w:t>
      </w:r>
      <w:proofErr w:type="spellStart"/>
      <w:r>
        <w:rPr>
          <w:rFonts w:ascii="Arial" w:hAnsi="Arial" w:cs="Arial"/>
        </w:rPr>
        <w:t>subaward</w:t>
      </w:r>
      <w:proofErr w:type="spellEnd"/>
      <w:r>
        <w:rPr>
          <w:rFonts w:ascii="Arial" w:hAnsi="Arial" w:cs="Arial"/>
        </w:rPr>
        <w:t xml:space="preserve"> will be required.  If the former, please add a sentence or two in the budget justification a bit about how these employees will be selected and what their roles in the project will be (includes names/titles if known).  </w:t>
      </w:r>
    </w:p>
    <w:p w:rsidR="00CA2EE5" w:rsidRDefault="0052433B" w:rsidP="001221F8">
      <w:pPr>
        <w:pStyle w:val="NormalWeb"/>
        <w:rPr>
          <w:color w:val="0000FF"/>
        </w:rPr>
      </w:pPr>
      <w:r>
        <w:rPr>
          <w:color w:val="0000FF"/>
        </w:rPr>
        <w:t>Budget is unchanged. Please s</w:t>
      </w:r>
      <w:r w:rsidR="00CA2EE5" w:rsidRPr="00B2755E">
        <w:rPr>
          <w:color w:val="0000FF"/>
        </w:rPr>
        <w:t>ee revised Budget Justification.</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 xml:space="preserve">2.  The NSF will not duplicate funding for tasks already funded by other agencies.  In order to receive NSF funding for this work, I need you to certify that the tasks in this proposal do not overlap with those in any prior, current, or pending proposal/award by the company.  Also, please send me a full electronic copy of the funded DOE proposal on “deep eutectic salt formulations”.  </w:t>
      </w:r>
    </w:p>
    <w:p w:rsidR="00E95E86" w:rsidRDefault="00E95E86" w:rsidP="001221F8">
      <w:pPr>
        <w:pStyle w:val="NormalWeb"/>
        <w:rPr>
          <w:color w:val="0000FF"/>
        </w:rPr>
      </w:pPr>
      <w:r w:rsidRPr="00B2755E">
        <w:rPr>
          <w:color w:val="0000FF"/>
        </w:rPr>
        <w:t>I certify that the tasks in this proposal do not overlap with those in any prior, current, or pending proposal/award by the company</w:t>
      </w:r>
      <w:r w:rsidR="00FE78B0" w:rsidRPr="00B2755E">
        <w:rPr>
          <w:color w:val="0000FF"/>
        </w:rPr>
        <w:t>. Please see attached proposal for the DOE program on deep eutectic salt formulations.</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3.  If the current and pending support for any key personnel has changed from what is listed in the proposal, please provide details of any new items.  Also, I need updated confirmation from you that you and the other senior personnel will have the allocated time to spend on this very important project.</w:t>
      </w:r>
    </w:p>
    <w:p w:rsidR="000C18FF" w:rsidRDefault="000C18FF" w:rsidP="001221F8">
      <w:pPr>
        <w:pStyle w:val="NormalWeb"/>
        <w:rPr>
          <w:color w:val="0000FF"/>
        </w:rPr>
      </w:pPr>
      <w:r w:rsidRPr="00B2755E">
        <w:rPr>
          <w:color w:val="0000FF"/>
        </w:rPr>
        <w:t>No change to support for key personnel. I confirm that I and key personnel on the project will have the allocated time as budgeted.</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4.  Please also confirm that the PI will be primarily employed (51% or more) by the company for the duration of the award.</w:t>
      </w:r>
    </w:p>
    <w:p w:rsidR="000C18FF" w:rsidRDefault="000C18FF" w:rsidP="001221F8">
      <w:pPr>
        <w:pStyle w:val="NormalWeb"/>
        <w:rPr>
          <w:color w:val="0000FF"/>
        </w:rPr>
      </w:pPr>
      <w:proofErr w:type="gramStart"/>
      <w:r w:rsidRPr="00B2755E">
        <w:rPr>
          <w:color w:val="0000FF"/>
        </w:rPr>
        <w:t>Confirmed.</w:t>
      </w:r>
      <w:proofErr w:type="gramEnd"/>
      <w:r w:rsidRPr="00B2755E">
        <w:rPr>
          <w:color w:val="0000FF"/>
        </w:rPr>
        <w:t xml:space="preserve"> I intend to be 100% employed by Halotechnics for the duration of the award.</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 xml:space="preserve">5.  Please confirm to me that no NSF funds will be used towards tuition of any students (graduate or otherwise).  </w:t>
      </w:r>
    </w:p>
    <w:p w:rsidR="000C18FF" w:rsidRDefault="000C18FF" w:rsidP="001221F8">
      <w:pPr>
        <w:pStyle w:val="NormalWeb"/>
        <w:rPr>
          <w:color w:val="0000FF"/>
        </w:rPr>
      </w:pPr>
      <w:proofErr w:type="gramStart"/>
      <w:r w:rsidRPr="00B2755E">
        <w:rPr>
          <w:color w:val="0000FF"/>
        </w:rPr>
        <w:t>Confirmed.</w:t>
      </w:r>
      <w:proofErr w:type="gramEnd"/>
      <w:r w:rsidRPr="00B2755E">
        <w:rPr>
          <w:color w:val="0000FF"/>
        </w:rPr>
        <w:t xml:space="preserve"> NSF funds will be used for salaries paid </w:t>
      </w:r>
      <w:r w:rsidR="005C3C99">
        <w:rPr>
          <w:color w:val="0000FF"/>
        </w:rPr>
        <w:t xml:space="preserve">directly </w:t>
      </w:r>
      <w:r w:rsidRPr="00B2755E">
        <w:rPr>
          <w:color w:val="0000FF"/>
        </w:rPr>
        <w:t xml:space="preserve">to student interns, </w:t>
      </w:r>
      <w:r w:rsidR="006465CC">
        <w:rPr>
          <w:color w:val="0000FF"/>
        </w:rPr>
        <w:t xml:space="preserve">but </w:t>
      </w:r>
      <w:r w:rsidRPr="00B2755E">
        <w:rPr>
          <w:color w:val="0000FF"/>
        </w:rPr>
        <w:t>not tuition.</w:t>
      </w:r>
    </w:p>
    <w:p w:rsidR="00567B5D" w:rsidRPr="00B2755E" w:rsidRDefault="00567B5D" w:rsidP="001221F8">
      <w:pPr>
        <w:pStyle w:val="NormalWeb"/>
        <w:rPr>
          <w:color w:val="0000FF"/>
        </w:rPr>
      </w:pPr>
    </w:p>
    <w:p w:rsidR="001221F8" w:rsidRDefault="001221F8" w:rsidP="001221F8">
      <w:pPr>
        <w:pStyle w:val="NormalWeb"/>
        <w:rPr>
          <w:rFonts w:ascii="Arial" w:hAnsi="Arial" w:cs="Arial"/>
        </w:rPr>
      </w:pPr>
      <w:r>
        <w:rPr>
          <w:rFonts w:ascii="Arial" w:hAnsi="Arial" w:cs="Arial"/>
        </w:rPr>
        <w:t>6.  Please clarify the relationship of the company with any parent/spinoff/affiliated companies, if any (see above).</w:t>
      </w:r>
    </w:p>
    <w:p w:rsidR="00D216B4" w:rsidRDefault="00D216B4" w:rsidP="001221F8">
      <w:pPr>
        <w:pStyle w:val="NormalWeb"/>
        <w:rPr>
          <w:color w:val="0000FF"/>
        </w:rPr>
      </w:pPr>
      <w:proofErr w:type="spellStart"/>
      <w:r w:rsidRPr="00B2755E">
        <w:rPr>
          <w:color w:val="0000FF"/>
        </w:rPr>
        <w:t>Symyx</w:t>
      </w:r>
      <w:proofErr w:type="spellEnd"/>
      <w:r w:rsidRPr="00B2755E">
        <w:rPr>
          <w:color w:val="0000FF"/>
        </w:rPr>
        <w:t xml:space="preserve"> owns approximately 16% of Halotechnics common stock as described above. </w:t>
      </w:r>
      <w:proofErr w:type="spellStart"/>
      <w:r w:rsidRPr="00B2755E">
        <w:rPr>
          <w:color w:val="0000FF"/>
        </w:rPr>
        <w:t>Symyx</w:t>
      </w:r>
      <w:proofErr w:type="spellEnd"/>
      <w:r w:rsidRPr="00B2755E">
        <w:rPr>
          <w:color w:val="0000FF"/>
        </w:rPr>
        <w:t xml:space="preserve"> does not have a board seat or any other managerial</w:t>
      </w:r>
      <w:r w:rsidR="00A56ACC">
        <w:rPr>
          <w:color w:val="0000FF"/>
        </w:rPr>
        <w:t>/operational</w:t>
      </w:r>
      <w:r w:rsidRPr="00B2755E">
        <w:rPr>
          <w:color w:val="0000FF"/>
        </w:rPr>
        <w:t xml:space="preserve"> position with Halotechnics. </w:t>
      </w:r>
    </w:p>
    <w:p w:rsidR="00567B5D" w:rsidRPr="00B2755E" w:rsidRDefault="00567B5D" w:rsidP="001221F8">
      <w:pPr>
        <w:pStyle w:val="NormalWeb"/>
        <w:rPr>
          <w:color w:val="0000FF"/>
        </w:rPr>
      </w:pPr>
    </w:p>
    <w:p w:rsidR="001221F8" w:rsidRDefault="001221F8" w:rsidP="001221F8">
      <w:pPr>
        <w:pStyle w:val="NormalWeb"/>
      </w:pPr>
      <w:r>
        <w:rPr>
          <w:rFonts w:ascii="Arial" w:hAnsi="Arial" w:cs="Arial"/>
        </w:rPr>
        <w:t>7.  I need you to provide a public abstract that can be published on the</w:t>
      </w:r>
      <w:r>
        <w:t xml:space="preserve"> </w:t>
      </w:r>
      <w:hyperlink r:id="rId8" w:tooltip="file://../0946177-HAIAMS/www.nsf.gov" w:history="1">
        <w:r>
          <w:rPr>
            <w:rStyle w:val="Hyperlink"/>
            <w:rFonts w:ascii="Arial" w:hAnsi="Arial" w:cs="Arial"/>
          </w:rPr>
          <w:t>www.nsf.gov</w:t>
        </w:r>
      </w:hyperlink>
      <w:r>
        <w:rPr>
          <w:rFonts w:ascii="Arial" w:hAnsi="Arial" w:cs="Arial"/>
        </w:rPr>
        <w:t xml:space="preserve"> website if this proposal is awarded.   The summary should be exactly two paragraphs. </w:t>
      </w:r>
    </w:p>
    <w:p w:rsidR="001221F8" w:rsidRDefault="001221F8" w:rsidP="001221F8">
      <w:pPr>
        <w:pStyle w:val="NormalWeb"/>
      </w:pPr>
      <w:r>
        <w:rPr>
          <w:rFonts w:ascii="Arial" w:hAnsi="Arial" w:cs="Arial"/>
        </w:rPr>
        <w:t xml:space="preserve">The first paragraph must begin exactly as follows: "This Small Business Innovation Research Phase I project…”  This paragraph MUST contain, a summary limited to 200 words addressing the Intellectual Merits of the proposed activity. No proprietary information should be included in the summary. Include a brief identification of the problem or opportunity, the research objectives, a description of the research, and the anticipated technical results.  </w:t>
      </w:r>
    </w:p>
    <w:p w:rsidR="001221F8" w:rsidRDefault="001221F8" w:rsidP="001221F8">
      <w:pPr>
        <w:pStyle w:val="NormalWeb"/>
        <w:rPr>
          <w:rFonts w:ascii="Arial" w:hAnsi="Arial" w:cs="Arial"/>
        </w:rPr>
      </w:pPr>
      <w:r>
        <w:rPr>
          <w:rFonts w:ascii="Arial" w:hAnsi="Arial" w:cs="Arial"/>
        </w:rPr>
        <w:t xml:space="preserve">The second paragraph must begin exactly as follows: “The broader impact/commercial potential of this project…” This paragraph MUST contain a summary limited to 200 </w:t>
      </w:r>
      <w:r>
        <w:rPr>
          <w:rFonts w:ascii="Arial" w:hAnsi="Arial" w:cs="Arial"/>
        </w:rPr>
        <w:lastRenderedPageBreak/>
        <w:t>words addressing the Broader Impacts of the proposed activity. One main focus of this section should be the expected commercial impacts of the project.  If appropriate, also explain how the innovation will enhance scientific and technological understanding. Describe the potential societal and most importantly the commercial impact of the project.</w:t>
      </w:r>
    </w:p>
    <w:p w:rsidR="00D216B4" w:rsidRPr="00B2755E" w:rsidRDefault="00D216B4" w:rsidP="00D216B4">
      <w:pPr>
        <w:pStyle w:val="NormalWeb"/>
        <w:rPr>
          <w:color w:val="0000FF"/>
        </w:rPr>
      </w:pPr>
      <w:r w:rsidRPr="00B2755E">
        <w:rPr>
          <w:color w:val="0000FF"/>
        </w:rPr>
        <w:t xml:space="preserve">This Small Business Innovation Research Phase 1 project proposes developing a novel molten salt heat transfer and thermal storage material for central receiver solar thermal power generation. Solar thermal technology developers are pushing to increase the operating temperature of their systems, thereby lowering their </w:t>
      </w:r>
      <w:proofErr w:type="spellStart"/>
      <w:r w:rsidRPr="00B2755E">
        <w:rPr>
          <w:color w:val="0000FF"/>
        </w:rPr>
        <w:t>levelized</w:t>
      </w:r>
      <w:proofErr w:type="spellEnd"/>
      <w:r w:rsidRPr="00B2755E">
        <w:rPr>
          <w:color w:val="0000FF"/>
        </w:rPr>
        <w:t xml:space="preserve"> cost of electricity and reducing the cost of storage. Known salt mixtures considered for heat transfer fluids have high melting points typically over 300 °C or insufficient thermal stability. Halotechnics will conduct a high throughput materials discovery program to rapidly screen over 2000 unique mixtures of inorganic salts and to discover a novel eutectic mixture with a low melting point of 200 °C and a high maximum temperature of 700 °C. This broad operating range is currently unavailable with any commercially feasible material in the marketplace. Discovering new eutectic mixtures is a combinatorial problem, since the number of possible mixtures increases exponentially with the number of components. We will apply combinatorial chemistry techniques, originally developed for pharmaceutical applications, to a new field: solar thermal materials.  Halotechnics will combine the power of high throughput discovery tools (for fast materials synthesis and characterization) with an optimized methodology for experiment design (to efficiently constrain the design space).</w:t>
      </w:r>
    </w:p>
    <w:p w:rsidR="00D216B4" w:rsidRPr="00B2755E" w:rsidRDefault="00841F0F" w:rsidP="00D216B4">
      <w:pPr>
        <w:pStyle w:val="NormalWeb"/>
        <w:rPr>
          <w:color w:val="0000FF"/>
        </w:rPr>
      </w:pPr>
      <w:r w:rsidRPr="00B2755E">
        <w:rPr>
          <w:color w:val="0000FF"/>
        </w:rPr>
        <w:t xml:space="preserve">The broader impact/commercial potential of this project addresses pressing concerns about energy. </w:t>
      </w:r>
      <w:r w:rsidR="00C917CB" w:rsidRPr="00B2755E">
        <w:rPr>
          <w:color w:val="0000FF"/>
        </w:rPr>
        <w:t xml:space="preserve">The goal is cheap solar power, day and night. </w:t>
      </w:r>
      <w:r w:rsidR="00D216B4" w:rsidRPr="00B2755E">
        <w:rPr>
          <w:color w:val="0000FF"/>
        </w:rPr>
        <w:t>It is imperative that we reduce our usage of fossil fuels (especially coal) to address societal concerns – climate change and environmental degradation, energy security, and price volatility. Solar thermal power, a compelling source of renewable electricity, represents a possible solution to fossil fuel use. However, electricity from solar thermal power currently costs too much to be directly competitive with fossil fuels. Furthermore, although solar thermal plants have the capability of storing heat in order to produce power after sundown, this represents a significant capital cost to plant developers. In order to achieve large scale deployment and to compete with fossil fuels, there is a crucial need across the solar thermal industry to lower costs and develop viable thermal storage. At the heart of these plants is the heat transfer fluid and thermal storage material. The market for this crucial component is projected to reach $5.5 billion by 2020. The development of the proposed innovation would both reduce the cost of solar thermal power and enable economic thermal storage, bringing the nation significantly closer t</w:t>
      </w:r>
      <w:r w:rsidR="00C917CB" w:rsidRPr="00B2755E">
        <w:rPr>
          <w:color w:val="0000FF"/>
        </w:rPr>
        <w:t>o eliminating the use of coal.</w:t>
      </w:r>
    </w:p>
    <w:p w:rsidR="00D216B4" w:rsidRDefault="00D216B4" w:rsidP="001221F8">
      <w:pPr>
        <w:pStyle w:val="NormalWeb"/>
      </w:pPr>
    </w:p>
    <w:p w:rsidR="006A0CCB" w:rsidRDefault="006A0CCB"/>
    <w:sectPr w:rsidR="006A0CC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A91" w:rsidRDefault="00103A91" w:rsidP="007676CD">
      <w:pPr>
        <w:spacing w:after="0" w:line="240" w:lineRule="auto"/>
      </w:pPr>
      <w:r>
        <w:separator/>
      </w:r>
    </w:p>
  </w:endnote>
  <w:endnote w:type="continuationSeparator" w:id="0">
    <w:p w:rsidR="00103A91" w:rsidRDefault="00103A91" w:rsidP="00767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0209790"/>
      <w:docPartObj>
        <w:docPartGallery w:val="Page Numbers (Bottom of Page)"/>
        <w:docPartUnique/>
      </w:docPartObj>
    </w:sdtPr>
    <w:sdtEndPr>
      <w:rPr>
        <w:noProof/>
      </w:rPr>
    </w:sdtEndPr>
    <w:sdtContent>
      <w:p w:rsidR="007676CD" w:rsidRDefault="007676CD">
        <w:pPr>
          <w:pStyle w:val="Footer"/>
          <w:jc w:val="center"/>
        </w:pPr>
        <w:r>
          <w:fldChar w:fldCharType="begin"/>
        </w:r>
        <w:r>
          <w:instrText xml:space="preserve"> PAGE   \* MERGEFORMAT </w:instrText>
        </w:r>
        <w:r>
          <w:fldChar w:fldCharType="separate"/>
        </w:r>
        <w:r w:rsidR="00BF520D">
          <w:rPr>
            <w:noProof/>
          </w:rPr>
          <w:t>5</w:t>
        </w:r>
        <w:r>
          <w:rPr>
            <w:noProof/>
          </w:rPr>
          <w:fldChar w:fldCharType="end"/>
        </w:r>
      </w:p>
    </w:sdtContent>
  </w:sdt>
  <w:p w:rsidR="007676CD" w:rsidRDefault="007676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A91" w:rsidRDefault="00103A91" w:rsidP="007676CD">
      <w:pPr>
        <w:spacing w:after="0" w:line="240" w:lineRule="auto"/>
      </w:pPr>
      <w:r>
        <w:separator/>
      </w:r>
    </w:p>
  </w:footnote>
  <w:footnote w:type="continuationSeparator" w:id="0">
    <w:p w:rsidR="00103A91" w:rsidRDefault="00103A91" w:rsidP="007676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F8"/>
    <w:rsid w:val="00005207"/>
    <w:rsid w:val="000119FD"/>
    <w:rsid w:val="000A2647"/>
    <w:rsid w:val="000C18FF"/>
    <w:rsid w:val="000D1C5E"/>
    <w:rsid w:val="000F45F5"/>
    <w:rsid w:val="00103A91"/>
    <w:rsid w:val="001221F8"/>
    <w:rsid w:val="00125514"/>
    <w:rsid w:val="00130BFE"/>
    <w:rsid w:val="001E42BC"/>
    <w:rsid w:val="001E5258"/>
    <w:rsid w:val="00217C73"/>
    <w:rsid w:val="00275F3B"/>
    <w:rsid w:val="00282864"/>
    <w:rsid w:val="002D3C86"/>
    <w:rsid w:val="0030622E"/>
    <w:rsid w:val="00390E98"/>
    <w:rsid w:val="003C0949"/>
    <w:rsid w:val="003D7745"/>
    <w:rsid w:val="00486D86"/>
    <w:rsid w:val="0049528B"/>
    <w:rsid w:val="004A0AD8"/>
    <w:rsid w:val="004E250C"/>
    <w:rsid w:val="004E6E46"/>
    <w:rsid w:val="0051010E"/>
    <w:rsid w:val="00520DC8"/>
    <w:rsid w:val="0052237E"/>
    <w:rsid w:val="0052433B"/>
    <w:rsid w:val="00536C26"/>
    <w:rsid w:val="00567B5D"/>
    <w:rsid w:val="005A07D1"/>
    <w:rsid w:val="005A1109"/>
    <w:rsid w:val="005B33E3"/>
    <w:rsid w:val="005C3C99"/>
    <w:rsid w:val="005F500E"/>
    <w:rsid w:val="006465CC"/>
    <w:rsid w:val="006A0CCB"/>
    <w:rsid w:val="006C101A"/>
    <w:rsid w:val="006F16E3"/>
    <w:rsid w:val="00731F38"/>
    <w:rsid w:val="00766E12"/>
    <w:rsid w:val="007676CD"/>
    <w:rsid w:val="007F50DC"/>
    <w:rsid w:val="008301B2"/>
    <w:rsid w:val="00833F24"/>
    <w:rsid w:val="00837F4A"/>
    <w:rsid w:val="00841F0F"/>
    <w:rsid w:val="008566E2"/>
    <w:rsid w:val="008635CF"/>
    <w:rsid w:val="00863AF1"/>
    <w:rsid w:val="00944B88"/>
    <w:rsid w:val="00951F79"/>
    <w:rsid w:val="009754F5"/>
    <w:rsid w:val="0098675B"/>
    <w:rsid w:val="009967E4"/>
    <w:rsid w:val="009A47BD"/>
    <w:rsid w:val="009C4B48"/>
    <w:rsid w:val="009C5824"/>
    <w:rsid w:val="00A22A7D"/>
    <w:rsid w:val="00A56ACC"/>
    <w:rsid w:val="00A64262"/>
    <w:rsid w:val="00A85521"/>
    <w:rsid w:val="00A9693F"/>
    <w:rsid w:val="00AD57AE"/>
    <w:rsid w:val="00B038BD"/>
    <w:rsid w:val="00B11587"/>
    <w:rsid w:val="00B2755E"/>
    <w:rsid w:val="00B317FE"/>
    <w:rsid w:val="00B55910"/>
    <w:rsid w:val="00B65628"/>
    <w:rsid w:val="00B8406A"/>
    <w:rsid w:val="00B9388D"/>
    <w:rsid w:val="00BB3676"/>
    <w:rsid w:val="00BD5498"/>
    <w:rsid w:val="00BE1BBF"/>
    <w:rsid w:val="00BF520D"/>
    <w:rsid w:val="00C43D67"/>
    <w:rsid w:val="00C917CB"/>
    <w:rsid w:val="00CA2EE5"/>
    <w:rsid w:val="00CB080D"/>
    <w:rsid w:val="00CF0B11"/>
    <w:rsid w:val="00CF674C"/>
    <w:rsid w:val="00D14AD4"/>
    <w:rsid w:val="00D216B4"/>
    <w:rsid w:val="00D2329D"/>
    <w:rsid w:val="00D75D98"/>
    <w:rsid w:val="00D93020"/>
    <w:rsid w:val="00D9605B"/>
    <w:rsid w:val="00E819CA"/>
    <w:rsid w:val="00E95E86"/>
    <w:rsid w:val="00F00D65"/>
    <w:rsid w:val="00F1666A"/>
    <w:rsid w:val="00F31AEC"/>
    <w:rsid w:val="00F75B2F"/>
    <w:rsid w:val="00FD5EBA"/>
    <w:rsid w:val="00FE78B0"/>
    <w:rsid w:val="00FF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21F8"/>
    <w:rPr>
      <w:color w:val="0000FF"/>
      <w:u w:val="single"/>
    </w:rPr>
  </w:style>
  <w:style w:type="paragraph" w:styleId="Header">
    <w:name w:val="header"/>
    <w:basedOn w:val="Normal"/>
    <w:link w:val="HeaderChar"/>
    <w:uiPriority w:val="99"/>
    <w:unhideWhenUsed/>
    <w:rsid w:val="0076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6CD"/>
  </w:style>
  <w:style w:type="paragraph" w:styleId="Footer">
    <w:name w:val="footer"/>
    <w:basedOn w:val="Normal"/>
    <w:link w:val="FooterChar"/>
    <w:uiPriority w:val="99"/>
    <w:unhideWhenUsed/>
    <w:rsid w:val="0076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6CD"/>
  </w:style>
  <w:style w:type="character" w:styleId="FollowedHyperlink">
    <w:name w:val="FollowedHyperlink"/>
    <w:basedOn w:val="DefaultParagraphFont"/>
    <w:uiPriority w:val="99"/>
    <w:semiHidden/>
    <w:unhideWhenUsed/>
    <w:rsid w:val="00A6426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1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221F8"/>
    <w:rPr>
      <w:color w:val="0000FF"/>
      <w:u w:val="single"/>
    </w:rPr>
  </w:style>
  <w:style w:type="paragraph" w:styleId="Header">
    <w:name w:val="header"/>
    <w:basedOn w:val="Normal"/>
    <w:link w:val="HeaderChar"/>
    <w:uiPriority w:val="99"/>
    <w:unhideWhenUsed/>
    <w:rsid w:val="00767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76CD"/>
  </w:style>
  <w:style w:type="paragraph" w:styleId="Footer">
    <w:name w:val="footer"/>
    <w:basedOn w:val="Normal"/>
    <w:link w:val="FooterChar"/>
    <w:uiPriority w:val="99"/>
    <w:unhideWhenUsed/>
    <w:rsid w:val="00767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6CD"/>
  </w:style>
  <w:style w:type="character" w:styleId="FollowedHyperlink">
    <w:name w:val="FollowedHyperlink"/>
    <w:basedOn w:val="DefaultParagraphFont"/>
    <w:uiPriority w:val="99"/>
    <w:semiHidden/>
    <w:unhideWhenUsed/>
    <w:rsid w:val="00A6426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691014">
      <w:bodyDiv w:val="1"/>
      <w:marLeft w:val="0"/>
      <w:marRight w:val="0"/>
      <w:marTop w:val="0"/>
      <w:marBottom w:val="0"/>
      <w:divBdr>
        <w:top w:val="none" w:sz="0" w:space="0" w:color="auto"/>
        <w:left w:val="none" w:sz="0" w:space="0" w:color="auto"/>
        <w:bottom w:val="none" w:sz="0" w:space="0" w:color="auto"/>
        <w:right w:val="none" w:sz="0" w:space="0" w:color="auto"/>
      </w:divBdr>
    </w:div>
    <w:div w:id="1121148094">
      <w:bodyDiv w:val="1"/>
      <w:marLeft w:val="0"/>
      <w:marRight w:val="0"/>
      <w:marTop w:val="0"/>
      <w:marBottom w:val="0"/>
      <w:divBdr>
        <w:top w:val="none" w:sz="0" w:space="0" w:color="auto"/>
        <w:left w:val="none" w:sz="0" w:space="0" w:color="auto"/>
        <w:bottom w:val="none" w:sz="0" w:space="0" w:color="auto"/>
        <w:right w:val="none" w:sz="0" w:space="0" w:color="auto"/>
      </w:divBdr>
    </w:div>
    <w:div w:id="11349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0946177-HAIAMS\www.nsf.gov" TargetMode="External"/><Relationship Id="rId3" Type="http://schemas.openxmlformats.org/officeDocument/2006/relationships/settings" Target="settings.xml"/><Relationship Id="rId7" Type="http://schemas.openxmlformats.org/officeDocument/2006/relationships/hyperlink" Target="http://www.nsf.gov/eng/iip/sbir/revised_budget.jsp"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590</TotalTime>
  <Pages>8</Pages>
  <Words>3177</Words>
  <Characters>18114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Halotechnics, Inc.</Company>
  <LinksUpToDate>false</LinksUpToDate>
  <CharactersWithSpaces>21249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Raade</dc:creator>
  <cp:keywords/>
  <dc:description/>
  <cp:lastModifiedBy>Justin Raade</cp:lastModifiedBy>
  <cp:revision>87</cp:revision>
  <dcterms:created xsi:type="dcterms:W3CDTF">2010-09-21T08:16:00Z</dcterms:created>
  <dcterms:modified xsi:type="dcterms:W3CDTF">2010-10-01T01:12:00Z</dcterms:modified>
</cp:coreProperties>
</file>