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11" w:rsidRPr="00FB77DD" w:rsidRDefault="006A2911" w:rsidP="006A2911">
      <w:pPr>
        <w:jc w:val="center"/>
        <w:rPr>
          <w:rFonts w:cstheme="minorHAnsi"/>
          <w:b/>
          <w:sz w:val="28"/>
          <w:szCs w:val="28"/>
        </w:rPr>
      </w:pPr>
      <w:bookmarkStart w:id="0" w:name="_GoBack"/>
      <w:bookmarkEnd w:id="0"/>
      <w:r w:rsidRPr="00FB77DD">
        <w:rPr>
          <w:rFonts w:cstheme="minorHAnsi"/>
          <w:b/>
          <w:sz w:val="28"/>
          <w:szCs w:val="28"/>
        </w:rPr>
        <w:t>Procedures necessary to ensure compliance with the Federal Acquisition Regulations (FAR) and the Cost Accounting Standards (CAS)</w:t>
      </w:r>
    </w:p>
    <w:p w:rsidR="006A2911" w:rsidRPr="00FC64B7" w:rsidRDefault="006A2911">
      <w:pPr>
        <w:rPr>
          <w:rFonts w:ascii="Arial" w:hAnsi="Arial" w:cs="Arial"/>
        </w:rPr>
      </w:pPr>
    </w:p>
    <w:p w:rsidR="00EA2CAB" w:rsidRPr="00FB77DD" w:rsidRDefault="00D34715">
      <w:pPr>
        <w:rPr>
          <w:rFonts w:cstheme="minorHAnsi"/>
          <w:sz w:val="20"/>
          <w:szCs w:val="20"/>
        </w:rPr>
      </w:pPr>
      <w:r w:rsidRPr="00FB77DD">
        <w:rPr>
          <w:rFonts w:cstheme="minorHAnsi"/>
          <w:sz w:val="20"/>
          <w:szCs w:val="20"/>
        </w:rPr>
        <w:t>Phase II SBIR, STTR, R01 and BAA grants and contracts are usually awarded on a cost</w:t>
      </w:r>
      <w:r w:rsidR="008C2070" w:rsidRPr="00FB77DD">
        <w:rPr>
          <w:rFonts w:cstheme="minorHAnsi"/>
          <w:sz w:val="20"/>
          <w:szCs w:val="20"/>
        </w:rPr>
        <w:t>-</w:t>
      </w:r>
      <w:r w:rsidRPr="00FB77DD">
        <w:rPr>
          <w:rFonts w:cstheme="minorHAnsi"/>
          <w:sz w:val="20"/>
          <w:szCs w:val="20"/>
        </w:rPr>
        <w:t>plus fixed fee basis in accordance with government procurement rules contained in Federal Acquisition Regulation (FAR)</w:t>
      </w:r>
      <w:r w:rsidR="008C2070" w:rsidRPr="00FB77DD">
        <w:rPr>
          <w:rFonts w:cstheme="minorHAnsi"/>
          <w:sz w:val="20"/>
          <w:szCs w:val="20"/>
        </w:rPr>
        <w:t>, specifically FAR</w:t>
      </w:r>
      <w:r w:rsidRPr="00FB77DD">
        <w:rPr>
          <w:rFonts w:cstheme="minorHAnsi"/>
          <w:sz w:val="20"/>
          <w:szCs w:val="20"/>
        </w:rPr>
        <w:t xml:space="preserve"> 52.216-7.  </w:t>
      </w:r>
    </w:p>
    <w:p w:rsidR="00D34715" w:rsidRPr="00FB77DD" w:rsidRDefault="00D34715">
      <w:pPr>
        <w:rPr>
          <w:rFonts w:cstheme="minorHAnsi"/>
        </w:rPr>
      </w:pPr>
      <w:r w:rsidRPr="00FB77DD">
        <w:rPr>
          <w:rFonts w:cstheme="minorHAnsi"/>
          <w:sz w:val="20"/>
          <w:szCs w:val="20"/>
        </w:rPr>
        <w:t xml:space="preserve">This </w:t>
      </w:r>
      <w:r w:rsidR="004963B6" w:rsidRPr="00FB77DD">
        <w:rPr>
          <w:rFonts w:cstheme="minorHAnsi"/>
          <w:sz w:val="20"/>
          <w:szCs w:val="20"/>
        </w:rPr>
        <w:t xml:space="preserve">checklist </w:t>
      </w:r>
      <w:r w:rsidRPr="00FB77DD">
        <w:rPr>
          <w:rFonts w:cstheme="minorHAnsi"/>
          <w:sz w:val="20"/>
          <w:szCs w:val="20"/>
        </w:rPr>
        <w:t xml:space="preserve">serves to </w:t>
      </w:r>
      <w:r w:rsidR="004963B6" w:rsidRPr="00FB77DD">
        <w:rPr>
          <w:rFonts w:cstheme="minorHAnsi"/>
          <w:sz w:val="20"/>
          <w:szCs w:val="20"/>
        </w:rPr>
        <w:t>document the ongoing tasks that need to be performed in order to maintain a compliant accounting system</w:t>
      </w:r>
      <w:r w:rsidR="004963B6" w:rsidRPr="00FB77DD">
        <w:rPr>
          <w:rFonts w:cstheme="minorHAnsi"/>
        </w:rPr>
        <w:t>.</w:t>
      </w:r>
    </w:p>
    <w:p w:rsidR="00F55583" w:rsidRPr="00FB77DD" w:rsidRDefault="00FC64B7" w:rsidP="00FC64B7">
      <w:pPr>
        <w:pStyle w:val="ListParagraph"/>
        <w:spacing w:after="0" w:line="240" w:lineRule="auto"/>
        <w:ind w:left="360"/>
        <w:rPr>
          <w:rFonts w:cstheme="minorHAnsi"/>
          <w:b/>
        </w:rPr>
      </w:pPr>
      <w:r w:rsidRPr="00FB77DD">
        <w:rPr>
          <w:rFonts w:cstheme="minorHAnsi"/>
          <w:b/>
        </w:rPr>
        <w:t xml:space="preserve">                                                                                                          </w:t>
      </w:r>
      <w:r w:rsidR="001C2EA0">
        <w:rPr>
          <w:rFonts w:cstheme="minorHAnsi"/>
          <w:b/>
        </w:rPr>
        <w:t xml:space="preserve">                  Jameson     Accountant    </w:t>
      </w:r>
      <w:r w:rsidR="004963B6" w:rsidRPr="00FB77DD">
        <w:rPr>
          <w:rFonts w:cstheme="minorHAnsi"/>
          <w:b/>
        </w:rPr>
        <w:t>Client</w:t>
      </w:r>
    </w:p>
    <w:p w:rsidR="004963B6" w:rsidRPr="00FB77DD" w:rsidRDefault="004963B6" w:rsidP="004963B6">
      <w:pPr>
        <w:rPr>
          <w:rFonts w:cstheme="minorHAnsi"/>
          <w:b/>
        </w:rPr>
      </w:pPr>
      <w:r w:rsidRPr="00FB77DD">
        <w:rPr>
          <w:rFonts w:cstheme="minorHAnsi"/>
          <w:b/>
        </w:rPr>
        <w:t>Ongoing Cash Management</w:t>
      </w:r>
    </w:p>
    <w:tbl>
      <w:tblPr>
        <w:tblStyle w:val="TableGrid"/>
        <w:tblW w:w="10170" w:type="dxa"/>
        <w:tblInd w:w="-252" w:type="dxa"/>
        <w:tblLook w:val="04A0" w:firstRow="1" w:lastRow="0" w:firstColumn="1" w:lastColumn="0" w:noHBand="0" w:noVBand="1"/>
      </w:tblPr>
      <w:tblGrid>
        <w:gridCol w:w="6840"/>
        <w:gridCol w:w="1110"/>
        <w:gridCol w:w="1110"/>
        <w:gridCol w:w="1110"/>
      </w:tblGrid>
      <w:tr w:rsidR="001C2EA0" w:rsidTr="001C2EA0">
        <w:tc>
          <w:tcPr>
            <w:tcW w:w="6840" w:type="dxa"/>
          </w:tcPr>
          <w:p w:rsidR="001C2EA0" w:rsidRPr="00FB77DD" w:rsidRDefault="001C2EA0" w:rsidP="004963B6">
            <w:pPr>
              <w:pStyle w:val="ListParagraph"/>
              <w:numPr>
                <w:ilvl w:val="0"/>
                <w:numId w:val="5"/>
              </w:numPr>
              <w:rPr>
                <w:rFonts w:cstheme="minorHAnsi"/>
              </w:rPr>
            </w:pPr>
            <w:r w:rsidRPr="00FB77DD">
              <w:rPr>
                <w:rFonts w:cstheme="minorHAnsi"/>
              </w:rPr>
              <w:t>Review incoming invoices from vendors and ensure that there are no duplicate charges, returns, or unapplied payments for checks recently issued.</w:t>
            </w:r>
          </w:p>
        </w:tc>
        <w:tc>
          <w:tcPr>
            <w:tcW w:w="1110" w:type="dxa"/>
          </w:tcPr>
          <w:p w:rsidR="001C2EA0" w:rsidRPr="004963B6" w:rsidRDefault="001C2EA0" w:rsidP="004963B6">
            <w:pPr>
              <w:jc w:val="center"/>
              <w:rPr>
                <w:sz w:val="32"/>
                <w:szCs w:val="32"/>
              </w:rPr>
            </w:pPr>
          </w:p>
        </w:tc>
        <w:tc>
          <w:tcPr>
            <w:tcW w:w="1110" w:type="dxa"/>
          </w:tcPr>
          <w:p w:rsidR="001C2EA0" w:rsidRPr="002100D2" w:rsidRDefault="001C2EA0" w:rsidP="004963B6">
            <w:pPr>
              <w:jc w:val="center"/>
              <w:rPr>
                <w:sz w:val="32"/>
                <w:szCs w:val="32"/>
              </w:rPr>
            </w:pPr>
          </w:p>
        </w:tc>
        <w:tc>
          <w:tcPr>
            <w:tcW w:w="1110" w:type="dxa"/>
          </w:tcPr>
          <w:p w:rsidR="001C2EA0" w:rsidRPr="002100D2" w:rsidRDefault="001C2EA0" w:rsidP="004963B6">
            <w:pPr>
              <w:jc w:val="center"/>
              <w:rPr>
                <w:sz w:val="32"/>
                <w:szCs w:val="32"/>
              </w:rPr>
            </w:pPr>
          </w:p>
        </w:tc>
      </w:tr>
      <w:tr w:rsidR="001C2EA0" w:rsidTr="001C2EA0">
        <w:tc>
          <w:tcPr>
            <w:tcW w:w="6840" w:type="dxa"/>
          </w:tcPr>
          <w:p w:rsidR="001C2EA0" w:rsidRPr="00FB77DD" w:rsidRDefault="001C2EA0" w:rsidP="004963B6">
            <w:pPr>
              <w:pStyle w:val="ListParagraph"/>
              <w:numPr>
                <w:ilvl w:val="0"/>
                <w:numId w:val="5"/>
              </w:numPr>
              <w:rPr>
                <w:rFonts w:cstheme="minorHAnsi"/>
              </w:rPr>
            </w:pPr>
            <w:r w:rsidRPr="00FB77DD">
              <w:rPr>
                <w:rFonts w:cstheme="minorHAnsi"/>
              </w:rPr>
              <w:t>Stamp and code invoices as a direct, indirect or unallowable expense in accordance with the chart of accounts.</w:t>
            </w:r>
          </w:p>
        </w:tc>
        <w:tc>
          <w:tcPr>
            <w:tcW w:w="1110" w:type="dxa"/>
          </w:tcPr>
          <w:p w:rsidR="001C2EA0" w:rsidRPr="004963B6" w:rsidRDefault="001C2EA0" w:rsidP="004963B6">
            <w:pPr>
              <w:jc w:val="center"/>
              <w:rPr>
                <w:sz w:val="32"/>
                <w:szCs w:val="32"/>
              </w:rPr>
            </w:pPr>
          </w:p>
        </w:tc>
        <w:tc>
          <w:tcPr>
            <w:tcW w:w="1110" w:type="dxa"/>
          </w:tcPr>
          <w:p w:rsidR="001C2EA0" w:rsidRDefault="001C2EA0" w:rsidP="004963B6">
            <w:pPr>
              <w:jc w:val="center"/>
              <w:rPr>
                <w:sz w:val="32"/>
                <w:szCs w:val="32"/>
              </w:rPr>
            </w:pPr>
          </w:p>
        </w:tc>
        <w:tc>
          <w:tcPr>
            <w:tcW w:w="1110" w:type="dxa"/>
          </w:tcPr>
          <w:p w:rsidR="001C2EA0" w:rsidRPr="004963B6" w:rsidRDefault="001C2EA0" w:rsidP="004963B6">
            <w:pPr>
              <w:jc w:val="center"/>
              <w:rPr>
                <w:sz w:val="32"/>
                <w:szCs w:val="32"/>
              </w:rPr>
            </w:pPr>
          </w:p>
        </w:tc>
      </w:tr>
      <w:tr w:rsidR="001C2EA0" w:rsidTr="001C2EA0">
        <w:tc>
          <w:tcPr>
            <w:tcW w:w="6840" w:type="dxa"/>
          </w:tcPr>
          <w:p w:rsidR="001C2EA0" w:rsidRPr="00FB77DD" w:rsidRDefault="001C2EA0" w:rsidP="004963B6">
            <w:pPr>
              <w:pStyle w:val="ListParagraph"/>
              <w:numPr>
                <w:ilvl w:val="0"/>
                <w:numId w:val="5"/>
              </w:numPr>
              <w:rPr>
                <w:rFonts w:cstheme="minorHAnsi"/>
              </w:rPr>
            </w:pPr>
            <w:r w:rsidRPr="00FB77DD">
              <w:rPr>
                <w:rFonts w:cstheme="minorHAnsi"/>
              </w:rPr>
              <w:t>Enter invoices into QuickBooks to pay.</w:t>
            </w:r>
          </w:p>
        </w:tc>
        <w:tc>
          <w:tcPr>
            <w:tcW w:w="1110" w:type="dxa"/>
          </w:tcPr>
          <w:p w:rsidR="001C2EA0" w:rsidRPr="004963B6" w:rsidRDefault="001C2EA0" w:rsidP="004963B6">
            <w:pPr>
              <w:jc w:val="center"/>
              <w:rPr>
                <w:sz w:val="32"/>
                <w:szCs w:val="32"/>
              </w:rPr>
            </w:pPr>
          </w:p>
        </w:tc>
        <w:tc>
          <w:tcPr>
            <w:tcW w:w="1110" w:type="dxa"/>
          </w:tcPr>
          <w:p w:rsidR="001C2EA0" w:rsidRDefault="001C2EA0" w:rsidP="004963B6">
            <w:pPr>
              <w:jc w:val="center"/>
              <w:rPr>
                <w:sz w:val="32"/>
                <w:szCs w:val="32"/>
              </w:rPr>
            </w:pPr>
          </w:p>
        </w:tc>
        <w:tc>
          <w:tcPr>
            <w:tcW w:w="1110" w:type="dxa"/>
          </w:tcPr>
          <w:p w:rsidR="001C2EA0" w:rsidRPr="004963B6" w:rsidRDefault="001C2EA0" w:rsidP="004963B6">
            <w:pPr>
              <w:jc w:val="center"/>
              <w:rPr>
                <w:sz w:val="32"/>
                <w:szCs w:val="32"/>
              </w:rPr>
            </w:pPr>
          </w:p>
        </w:tc>
      </w:tr>
      <w:tr w:rsidR="001C2EA0" w:rsidTr="001C2EA0">
        <w:tc>
          <w:tcPr>
            <w:tcW w:w="6840" w:type="dxa"/>
          </w:tcPr>
          <w:p w:rsidR="001C2EA0" w:rsidRPr="00FB77DD" w:rsidRDefault="001C2EA0" w:rsidP="004963B6">
            <w:pPr>
              <w:pStyle w:val="ListParagraph"/>
              <w:numPr>
                <w:ilvl w:val="0"/>
                <w:numId w:val="5"/>
              </w:numPr>
              <w:rPr>
                <w:rFonts w:cstheme="minorHAnsi"/>
              </w:rPr>
            </w:pPr>
            <w:r w:rsidRPr="00FB77DD">
              <w:rPr>
                <w:rFonts w:cstheme="minorHAnsi"/>
              </w:rPr>
              <w:t>Collect 1099 information for all new non-corporate vendors.</w:t>
            </w:r>
          </w:p>
        </w:tc>
        <w:tc>
          <w:tcPr>
            <w:tcW w:w="1110" w:type="dxa"/>
          </w:tcPr>
          <w:p w:rsidR="001C2EA0" w:rsidRPr="004963B6" w:rsidRDefault="001C2EA0" w:rsidP="004963B6">
            <w:pPr>
              <w:jc w:val="center"/>
              <w:rPr>
                <w:sz w:val="32"/>
                <w:szCs w:val="32"/>
              </w:rPr>
            </w:pPr>
          </w:p>
        </w:tc>
        <w:tc>
          <w:tcPr>
            <w:tcW w:w="1110" w:type="dxa"/>
          </w:tcPr>
          <w:p w:rsidR="001C2EA0" w:rsidRDefault="001C2EA0" w:rsidP="004963B6">
            <w:pPr>
              <w:jc w:val="center"/>
              <w:rPr>
                <w:sz w:val="32"/>
                <w:szCs w:val="32"/>
              </w:rPr>
            </w:pPr>
          </w:p>
        </w:tc>
        <w:tc>
          <w:tcPr>
            <w:tcW w:w="1110" w:type="dxa"/>
          </w:tcPr>
          <w:p w:rsidR="001C2EA0" w:rsidRPr="004963B6" w:rsidRDefault="001C2EA0" w:rsidP="004963B6">
            <w:pPr>
              <w:jc w:val="center"/>
              <w:rPr>
                <w:sz w:val="32"/>
                <w:szCs w:val="32"/>
              </w:rPr>
            </w:pPr>
          </w:p>
        </w:tc>
      </w:tr>
      <w:tr w:rsidR="001C2EA0" w:rsidTr="001C2EA0">
        <w:tc>
          <w:tcPr>
            <w:tcW w:w="6840" w:type="dxa"/>
          </w:tcPr>
          <w:p w:rsidR="001C2EA0" w:rsidRPr="00FB77DD" w:rsidRDefault="001C2EA0" w:rsidP="004963B6">
            <w:pPr>
              <w:pStyle w:val="ListParagraph"/>
              <w:numPr>
                <w:ilvl w:val="0"/>
                <w:numId w:val="5"/>
              </w:numPr>
              <w:rPr>
                <w:rFonts w:cstheme="minorHAnsi"/>
              </w:rPr>
            </w:pPr>
            <w:r w:rsidRPr="00FB77DD">
              <w:rPr>
                <w:rFonts w:cstheme="minorHAnsi"/>
              </w:rPr>
              <w:t>Issue payments twice a month for manual or electronic signature (after ensuring that adequate cash is on hand).</w:t>
            </w:r>
          </w:p>
        </w:tc>
        <w:tc>
          <w:tcPr>
            <w:tcW w:w="1110" w:type="dxa"/>
          </w:tcPr>
          <w:p w:rsidR="001C2EA0" w:rsidRPr="004963B6" w:rsidRDefault="001C2EA0" w:rsidP="004963B6">
            <w:pPr>
              <w:jc w:val="center"/>
              <w:rPr>
                <w:sz w:val="32"/>
                <w:szCs w:val="32"/>
              </w:rPr>
            </w:pPr>
          </w:p>
        </w:tc>
        <w:tc>
          <w:tcPr>
            <w:tcW w:w="1110" w:type="dxa"/>
          </w:tcPr>
          <w:p w:rsidR="001C2EA0" w:rsidRDefault="001C2EA0" w:rsidP="004963B6">
            <w:pPr>
              <w:jc w:val="center"/>
              <w:rPr>
                <w:sz w:val="32"/>
                <w:szCs w:val="32"/>
              </w:rPr>
            </w:pPr>
          </w:p>
        </w:tc>
        <w:tc>
          <w:tcPr>
            <w:tcW w:w="1110" w:type="dxa"/>
          </w:tcPr>
          <w:p w:rsidR="001C2EA0" w:rsidRPr="004963B6" w:rsidRDefault="001C2EA0" w:rsidP="004963B6">
            <w:pPr>
              <w:jc w:val="center"/>
              <w:rPr>
                <w:sz w:val="32"/>
                <w:szCs w:val="32"/>
              </w:rPr>
            </w:pPr>
          </w:p>
        </w:tc>
      </w:tr>
      <w:tr w:rsidR="001C2EA0" w:rsidTr="001C2EA0">
        <w:tc>
          <w:tcPr>
            <w:tcW w:w="6840" w:type="dxa"/>
          </w:tcPr>
          <w:p w:rsidR="001C2EA0" w:rsidRPr="00FB77DD" w:rsidRDefault="001C2EA0" w:rsidP="004963B6">
            <w:pPr>
              <w:pStyle w:val="ListParagraph"/>
              <w:numPr>
                <w:ilvl w:val="0"/>
                <w:numId w:val="5"/>
              </w:numPr>
              <w:rPr>
                <w:rFonts w:cstheme="minorHAnsi"/>
              </w:rPr>
            </w:pPr>
            <w:r w:rsidRPr="00FB77DD">
              <w:rPr>
                <w:rFonts w:cstheme="minorHAnsi"/>
              </w:rPr>
              <w:t>Reconcile QuickBooks general ledger to bank statement monthly. Note: A strong systemic check and balance is provided by having someone other than the person who manages the checkbook, reconcile cash.</w:t>
            </w:r>
          </w:p>
        </w:tc>
        <w:tc>
          <w:tcPr>
            <w:tcW w:w="1110" w:type="dxa"/>
          </w:tcPr>
          <w:p w:rsidR="001C2EA0" w:rsidRPr="004963B6" w:rsidRDefault="001C2EA0" w:rsidP="004963B6">
            <w:pPr>
              <w:jc w:val="center"/>
              <w:rPr>
                <w:sz w:val="32"/>
                <w:szCs w:val="32"/>
              </w:rPr>
            </w:pPr>
          </w:p>
        </w:tc>
        <w:tc>
          <w:tcPr>
            <w:tcW w:w="1110" w:type="dxa"/>
          </w:tcPr>
          <w:p w:rsidR="001C2EA0" w:rsidRDefault="001C2EA0" w:rsidP="004963B6">
            <w:pPr>
              <w:jc w:val="center"/>
              <w:rPr>
                <w:sz w:val="32"/>
                <w:szCs w:val="32"/>
              </w:rPr>
            </w:pPr>
          </w:p>
        </w:tc>
        <w:tc>
          <w:tcPr>
            <w:tcW w:w="1110" w:type="dxa"/>
          </w:tcPr>
          <w:p w:rsidR="001C2EA0" w:rsidRPr="004963B6" w:rsidRDefault="001C2EA0" w:rsidP="004963B6">
            <w:pPr>
              <w:jc w:val="center"/>
              <w:rPr>
                <w:sz w:val="32"/>
                <w:szCs w:val="32"/>
              </w:rPr>
            </w:pPr>
          </w:p>
        </w:tc>
      </w:tr>
      <w:tr w:rsidR="001C2EA0" w:rsidTr="001C2EA0">
        <w:tc>
          <w:tcPr>
            <w:tcW w:w="6840" w:type="dxa"/>
          </w:tcPr>
          <w:p w:rsidR="001C2EA0" w:rsidRDefault="001C2EA0" w:rsidP="004963B6">
            <w:pPr>
              <w:pStyle w:val="ListParagraph"/>
              <w:numPr>
                <w:ilvl w:val="0"/>
                <w:numId w:val="5"/>
              </w:numPr>
            </w:pPr>
            <w:r w:rsidRPr="00FB77DD">
              <w:rPr>
                <w:rFonts w:cstheme="minorHAnsi"/>
              </w:rPr>
              <w:t>Resolve “stale” outstanding checks that don’t clear the bank within 6 months.</w:t>
            </w:r>
          </w:p>
        </w:tc>
        <w:tc>
          <w:tcPr>
            <w:tcW w:w="1110" w:type="dxa"/>
          </w:tcPr>
          <w:p w:rsidR="001C2EA0" w:rsidRPr="004963B6" w:rsidRDefault="001C2EA0" w:rsidP="004963B6">
            <w:pPr>
              <w:jc w:val="center"/>
              <w:rPr>
                <w:sz w:val="32"/>
                <w:szCs w:val="32"/>
              </w:rPr>
            </w:pPr>
          </w:p>
        </w:tc>
        <w:tc>
          <w:tcPr>
            <w:tcW w:w="1110" w:type="dxa"/>
          </w:tcPr>
          <w:p w:rsidR="001C2EA0" w:rsidRDefault="001C2EA0" w:rsidP="004963B6">
            <w:pPr>
              <w:jc w:val="center"/>
              <w:rPr>
                <w:sz w:val="32"/>
                <w:szCs w:val="32"/>
              </w:rPr>
            </w:pPr>
          </w:p>
        </w:tc>
        <w:tc>
          <w:tcPr>
            <w:tcW w:w="1110" w:type="dxa"/>
          </w:tcPr>
          <w:p w:rsidR="001C2EA0" w:rsidRPr="004963B6" w:rsidRDefault="001C2EA0" w:rsidP="004963B6">
            <w:pPr>
              <w:jc w:val="center"/>
              <w:rPr>
                <w:sz w:val="32"/>
                <w:szCs w:val="32"/>
              </w:rPr>
            </w:pPr>
          </w:p>
        </w:tc>
      </w:tr>
      <w:tr w:rsidR="001C2EA0" w:rsidTr="001C2EA0">
        <w:tc>
          <w:tcPr>
            <w:tcW w:w="6840" w:type="dxa"/>
          </w:tcPr>
          <w:p w:rsidR="001C2EA0" w:rsidRPr="00FB77DD" w:rsidRDefault="001C2EA0" w:rsidP="006F6A0E">
            <w:pPr>
              <w:pStyle w:val="ListParagraph"/>
              <w:numPr>
                <w:ilvl w:val="0"/>
                <w:numId w:val="5"/>
              </w:numPr>
              <w:rPr>
                <w:rFonts w:cstheme="minorHAnsi"/>
              </w:rPr>
            </w:pPr>
            <w:r>
              <w:rPr>
                <w:rFonts w:cstheme="minorHAnsi"/>
              </w:rPr>
              <w:t>Continuously monitor cash balance as necessary and follow up on collection status of all customers billed.  Release payments to vendors accordingly.</w:t>
            </w:r>
          </w:p>
        </w:tc>
        <w:tc>
          <w:tcPr>
            <w:tcW w:w="1110" w:type="dxa"/>
          </w:tcPr>
          <w:p w:rsidR="001C2EA0" w:rsidRPr="004963B6" w:rsidRDefault="001C2EA0" w:rsidP="004963B6">
            <w:pPr>
              <w:jc w:val="center"/>
              <w:rPr>
                <w:sz w:val="32"/>
                <w:szCs w:val="32"/>
              </w:rPr>
            </w:pPr>
          </w:p>
        </w:tc>
        <w:tc>
          <w:tcPr>
            <w:tcW w:w="1110" w:type="dxa"/>
          </w:tcPr>
          <w:p w:rsidR="001C2EA0" w:rsidRDefault="001C2EA0" w:rsidP="004963B6">
            <w:pPr>
              <w:jc w:val="center"/>
              <w:rPr>
                <w:sz w:val="32"/>
                <w:szCs w:val="32"/>
              </w:rPr>
            </w:pPr>
          </w:p>
        </w:tc>
        <w:tc>
          <w:tcPr>
            <w:tcW w:w="1110" w:type="dxa"/>
          </w:tcPr>
          <w:p w:rsidR="001C2EA0" w:rsidRPr="004963B6" w:rsidRDefault="001C2EA0" w:rsidP="004963B6">
            <w:pPr>
              <w:jc w:val="center"/>
              <w:rPr>
                <w:sz w:val="32"/>
                <w:szCs w:val="32"/>
              </w:rPr>
            </w:pPr>
          </w:p>
        </w:tc>
      </w:tr>
    </w:tbl>
    <w:p w:rsidR="004963B6" w:rsidRPr="001C28D8" w:rsidRDefault="004963B6" w:rsidP="004963B6">
      <w:pPr>
        <w:rPr>
          <w:sz w:val="18"/>
          <w:szCs w:val="18"/>
        </w:rPr>
      </w:pPr>
    </w:p>
    <w:p w:rsidR="004963B6" w:rsidRPr="006F6A0E" w:rsidRDefault="004963B6" w:rsidP="004963B6">
      <w:pPr>
        <w:rPr>
          <w:rFonts w:cstheme="minorHAnsi"/>
          <w:b/>
        </w:rPr>
      </w:pPr>
      <w:r w:rsidRPr="006F6A0E">
        <w:rPr>
          <w:rFonts w:cstheme="minorHAnsi"/>
          <w:b/>
        </w:rPr>
        <w:t>Credit Card Management</w:t>
      </w:r>
    </w:p>
    <w:tbl>
      <w:tblPr>
        <w:tblStyle w:val="TableGrid"/>
        <w:tblW w:w="10170" w:type="dxa"/>
        <w:tblInd w:w="-252" w:type="dxa"/>
        <w:tblLook w:val="04A0" w:firstRow="1" w:lastRow="0" w:firstColumn="1" w:lastColumn="0" w:noHBand="0" w:noVBand="1"/>
      </w:tblPr>
      <w:tblGrid>
        <w:gridCol w:w="6840"/>
        <w:gridCol w:w="1080"/>
        <w:gridCol w:w="1170"/>
        <w:gridCol w:w="1080"/>
      </w:tblGrid>
      <w:tr w:rsidR="001C2EA0" w:rsidRPr="004963B6" w:rsidTr="001C2EA0">
        <w:tc>
          <w:tcPr>
            <w:tcW w:w="6840" w:type="dxa"/>
          </w:tcPr>
          <w:p w:rsidR="001C2EA0" w:rsidRPr="00FB77DD" w:rsidRDefault="001C2EA0" w:rsidP="004963B6">
            <w:pPr>
              <w:pStyle w:val="ListParagraph"/>
              <w:numPr>
                <w:ilvl w:val="0"/>
                <w:numId w:val="5"/>
              </w:numPr>
              <w:rPr>
                <w:rFonts w:ascii="Arial" w:hAnsi="Arial" w:cs="Arial"/>
              </w:rPr>
            </w:pPr>
            <w:r w:rsidRPr="00FB77DD">
              <w:rPr>
                <w:rFonts w:cstheme="minorHAnsi"/>
              </w:rPr>
              <w:t>Obtain supporting documentation for all company credit card charges (and other online purchases) from all authorized employees</w:t>
            </w:r>
            <w:r>
              <w:rPr>
                <w:rFonts w:ascii="Arial" w:hAnsi="Arial" w:cs="Arial"/>
              </w:rPr>
              <w:t xml:space="preserve">.  </w:t>
            </w:r>
          </w:p>
        </w:tc>
        <w:tc>
          <w:tcPr>
            <w:tcW w:w="1080" w:type="dxa"/>
          </w:tcPr>
          <w:p w:rsidR="001C2EA0" w:rsidRPr="004963B6" w:rsidRDefault="001C2EA0" w:rsidP="00FC31BA">
            <w:pPr>
              <w:jc w:val="center"/>
              <w:rPr>
                <w:sz w:val="32"/>
                <w:szCs w:val="32"/>
              </w:rPr>
            </w:pPr>
          </w:p>
        </w:tc>
        <w:tc>
          <w:tcPr>
            <w:tcW w:w="1170" w:type="dxa"/>
          </w:tcPr>
          <w:p w:rsidR="001C2EA0" w:rsidRPr="002100D2" w:rsidRDefault="001C2EA0" w:rsidP="00FC31BA">
            <w:pPr>
              <w:jc w:val="center"/>
              <w:rPr>
                <w:sz w:val="32"/>
                <w:szCs w:val="32"/>
              </w:rPr>
            </w:pPr>
          </w:p>
        </w:tc>
        <w:tc>
          <w:tcPr>
            <w:tcW w:w="1080" w:type="dxa"/>
          </w:tcPr>
          <w:p w:rsidR="001C2EA0" w:rsidRPr="002100D2" w:rsidRDefault="001C2EA0" w:rsidP="00FC31BA">
            <w:pPr>
              <w:jc w:val="center"/>
              <w:rPr>
                <w:sz w:val="32"/>
                <w:szCs w:val="32"/>
              </w:rPr>
            </w:pPr>
          </w:p>
        </w:tc>
      </w:tr>
      <w:tr w:rsidR="001C2EA0" w:rsidRPr="004963B6" w:rsidTr="001C2EA0">
        <w:tc>
          <w:tcPr>
            <w:tcW w:w="6840" w:type="dxa"/>
          </w:tcPr>
          <w:p w:rsidR="001C2EA0" w:rsidRPr="00FB77DD" w:rsidRDefault="001C2EA0" w:rsidP="004963B6">
            <w:pPr>
              <w:pStyle w:val="ListParagraph"/>
              <w:numPr>
                <w:ilvl w:val="0"/>
                <w:numId w:val="5"/>
              </w:numPr>
              <w:rPr>
                <w:rFonts w:ascii="Arial" w:hAnsi="Arial" w:cs="Arial"/>
              </w:rPr>
            </w:pPr>
            <w:r w:rsidRPr="00FB77DD">
              <w:rPr>
                <w:rFonts w:cstheme="minorHAnsi"/>
              </w:rPr>
              <w:t>Properly code monthly credit card charges as direct, indirect, or unallowable in a VERY TIMELY manner as interest charges can be steep if the bill is paid late.</w:t>
            </w:r>
          </w:p>
        </w:tc>
        <w:tc>
          <w:tcPr>
            <w:tcW w:w="1080" w:type="dxa"/>
          </w:tcPr>
          <w:p w:rsidR="001C2EA0" w:rsidRPr="004963B6" w:rsidRDefault="001C2EA0" w:rsidP="00FC31BA">
            <w:pPr>
              <w:jc w:val="center"/>
              <w:rPr>
                <w:sz w:val="32"/>
                <w:szCs w:val="32"/>
              </w:rPr>
            </w:pPr>
          </w:p>
        </w:tc>
        <w:tc>
          <w:tcPr>
            <w:tcW w:w="1170" w:type="dxa"/>
          </w:tcPr>
          <w:p w:rsidR="001C2EA0" w:rsidRDefault="001C2EA0" w:rsidP="00FC31BA">
            <w:pPr>
              <w:jc w:val="center"/>
              <w:rPr>
                <w:sz w:val="32"/>
                <w:szCs w:val="32"/>
              </w:rPr>
            </w:pPr>
          </w:p>
        </w:tc>
        <w:tc>
          <w:tcPr>
            <w:tcW w:w="1080" w:type="dxa"/>
          </w:tcPr>
          <w:p w:rsidR="001C2EA0" w:rsidRPr="004963B6" w:rsidRDefault="001C2EA0" w:rsidP="00FC31BA">
            <w:pPr>
              <w:jc w:val="center"/>
              <w:rPr>
                <w:sz w:val="32"/>
                <w:szCs w:val="32"/>
              </w:rPr>
            </w:pPr>
          </w:p>
        </w:tc>
      </w:tr>
    </w:tbl>
    <w:p w:rsidR="004963B6" w:rsidRDefault="004963B6" w:rsidP="004963B6">
      <w:pPr>
        <w:rPr>
          <w:rFonts w:ascii="Arial" w:hAnsi="Arial" w:cs="Arial"/>
          <w:b/>
          <w:sz w:val="18"/>
          <w:szCs w:val="18"/>
        </w:rPr>
      </w:pPr>
    </w:p>
    <w:p w:rsidR="001C2EA0" w:rsidRDefault="001C2EA0" w:rsidP="004963B6">
      <w:pPr>
        <w:rPr>
          <w:rFonts w:ascii="Arial" w:hAnsi="Arial" w:cs="Arial"/>
          <w:b/>
          <w:sz w:val="18"/>
          <w:szCs w:val="18"/>
        </w:rPr>
      </w:pPr>
    </w:p>
    <w:p w:rsidR="001C2EA0" w:rsidRPr="001C28D8" w:rsidRDefault="001C2EA0" w:rsidP="004963B6">
      <w:pPr>
        <w:rPr>
          <w:rFonts w:ascii="Arial" w:hAnsi="Arial" w:cs="Arial"/>
          <w:b/>
          <w:sz w:val="18"/>
          <w:szCs w:val="18"/>
        </w:rPr>
      </w:pPr>
    </w:p>
    <w:p w:rsidR="001C28D8" w:rsidRPr="006F6A0E" w:rsidRDefault="001C28D8" w:rsidP="004963B6">
      <w:pPr>
        <w:rPr>
          <w:rFonts w:cstheme="minorHAnsi"/>
          <w:b/>
        </w:rPr>
      </w:pPr>
      <w:r w:rsidRPr="006F6A0E">
        <w:rPr>
          <w:rFonts w:cstheme="minorHAnsi"/>
          <w:b/>
        </w:rPr>
        <w:lastRenderedPageBreak/>
        <w:t>Timecard and Employee Resource Planning and Management</w:t>
      </w:r>
    </w:p>
    <w:tbl>
      <w:tblPr>
        <w:tblStyle w:val="TableGrid"/>
        <w:tblW w:w="10170" w:type="dxa"/>
        <w:tblInd w:w="-252" w:type="dxa"/>
        <w:tblLook w:val="04A0" w:firstRow="1" w:lastRow="0" w:firstColumn="1" w:lastColumn="0" w:noHBand="0" w:noVBand="1"/>
      </w:tblPr>
      <w:tblGrid>
        <w:gridCol w:w="6840"/>
        <w:gridCol w:w="1080"/>
        <w:gridCol w:w="1170"/>
        <w:gridCol w:w="1080"/>
      </w:tblGrid>
      <w:tr w:rsidR="001C2EA0" w:rsidRPr="004963B6" w:rsidTr="001C2EA0">
        <w:tc>
          <w:tcPr>
            <w:tcW w:w="6840" w:type="dxa"/>
          </w:tcPr>
          <w:p w:rsidR="001C2EA0" w:rsidRPr="00FB77DD" w:rsidRDefault="001C2EA0" w:rsidP="00C76939">
            <w:pPr>
              <w:pStyle w:val="ListParagraph"/>
              <w:numPr>
                <w:ilvl w:val="0"/>
                <w:numId w:val="5"/>
              </w:numPr>
              <w:rPr>
                <w:rFonts w:cstheme="minorHAnsi"/>
              </w:rPr>
            </w:pPr>
            <w:r w:rsidRPr="00FB77DD">
              <w:rPr>
                <w:rFonts w:cstheme="minorHAnsi"/>
              </w:rPr>
              <w:t>Collect all timecard and ensue that they are filled out properly (</w:t>
            </w:r>
            <w:r>
              <w:rPr>
                <w:rFonts w:cstheme="minorHAnsi"/>
              </w:rPr>
              <w:t xml:space="preserve">i.e. </w:t>
            </w:r>
            <w:r w:rsidRPr="00FB77DD">
              <w:rPr>
                <w:rFonts w:cstheme="minorHAnsi"/>
              </w:rPr>
              <w:t xml:space="preserve">people working on </w:t>
            </w:r>
            <w:r>
              <w:rPr>
                <w:rFonts w:cstheme="minorHAnsi"/>
              </w:rPr>
              <w:t>holidays</w:t>
            </w:r>
            <w:r w:rsidRPr="00FB77DD">
              <w:rPr>
                <w:rFonts w:cstheme="minorHAnsi"/>
              </w:rPr>
              <w:t>).</w:t>
            </w:r>
          </w:p>
        </w:tc>
        <w:tc>
          <w:tcPr>
            <w:tcW w:w="1080" w:type="dxa"/>
          </w:tcPr>
          <w:p w:rsidR="001C2EA0" w:rsidRPr="004963B6" w:rsidRDefault="001C2EA0" w:rsidP="00ED750D">
            <w:pPr>
              <w:jc w:val="center"/>
              <w:rPr>
                <w:sz w:val="32"/>
                <w:szCs w:val="32"/>
              </w:rPr>
            </w:pPr>
          </w:p>
        </w:tc>
        <w:tc>
          <w:tcPr>
            <w:tcW w:w="1170" w:type="dxa"/>
          </w:tcPr>
          <w:p w:rsidR="001C2EA0" w:rsidRPr="002100D2" w:rsidRDefault="001C2EA0" w:rsidP="00ED750D">
            <w:pPr>
              <w:jc w:val="center"/>
              <w:rPr>
                <w:sz w:val="32"/>
                <w:szCs w:val="32"/>
              </w:rPr>
            </w:pPr>
          </w:p>
        </w:tc>
        <w:tc>
          <w:tcPr>
            <w:tcW w:w="1080" w:type="dxa"/>
          </w:tcPr>
          <w:p w:rsidR="001C2EA0" w:rsidRPr="002100D2" w:rsidRDefault="001C2EA0" w:rsidP="00ED750D">
            <w:pPr>
              <w:jc w:val="center"/>
              <w:rPr>
                <w:sz w:val="32"/>
                <w:szCs w:val="32"/>
              </w:rPr>
            </w:pPr>
          </w:p>
        </w:tc>
      </w:tr>
      <w:tr w:rsidR="001C2EA0" w:rsidRPr="004963B6" w:rsidTr="001C2EA0">
        <w:tc>
          <w:tcPr>
            <w:tcW w:w="6840" w:type="dxa"/>
          </w:tcPr>
          <w:p w:rsidR="001C2EA0" w:rsidRPr="002100D2" w:rsidRDefault="001C2EA0" w:rsidP="002100D2">
            <w:pPr>
              <w:pStyle w:val="ListParagraph"/>
              <w:numPr>
                <w:ilvl w:val="0"/>
                <w:numId w:val="5"/>
              </w:numPr>
              <w:rPr>
                <w:rFonts w:cstheme="minorHAnsi"/>
              </w:rPr>
            </w:pPr>
            <w:r w:rsidRPr="002100D2">
              <w:rPr>
                <w:rFonts w:cstheme="minorHAnsi"/>
              </w:rPr>
              <w:t>Maintain weekly, semi-monthly, or monthly labor distribution – distribute $85,000/2,080 across all time charged for the week (being careful of retroactive raises and uncompensated overtime).</w:t>
            </w:r>
          </w:p>
        </w:tc>
        <w:tc>
          <w:tcPr>
            <w:tcW w:w="1080" w:type="dxa"/>
          </w:tcPr>
          <w:p w:rsidR="001C2EA0" w:rsidRPr="004963B6" w:rsidRDefault="001C2EA0" w:rsidP="00ED750D">
            <w:pPr>
              <w:jc w:val="center"/>
              <w:rPr>
                <w:sz w:val="32"/>
                <w:szCs w:val="32"/>
              </w:rPr>
            </w:pPr>
          </w:p>
        </w:tc>
        <w:tc>
          <w:tcPr>
            <w:tcW w:w="1170" w:type="dxa"/>
          </w:tcPr>
          <w:p w:rsidR="001C2EA0" w:rsidRDefault="001C2EA0" w:rsidP="00ED750D">
            <w:pPr>
              <w:jc w:val="center"/>
              <w:rPr>
                <w:sz w:val="32"/>
                <w:szCs w:val="32"/>
              </w:rPr>
            </w:pPr>
          </w:p>
        </w:tc>
        <w:tc>
          <w:tcPr>
            <w:tcW w:w="1080" w:type="dxa"/>
          </w:tcPr>
          <w:p w:rsidR="001C2EA0" w:rsidRPr="004963B6" w:rsidRDefault="001C2EA0" w:rsidP="00ED750D">
            <w:pPr>
              <w:jc w:val="center"/>
              <w:rPr>
                <w:sz w:val="32"/>
                <w:szCs w:val="32"/>
              </w:rPr>
            </w:pPr>
          </w:p>
        </w:tc>
      </w:tr>
      <w:tr w:rsidR="001C2EA0" w:rsidRPr="00FB77DD" w:rsidTr="001C2EA0">
        <w:tc>
          <w:tcPr>
            <w:tcW w:w="6840" w:type="dxa"/>
          </w:tcPr>
          <w:p w:rsidR="001C2EA0" w:rsidRPr="00FB77DD" w:rsidRDefault="001C2EA0" w:rsidP="00C76939">
            <w:pPr>
              <w:pStyle w:val="ListParagraph"/>
              <w:numPr>
                <w:ilvl w:val="0"/>
                <w:numId w:val="5"/>
              </w:numPr>
            </w:pPr>
            <w:r>
              <w:rPr>
                <w:rFonts w:cstheme="minorHAnsi"/>
              </w:rPr>
              <w:t>Develop company policies (i.e. vacation, holiday, sick, capitalization, etc.).  Enforce as issues arise.</w:t>
            </w:r>
          </w:p>
        </w:tc>
        <w:tc>
          <w:tcPr>
            <w:tcW w:w="1080" w:type="dxa"/>
          </w:tcPr>
          <w:p w:rsidR="001C2EA0" w:rsidRPr="00FB77DD" w:rsidRDefault="001C2EA0" w:rsidP="00ED750D">
            <w:pPr>
              <w:jc w:val="center"/>
            </w:pPr>
          </w:p>
        </w:tc>
        <w:tc>
          <w:tcPr>
            <w:tcW w:w="1170" w:type="dxa"/>
          </w:tcPr>
          <w:p w:rsidR="001C2EA0" w:rsidRDefault="001C2EA0" w:rsidP="00ED750D">
            <w:pPr>
              <w:jc w:val="center"/>
              <w:rPr>
                <w:sz w:val="32"/>
                <w:szCs w:val="32"/>
              </w:rPr>
            </w:pPr>
          </w:p>
        </w:tc>
        <w:tc>
          <w:tcPr>
            <w:tcW w:w="1080" w:type="dxa"/>
          </w:tcPr>
          <w:p w:rsidR="001C2EA0" w:rsidRPr="002100D2" w:rsidRDefault="001C2EA0" w:rsidP="00ED750D">
            <w:pPr>
              <w:jc w:val="center"/>
              <w:rPr>
                <w:sz w:val="32"/>
                <w:szCs w:val="32"/>
              </w:rPr>
            </w:pPr>
          </w:p>
        </w:tc>
      </w:tr>
      <w:tr w:rsidR="001C2EA0" w:rsidRPr="00FB77DD" w:rsidTr="001C2EA0">
        <w:tc>
          <w:tcPr>
            <w:tcW w:w="6840" w:type="dxa"/>
          </w:tcPr>
          <w:p w:rsidR="001C2EA0" w:rsidRPr="00FB77DD" w:rsidRDefault="001C2EA0" w:rsidP="00C76939">
            <w:pPr>
              <w:pStyle w:val="ListParagraph"/>
              <w:numPr>
                <w:ilvl w:val="0"/>
                <w:numId w:val="5"/>
              </w:numPr>
              <w:rPr>
                <w:rFonts w:cstheme="minorHAnsi"/>
              </w:rPr>
            </w:pPr>
            <w:r>
              <w:rPr>
                <w:rFonts w:cstheme="minorHAnsi"/>
              </w:rPr>
              <w:t>Reconcile the labor distribution throughout the general ledger to the outside payroll tax reports (required schedule in annual incurred cost submission).</w:t>
            </w:r>
          </w:p>
        </w:tc>
        <w:tc>
          <w:tcPr>
            <w:tcW w:w="1080" w:type="dxa"/>
          </w:tcPr>
          <w:p w:rsidR="001C2EA0" w:rsidRPr="002100D2" w:rsidRDefault="001C2EA0" w:rsidP="00ED750D">
            <w:pPr>
              <w:jc w:val="center"/>
              <w:rPr>
                <w:sz w:val="32"/>
                <w:szCs w:val="32"/>
              </w:rPr>
            </w:pPr>
          </w:p>
        </w:tc>
        <w:tc>
          <w:tcPr>
            <w:tcW w:w="1170" w:type="dxa"/>
          </w:tcPr>
          <w:p w:rsidR="001C2EA0" w:rsidRPr="00FB77DD" w:rsidRDefault="001C2EA0" w:rsidP="00ED750D">
            <w:pPr>
              <w:jc w:val="center"/>
            </w:pPr>
          </w:p>
        </w:tc>
        <w:tc>
          <w:tcPr>
            <w:tcW w:w="1080" w:type="dxa"/>
          </w:tcPr>
          <w:p w:rsidR="001C2EA0" w:rsidRPr="00FB77DD" w:rsidRDefault="001C2EA0" w:rsidP="00ED750D">
            <w:pPr>
              <w:jc w:val="center"/>
            </w:pPr>
          </w:p>
        </w:tc>
      </w:tr>
    </w:tbl>
    <w:p w:rsidR="007E1214" w:rsidRPr="00FB77DD" w:rsidRDefault="007E1214" w:rsidP="004963B6">
      <w:pPr>
        <w:rPr>
          <w:b/>
        </w:rPr>
      </w:pPr>
    </w:p>
    <w:p w:rsidR="00623EF1" w:rsidRPr="00FB77DD" w:rsidRDefault="007E1214" w:rsidP="004963B6">
      <w:pPr>
        <w:rPr>
          <w:rFonts w:cstheme="minorHAnsi"/>
          <w:b/>
        </w:rPr>
      </w:pPr>
      <w:r w:rsidRPr="00FB77DD">
        <w:rPr>
          <w:rFonts w:cstheme="minorHAnsi"/>
          <w:b/>
        </w:rPr>
        <w:t>Cutoff</w:t>
      </w:r>
    </w:p>
    <w:tbl>
      <w:tblPr>
        <w:tblStyle w:val="TableGrid"/>
        <w:tblW w:w="10170" w:type="dxa"/>
        <w:tblInd w:w="-252" w:type="dxa"/>
        <w:tblLook w:val="04A0" w:firstRow="1" w:lastRow="0" w:firstColumn="1" w:lastColumn="0" w:noHBand="0" w:noVBand="1"/>
      </w:tblPr>
      <w:tblGrid>
        <w:gridCol w:w="6840"/>
        <w:gridCol w:w="1080"/>
        <w:gridCol w:w="1170"/>
        <w:gridCol w:w="1080"/>
      </w:tblGrid>
      <w:tr w:rsidR="001C2EA0" w:rsidRPr="00FB77DD" w:rsidTr="001C2EA0">
        <w:tc>
          <w:tcPr>
            <w:tcW w:w="6840" w:type="dxa"/>
          </w:tcPr>
          <w:p w:rsidR="001C2EA0" w:rsidRPr="00FB77DD" w:rsidRDefault="001C2EA0" w:rsidP="00B66F2C">
            <w:pPr>
              <w:pStyle w:val="ListParagraph"/>
              <w:numPr>
                <w:ilvl w:val="0"/>
                <w:numId w:val="5"/>
              </w:numPr>
              <w:rPr>
                <w:rFonts w:cstheme="minorHAnsi"/>
              </w:rPr>
            </w:pPr>
            <w:r w:rsidRPr="00FB77DD">
              <w:rPr>
                <w:rFonts w:cstheme="minorHAnsi"/>
              </w:rPr>
              <w:t xml:space="preserve">Generally cutoff is not an issue with standard monthly closing. However, at the end of the Company’s fiscal year (typically 12/31) it is CRITICAL to ensure that all 2011 charges (for products received in 2011 or for services performed in 2011) are coded to December of 2011 and all charges for all goods or services received in 2012 are coded in January of 2012. One of the most important steps here is to call all consultants (who may be motivated by avoiding taxes) to get their November and December invoices into the system as early in 2012 as possible as these must be accounted for as 2011 costs. Similarly, hospitals, universities, and some other subcontractors have very poor billing practices and may need to be prodded. </w:t>
            </w:r>
          </w:p>
        </w:tc>
        <w:tc>
          <w:tcPr>
            <w:tcW w:w="1080" w:type="dxa"/>
          </w:tcPr>
          <w:p w:rsidR="001C2EA0" w:rsidRPr="00FB77DD" w:rsidRDefault="001C2EA0" w:rsidP="006F6A0E">
            <w:pPr>
              <w:pStyle w:val="ListParagraph"/>
              <w:ind w:left="360"/>
              <w:rPr>
                <w:rFonts w:cstheme="minorHAnsi"/>
              </w:rPr>
            </w:pPr>
          </w:p>
        </w:tc>
        <w:tc>
          <w:tcPr>
            <w:tcW w:w="1170" w:type="dxa"/>
          </w:tcPr>
          <w:p w:rsidR="001C2EA0" w:rsidRDefault="001C2EA0" w:rsidP="006F6A0E">
            <w:pPr>
              <w:pStyle w:val="ListParagraph"/>
              <w:ind w:left="360"/>
              <w:rPr>
                <w:rFonts w:cstheme="minorHAnsi"/>
              </w:rPr>
            </w:pPr>
          </w:p>
        </w:tc>
        <w:tc>
          <w:tcPr>
            <w:tcW w:w="1080" w:type="dxa"/>
          </w:tcPr>
          <w:p w:rsidR="001C2EA0" w:rsidRDefault="001C2EA0" w:rsidP="006F6A0E">
            <w:pPr>
              <w:pStyle w:val="ListParagraph"/>
              <w:ind w:left="360"/>
              <w:rPr>
                <w:rFonts w:cstheme="minorHAnsi"/>
              </w:rPr>
            </w:pPr>
          </w:p>
          <w:p w:rsidR="001C2EA0" w:rsidRDefault="001C2EA0" w:rsidP="006F6A0E">
            <w:pPr>
              <w:pStyle w:val="ListParagraph"/>
              <w:ind w:left="360"/>
              <w:rPr>
                <w:rFonts w:cstheme="minorHAnsi"/>
              </w:rPr>
            </w:pPr>
          </w:p>
          <w:p w:rsidR="001C2EA0" w:rsidRDefault="001C2EA0" w:rsidP="006F6A0E">
            <w:pPr>
              <w:pStyle w:val="ListParagraph"/>
              <w:ind w:left="360"/>
              <w:rPr>
                <w:rFonts w:cstheme="minorHAnsi"/>
              </w:rPr>
            </w:pPr>
          </w:p>
          <w:p w:rsidR="001C2EA0" w:rsidRDefault="001C2EA0" w:rsidP="006F6A0E">
            <w:pPr>
              <w:pStyle w:val="ListParagraph"/>
              <w:ind w:left="360"/>
              <w:rPr>
                <w:rFonts w:cstheme="minorHAnsi"/>
              </w:rPr>
            </w:pPr>
          </w:p>
          <w:p w:rsidR="001C2EA0" w:rsidRPr="002100D2" w:rsidRDefault="001C2EA0" w:rsidP="006F6A0E">
            <w:pPr>
              <w:pStyle w:val="ListParagraph"/>
              <w:ind w:left="360"/>
              <w:rPr>
                <w:rFonts w:cstheme="minorHAnsi"/>
                <w:sz w:val="32"/>
                <w:szCs w:val="32"/>
              </w:rPr>
            </w:pPr>
          </w:p>
        </w:tc>
      </w:tr>
    </w:tbl>
    <w:p w:rsidR="004963B6" w:rsidRDefault="004963B6" w:rsidP="00FB77DD">
      <w:pPr>
        <w:pStyle w:val="ListParagraph"/>
        <w:spacing w:after="0" w:line="240" w:lineRule="auto"/>
        <w:ind w:left="360"/>
        <w:rPr>
          <w:rFonts w:cstheme="minorHAnsi"/>
          <w:sz w:val="20"/>
          <w:szCs w:val="20"/>
        </w:rPr>
      </w:pPr>
    </w:p>
    <w:p w:rsidR="008B20F7" w:rsidRPr="00FB77DD" w:rsidRDefault="008B20F7" w:rsidP="00FB77DD">
      <w:pPr>
        <w:pStyle w:val="ListParagraph"/>
        <w:spacing w:after="0" w:line="240" w:lineRule="auto"/>
        <w:ind w:left="360"/>
        <w:rPr>
          <w:rFonts w:cstheme="minorHAnsi"/>
          <w:sz w:val="20"/>
          <w:szCs w:val="20"/>
        </w:rPr>
      </w:pPr>
    </w:p>
    <w:p w:rsidR="00C2623F" w:rsidRPr="006F6A0E" w:rsidRDefault="00C2623F" w:rsidP="004963B6">
      <w:pPr>
        <w:rPr>
          <w:rFonts w:cstheme="minorHAnsi"/>
          <w:b/>
        </w:rPr>
      </w:pPr>
      <w:r w:rsidRPr="006F6A0E">
        <w:rPr>
          <w:rFonts w:cstheme="minorHAnsi"/>
          <w:b/>
        </w:rPr>
        <w:t>Other Assets</w:t>
      </w:r>
    </w:p>
    <w:tbl>
      <w:tblPr>
        <w:tblStyle w:val="TableGrid"/>
        <w:tblW w:w="10170" w:type="dxa"/>
        <w:tblInd w:w="-252" w:type="dxa"/>
        <w:tblLook w:val="04A0" w:firstRow="1" w:lastRow="0" w:firstColumn="1" w:lastColumn="0" w:noHBand="0" w:noVBand="1"/>
      </w:tblPr>
      <w:tblGrid>
        <w:gridCol w:w="6840"/>
        <w:gridCol w:w="1080"/>
        <w:gridCol w:w="1170"/>
        <w:gridCol w:w="1080"/>
      </w:tblGrid>
      <w:tr w:rsidR="001C2EA0" w:rsidRPr="004963B6" w:rsidTr="001C2EA0">
        <w:tc>
          <w:tcPr>
            <w:tcW w:w="6840" w:type="dxa"/>
          </w:tcPr>
          <w:p w:rsidR="001C2EA0" w:rsidRPr="006F6A0E" w:rsidRDefault="001C2EA0" w:rsidP="006F6A0E">
            <w:pPr>
              <w:pStyle w:val="ListParagraph"/>
              <w:numPr>
                <w:ilvl w:val="0"/>
                <w:numId w:val="5"/>
              </w:numPr>
              <w:rPr>
                <w:rFonts w:cstheme="minorHAnsi"/>
              </w:rPr>
            </w:pPr>
            <w:r w:rsidRPr="006F6A0E">
              <w:rPr>
                <w:rFonts w:cstheme="minorHAnsi"/>
              </w:rPr>
              <w:t>Material prepaid expenses should be recorded on the balance sheet and       amortized into the profit and loss statement.</w:t>
            </w:r>
          </w:p>
        </w:tc>
        <w:tc>
          <w:tcPr>
            <w:tcW w:w="1080" w:type="dxa"/>
          </w:tcPr>
          <w:p w:rsidR="001C2EA0" w:rsidRPr="004963B6" w:rsidRDefault="001C2EA0" w:rsidP="00A03E2B">
            <w:pPr>
              <w:jc w:val="center"/>
              <w:rPr>
                <w:sz w:val="32"/>
                <w:szCs w:val="32"/>
              </w:rPr>
            </w:pPr>
          </w:p>
        </w:tc>
        <w:tc>
          <w:tcPr>
            <w:tcW w:w="1170" w:type="dxa"/>
          </w:tcPr>
          <w:p w:rsidR="001C2EA0" w:rsidRPr="002100D2" w:rsidRDefault="001C2EA0" w:rsidP="00A03E2B">
            <w:pPr>
              <w:jc w:val="center"/>
              <w:rPr>
                <w:sz w:val="32"/>
                <w:szCs w:val="32"/>
              </w:rPr>
            </w:pPr>
          </w:p>
        </w:tc>
        <w:tc>
          <w:tcPr>
            <w:tcW w:w="1080" w:type="dxa"/>
          </w:tcPr>
          <w:p w:rsidR="001C2EA0" w:rsidRPr="002100D2" w:rsidRDefault="001C2EA0" w:rsidP="00A03E2B">
            <w:pPr>
              <w:jc w:val="center"/>
              <w:rPr>
                <w:sz w:val="32"/>
                <w:szCs w:val="32"/>
              </w:rPr>
            </w:pPr>
          </w:p>
        </w:tc>
      </w:tr>
      <w:tr w:rsidR="001C2EA0" w:rsidRPr="004963B6" w:rsidTr="001C2EA0">
        <w:tc>
          <w:tcPr>
            <w:tcW w:w="6840" w:type="dxa"/>
          </w:tcPr>
          <w:p w:rsidR="001C2EA0" w:rsidRPr="00FB77DD" w:rsidRDefault="001C2EA0" w:rsidP="002100D2">
            <w:pPr>
              <w:pStyle w:val="ListParagraph"/>
              <w:numPr>
                <w:ilvl w:val="0"/>
                <w:numId w:val="5"/>
              </w:numPr>
              <w:rPr>
                <w:rFonts w:cstheme="minorHAnsi"/>
              </w:rPr>
            </w:pPr>
            <w:r w:rsidRPr="00FB77DD">
              <w:rPr>
                <w:rFonts w:cstheme="minorHAnsi"/>
              </w:rPr>
              <w:t xml:space="preserve">Potentially depreciable items with a useful life &gt; 1 year (that are not directly charged to a specific grant or contract) should be capitalized in accordance with the Company’s accounting policies and procedures. These capital assets should be recorded on the balance sheet and depreciated in accordance with their GAAP useful life (tax is not allowable). </w:t>
            </w:r>
          </w:p>
        </w:tc>
        <w:tc>
          <w:tcPr>
            <w:tcW w:w="1080" w:type="dxa"/>
          </w:tcPr>
          <w:p w:rsidR="001C2EA0" w:rsidRPr="004963B6" w:rsidRDefault="001C2EA0" w:rsidP="00A03E2B">
            <w:pPr>
              <w:jc w:val="center"/>
              <w:rPr>
                <w:sz w:val="32"/>
                <w:szCs w:val="32"/>
              </w:rPr>
            </w:pPr>
          </w:p>
        </w:tc>
        <w:tc>
          <w:tcPr>
            <w:tcW w:w="1170" w:type="dxa"/>
          </w:tcPr>
          <w:p w:rsidR="001C2EA0" w:rsidRPr="004963B6" w:rsidRDefault="001C2EA0" w:rsidP="00A03E2B">
            <w:pPr>
              <w:jc w:val="center"/>
              <w:rPr>
                <w:sz w:val="32"/>
                <w:szCs w:val="32"/>
              </w:rPr>
            </w:pPr>
          </w:p>
        </w:tc>
        <w:tc>
          <w:tcPr>
            <w:tcW w:w="1080" w:type="dxa"/>
          </w:tcPr>
          <w:p w:rsidR="001C2EA0" w:rsidRPr="004963B6" w:rsidRDefault="001C2EA0" w:rsidP="00A03E2B">
            <w:pPr>
              <w:jc w:val="center"/>
              <w:rPr>
                <w:sz w:val="32"/>
                <w:szCs w:val="32"/>
              </w:rPr>
            </w:pPr>
          </w:p>
        </w:tc>
      </w:tr>
    </w:tbl>
    <w:p w:rsidR="00E62E35" w:rsidRDefault="00E62E35" w:rsidP="004963B6">
      <w:pPr>
        <w:rPr>
          <w:rFonts w:cstheme="minorHAnsi"/>
          <w:b/>
          <w:sz w:val="20"/>
          <w:szCs w:val="20"/>
        </w:rPr>
      </w:pPr>
    </w:p>
    <w:p w:rsidR="00C2623F" w:rsidRPr="006F6A0E" w:rsidRDefault="00C2623F" w:rsidP="004963B6">
      <w:pPr>
        <w:rPr>
          <w:rFonts w:cstheme="minorHAnsi"/>
          <w:b/>
        </w:rPr>
      </w:pPr>
      <w:r w:rsidRPr="006F6A0E">
        <w:rPr>
          <w:rFonts w:cstheme="minorHAnsi"/>
          <w:b/>
        </w:rPr>
        <w:t>Accrued Expenses</w:t>
      </w:r>
    </w:p>
    <w:tbl>
      <w:tblPr>
        <w:tblStyle w:val="TableGrid1"/>
        <w:tblW w:w="10170" w:type="dxa"/>
        <w:tblInd w:w="-252" w:type="dxa"/>
        <w:tblLook w:val="04A0" w:firstRow="1" w:lastRow="0" w:firstColumn="1" w:lastColumn="0" w:noHBand="0" w:noVBand="1"/>
      </w:tblPr>
      <w:tblGrid>
        <w:gridCol w:w="6840"/>
        <w:gridCol w:w="1080"/>
        <w:gridCol w:w="1170"/>
        <w:gridCol w:w="1080"/>
      </w:tblGrid>
      <w:tr w:rsidR="001C2EA0" w:rsidRPr="00C2623F" w:rsidTr="001C2EA0">
        <w:tc>
          <w:tcPr>
            <w:tcW w:w="6840" w:type="dxa"/>
          </w:tcPr>
          <w:p w:rsidR="001C2EA0" w:rsidRPr="00C2623F" w:rsidRDefault="001C2EA0" w:rsidP="006F6A0E">
            <w:pPr>
              <w:pStyle w:val="ListParagraph"/>
              <w:numPr>
                <w:ilvl w:val="0"/>
                <w:numId w:val="5"/>
              </w:numPr>
              <w:rPr>
                <w:rFonts w:cstheme="minorHAnsi"/>
              </w:rPr>
            </w:pPr>
            <w:r w:rsidRPr="00FB77DD">
              <w:rPr>
                <w:rFonts w:cstheme="minorHAnsi"/>
              </w:rPr>
              <w:t>Accrued expenses should be maintained as balance sheet liabilities. As an example, vacation should be charged to the profit and loss statement as earned. The resulting liability should be tracked on an employee by employee basis on the balance sheet in accordance with the Company’s accounting policies and procedures.</w:t>
            </w:r>
            <w:r>
              <w:rPr>
                <w:rFonts w:cstheme="minorHAnsi"/>
              </w:rPr>
              <w:t xml:space="preserve">  </w:t>
            </w:r>
            <w:r w:rsidRPr="00FB77DD">
              <w:rPr>
                <w:rFonts w:cstheme="minorHAnsi"/>
              </w:rPr>
              <w:t xml:space="preserve"> Any vacation </w:t>
            </w:r>
            <w:r w:rsidRPr="00FB77DD">
              <w:rPr>
                <w:rFonts w:cstheme="minorHAnsi"/>
              </w:rPr>
              <w:lastRenderedPageBreak/>
              <w:t>taken by the employee should reduce the liability.</w:t>
            </w:r>
          </w:p>
        </w:tc>
        <w:tc>
          <w:tcPr>
            <w:tcW w:w="1080" w:type="dxa"/>
          </w:tcPr>
          <w:p w:rsidR="001C2EA0" w:rsidRPr="00C2623F" w:rsidRDefault="001C2EA0" w:rsidP="00C2623F">
            <w:pPr>
              <w:spacing w:after="200" w:line="276" w:lineRule="auto"/>
              <w:jc w:val="center"/>
              <w:rPr>
                <w:sz w:val="32"/>
                <w:szCs w:val="32"/>
              </w:rPr>
            </w:pPr>
          </w:p>
        </w:tc>
        <w:tc>
          <w:tcPr>
            <w:tcW w:w="1170" w:type="dxa"/>
          </w:tcPr>
          <w:p w:rsidR="001C2EA0" w:rsidRDefault="001C2EA0" w:rsidP="00C2623F">
            <w:pPr>
              <w:jc w:val="center"/>
              <w:rPr>
                <w:b/>
                <w:sz w:val="32"/>
                <w:szCs w:val="32"/>
              </w:rPr>
            </w:pPr>
          </w:p>
        </w:tc>
        <w:tc>
          <w:tcPr>
            <w:tcW w:w="1080" w:type="dxa"/>
          </w:tcPr>
          <w:p w:rsidR="001C2EA0" w:rsidRDefault="001C2EA0" w:rsidP="00C2623F">
            <w:pPr>
              <w:spacing w:after="200" w:line="276" w:lineRule="auto"/>
              <w:jc w:val="center"/>
              <w:rPr>
                <w:b/>
                <w:sz w:val="32"/>
                <w:szCs w:val="32"/>
              </w:rPr>
            </w:pPr>
          </w:p>
          <w:p w:rsidR="001C2EA0" w:rsidRPr="002100D2" w:rsidRDefault="001C2EA0" w:rsidP="00C2623F">
            <w:pPr>
              <w:spacing w:after="200" w:line="276" w:lineRule="auto"/>
              <w:jc w:val="center"/>
              <w:rPr>
                <w:sz w:val="32"/>
                <w:szCs w:val="32"/>
              </w:rPr>
            </w:pPr>
          </w:p>
        </w:tc>
      </w:tr>
      <w:tr w:rsidR="001C2EA0" w:rsidRPr="00C2623F" w:rsidTr="001C2EA0">
        <w:tc>
          <w:tcPr>
            <w:tcW w:w="6840" w:type="dxa"/>
          </w:tcPr>
          <w:p w:rsidR="001C2EA0" w:rsidRPr="00C2623F" w:rsidRDefault="001C2EA0" w:rsidP="006F6A0E">
            <w:pPr>
              <w:pStyle w:val="ListParagraph"/>
              <w:numPr>
                <w:ilvl w:val="0"/>
                <w:numId w:val="5"/>
              </w:numPr>
              <w:rPr>
                <w:rFonts w:cstheme="minorHAnsi"/>
              </w:rPr>
            </w:pPr>
            <w:r w:rsidRPr="00FB77DD">
              <w:rPr>
                <w:rFonts w:cstheme="minorHAnsi"/>
              </w:rPr>
              <w:lastRenderedPageBreak/>
              <w:t>If retirement plan is part of the Company’s fringe benefit package a monthly accrual should be made to the balance sheet and profit and loss to accrue for this liability. Employee census information should be provided to the Company actuary prior to the year end to ensure that the Company does not run afoul of the ERISA top-heavy rules. Retirement plans funded on a monthly basis, or plans that allow employees to self-direct pre-tax contribution must be administered in a timely manner.</w:t>
            </w:r>
          </w:p>
        </w:tc>
        <w:tc>
          <w:tcPr>
            <w:tcW w:w="1080" w:type="dxa"/>
          </w:tcPr>
          <w:p w:rsidR="001C2EA0" w:rsidRPr="00C2623F" w:rsidRDefault="001C2EA0" w:rsidP="00C2623F">
            <w:pPr>
              <w:spacing w:after="200" w:line="276" w:lineRule="auto"/>
              <w:jc w:val="center"/>
              <w:rPr>
                <w:sz w:val="32"/>
                <w:szCs w:val="32"/>
              </w:rPr>
            </w:pPr>
          </w:p>
        </w:tc>
        <w:tc>
          <w:tcPr>
            <w:tcW w:w="1170" w:type="dxa"/>
          </w:tcPr>
          <w:p w:rsidR="001C2EA0" w:rsidRDefault="001C2EA0" w:rsidP="00C2623F">
            <w:pPr>
              <w:jc w:val="center"/>
              <w:rPr>
                <w:sz w:val="32"/>
                <w:szCs w:val="32"/>
              </w:rPr>
            </w:pPr>
          </w:p>
        </w:tc>
        <w:tc>
          <w:tcPr>
            <w:tcW w:w="1080" w:type="dxa"/>
          </w:tcPr>
          <w:p w:rsidR="001C2EA0" w:rsidRDefault="001C2EA0" w:rsidP="00C2623F">
            <w:pPr>
              <w:spacing w:after="200" w:line="276" w:lineRule="auto"/>
              <w:jc w:val="center"/>
              <w:rPr>
                <w:sz w:val="32"/>
                <w:szCs w:val="32"/>
              </w:rPr>
            </w:pPr>
          </w:p>
          <w:p w:rsidR="001C2EA0" w:rsidRPr="00C2623F" w:rsidRDefault="001C2EA0" w:rsidP="001C2EA0">
            <w:pPr>
              <w:spacing w:after="200" w:line="276" w:lineRule="auto"/>
              <w:rPr>
                <w:sz w:val="32"/>
                <w:szCs w:val="32"/>
              </w:rPr>
            </w:pPr>
          </w:p>
        </w:tc>
      </w:tr>
    </w:tbl>
    <w:p w:rsidR="001C2EA0" w:rsidRDefault="001C2EA0" w:rsidP="004963B6">
      <w:pPr>
        <w:rPr>
          <w:rFonts w:cstheme="minorHAnsi"/>
          <w:b/>
        </w:rPr>
      </w:pPr>
    </w:p>
    <w:p w:rsidR="00AE2672" w:rsidRPr="006F6A0E" w:rsidRDefault="00AE2672" w:rsidP="004963B6">
      <w:pPr>
        <w:rPr>
          <w:rFonts w:cstheme="minorHAnsi"/>
          <w:b/>
        </w:rPr>
      </w:pPr>
      <w:r w:rsidRPr="006F6A0E">
        <w:rPr>
          <w:rFonts w:cstheme="minorHAnsi"/>
          <w:b/>
        </w:rPr>
        <w:t>Debt</w:t>
      </w:r>
    </w:p>
    <w:tbl>
      <w:tblPr>
        <w:tblStyle w:val="TableGrid2"/>
        <w:tblW w:w="10080" w:type="dxa"/>
        <w:tblInd w:w="-252" w:type="dxa"/>
        <w:tblLook w:val="04A0" w:firstRow="1" w:lastRow="0" w:firstColumn="1" w:lastColumn="0" w:noHBand="0" w:noVBand="1"/>
      </w:tblPr>
      <w:tblGrid>
        <w:gridCol w:w="6840"/>
        <w:gridCol w:w="1080"/>
        <w:gridCol w:w="1170"/>
        <w:gridCol w:w="990"/>
      </w:tblGrid>
      <w:tr w:rsidR="001C2EA0" w:rsidRPr="00AE2672" w:rsidTr="001C2EA0">
        <w:tc>
          <w:tcPr>
            <w:tcW w:w="6840" w:type="dxa"/>
          </w:tcPr>
          <w:p w:rsidR="001C2EA0" w:rsidRPr="00AE2672" w:rsidRDefault="001C2EA0" w:rsidP="006F6A0E">
            <w:pPr>
              <w:pStyle w:val="ListParagraph"/>
              <w:numPr>
                <w:ilvl w:val="0"/>
                <w:numId w:val="5"/>
              </w:numPr>
              <w:rPr>
                <w:rFonts w:cstheme="minorHAnsi"/>
              </w:rPr>
            </w:pPr>
            <w:r w:rsidRPr="00FB77DD">
              <w:rPr>
                <w:rFonts w:cstheme="minorHAnsi"/>
              </w:rPr>
              <w:t>If the Company has borrowed money, special care needs to be taken to carefully plan cash flow so as to minimize (unallowable) borrowing costs. A repayment plan is essential.</w:t>
            </w:r>
          </w:p>
        </w:tc>
        <w:tc>
          <w:tcPr>
            <w:tcW w:w="1080" w:type="dxa"/>
          </w:tcPr>
          <w:p w:rsidR="001C2EA0" w:rsidRPr="00AE2672" w:rsidRDefault="001C2EA0" w:rsidP="00AE2672">
            <w:pPr>
              <w:spacing w:after="200" w:line="276" w:lineRule="auto"/>
              <w:jc w:val="center"/>
              <w:rPr>
                <w:sz w:val="32"/>
                <w:szCs w:val="32"/>
              </w:rPr>
            </w:pPr>
          </w:p>
        </w:tc>
        <w:tc>
          <w:tcPr>
            <w:tcW w:w="1170" w:type="dxa"/>
          </w:tcPr>
          <w:p w:rsidR="001C2EA0" w:rsidRPr="002100D2" w:rsidRDefault="001C2EA0" w:rsidP="00AE2672">
            <w:pPr>
              <w:jc w:val="center"/>
              <w:rPr>
                <w:sz w:val="32"/>
                <w:szCs w:val="32"/>
              </w:rPr>
            </w:pPr>
          </w:p>
        </w:tc>
        <w:tc>
          <w:tcPr>
            <w:tcW w:w="990" w:type="dxa"/>
          </w:tcPr>
          <w:p w:rsidR="001C2EA0" w:rsidRPr="002100D2" w:rsidRDefault="001C2EA0" w:rsidP="00AE2672">
            <w:pPr>
              <w:spacing w:after="200" w:line="276" w:lineRule="auto"/>
              <w:jc w:val="center"/>
              <w:rPr>
                <w:sz w:val="32"/>
                <w:szCs w:val="32"/>
              </w:rPr>
            </w:pPr>
          </w:p>
        </w:tc>
      </w:tr>
      <w:tr w:rsidR="001C2EA0" w:rsidRPr="00AE2672" w:rsidTr="001C2EA0">
        <w:tc>
          <w:tcPr>
            <w:tcW w:w="6840" w:type="dxa"/>
          </w:tcPr>
          <w:p w:rsidR="001C2EA0" w:rsidRPr="00FB77DD" w:rsidRDefault="001C2EA0" w:rsidP="00C76939">
            <w:pPr>
              <w:pStyle w:val="ListParagraph"/>
              <w:numPr>
                <w:ilvl w:val="0"/>
                <w:numId w:val="5"/>
              </w:numPr>
              <w:rPr>
                <w:rFonts w:cstheme="minorHAnsi"/>
              </w:rPr>
            </w:pPr>
            <w:r>
              <w:rPr>
                <w:rFonts w:cstheme="minorHAnsi"/>
              </w:rPr>
              <w:t>Loan obligations from the bank or investors (true notes payable) must be monitored and met in accordance with terms and conditions.</w:t>
            </w:r>
          </w:p>
        </w:tc>
        <w:tc>
          <w:tcPr>
            <w:tcW w:w="1080" w:type="dxa"/>
          </w:tcPr>
          <w:p w:rsidR="001C2EA0" w:rsidRPr="00AE2672" w:rsidRDefault="001C2EA0" w:rsidP="00AE2672">
            <w:pPr>
              <w:jc w:val="center"/>
              <w:rPr>
                <w:sz w:val="32"/>
                <w:szCs w:val="32"/>
              </w:rPr>
            </w:pPr>
          </w:p>
        </w:tc>
        <w:tc>
          <w:tcPr>
            <w:tcW w:w="1170" w:type="dxa"/>
          </w:tcPr>
          <w:p w:rsidR="001C2EA0" w:rsidRPr="00AE2672" w:rsidRDefault="001C2EA0" w:rsidP="00AE2672">
            <w:pPr>
              <w:jc w:val="center"/>
              <w:rPr>
                <w:sz w:val="32"/>
                <w:szCs w:val="32"/>
              </w:rPr>
            </w:pPr>
          </w:p>
        </w:tc>
        <w:tc>
          <w:tcPr>
            <w:tcW w:w="990" w:type="dxa"/>
          </w:tcPr>
          <w:p w:rsidR="001C2EA0" w:rsidRPr="00AE2672" w:rsidRDefault="001C2EA0" w:rsidP="00AE2672">
            <w:pPr>
              <w:jc w:val="center"/>
              <w:rPr>
                <w:sz w:val="32"/>
                <w:szCs w:val="32"/>
              </w:rPr>
            </w:pPr>
          </w:p>
        </w:tc>
      </w:tr>
    </w:tbl>
    <w:p w:rsidR="00AE2672" w:rsidRDefault="00AE2672" w:rsidP="004963B6">
      <w:pPr>
        <w:rPr>
          <w:rFonts w:ascii="Arial" w:hAnsi="Arial" w:cs="Arial"/>
          <w:b/>
          <w:sz w:val="18"/>
          <w:szCs w:val="18"/>
        </w:rPr>
      </w:pPr>
    </w:p>
    <w:p w:rsidR="006F6A0E" w:rsidRPr="006F6A0E" w:rsidRDefault="006F6A0E" w:rsidP="004963B6">
      <w:pPr>
        <w:rPr>
          <w:rFonts w:cstheme="minorHAnsi"/>
          <w:b/>
        </w:rPr>
      </w:pPr>
      <w:r w:rsidRPr="006F6A0E">
        <w:rPr>
          <w:rFonts w:cstheme="minorHAnsi"/>
          <w:b/>
        </w:rPr>
        <w:t>Equity</w:t>
      </w:r>
    </w:p>
    <w:tbl>
      <w:tblPr>
        <w:tblStyle w:val="TableGrid2"/>
        <w:tblW w:w="10080" w:type="dxa"/>
        <w:tblInd w:w="-252" w:type="dxa"/>
        <w:tblLook w:val="04A0" w:firstRow="1" w:lastRow="0" w:firstColumn="1" w:lastColumn="0" w:noHBand="0" w:noVBand="1"/>
      </w:tblPr>
      <w:tblGrid>
        <w:gridCol w:w="6840"/>
        <w:gridCol w:w="1080"/>
        <w:gridCol w:w="1170"/>
        <w:gridCol w:w="990"/>
      </w:tblGrid>
      <w:tr w:rsidR="001C2EA0" w:rsidRPr="00AE2672" w:rsidTr="001C2EA0">
        <w:tc>
          <w:tcPr>
            <w:tcW w:w="6840" w:type="dxa"/>
          </w:tcPr>
          <w:p w:rsidR="001C2EA0" w:rsidRPr="00AE2672" w:rsidRDefault="001C2EA0" w:rsidP="006F6A0E">
            <w:pPr>
              <w:pStyle w:val="ListParagraph"/>
              <w:numPr>
                <w:ilvl w:val="0"/>
                <w:numId w:val="5"/>
              </w:numPr>
              <w:rPr>
                <w:rFonts w:cstheme="minorHAnsi"/>
              </w:rPr>
            </w:pPr>
            <w:r>
              <w:rPr>
                <w:rFonts w:cstheme="minorHAnsi"/>
              </w:rPr>
              <w:t>If the Company has third party investors, a capitalization table must be maintained.</w:t>
            </w:r>
          </w:p>
        </w:tc>
        <w:tc>
          <w:tcPr>
            <w:tcW w:w="1080" w:type="dxa"/>
          </w:tcPr>
          <w:p w:rsidR="001C2EA0" w:rsidRPr="00AE2672" w:rsidRDefault="001C2EA0" w:rsidP="00DE355D">
            <w:pPr>
              <w:spacing w:after="200" w:line="276" w:lineRule="auto"/>
              <w:jc w:val="center"/>
              <w:rPr>
                <w:sz w:val="32"/>
                <w:szCs w:val="32"/>
              </w:rPr>
            </w:pPr>
          </w:p>
        </w:tc>
        <w:tc>
          <w:tcPr>
            <w:tcW w:w="1170" w:type="dxa"/>
          </w:tcPr>
          <w:p w:rsidR="001C2EA0" w:rsidRPr="00AE2672" w:rsidRDefault="001C2EA0" w:rsidP="00DE355D">
            <w:pPr>
              <w:jc w:val="center"/>
              <w:rPr>
                <w:b/>
                <w:sz w:val="32"/>
                <w:szCs w:val="32"/>
              </w:rPr>
            </w:pPr>
          </w:p>
        </w:tc>
        <w:tc>
          <w:tcPr>
            <w:tcW w:w="990" w:type="dxa"/>
          </w:tcPr>
          <w:p w:rsidR="001C2EA0" w:rsidRPr="00AE2672" w:rsidRDefault="001C2EA0" w:rsidP="00DE355D">
            <w:pPr>
              <w:spacing w:after="200" w:line="276" w:lineRule="auto"/>
              <w:jc w:val="center"/>
              <w:rPr>
                <w:b/>
                <w:sz w:val="32"/>
                <w:szCs w:val="32"/>
              </w:rPr>
            </w:pPr>
          </w:p>
        </w:tc>
      </w:tr>
      <w:tr w:rsidR="001C2EA0" w:rsidRPr="00AE2672" w:rsidTr="001C2EA0">
        <w:tc>
          <w:tcPr>
            <w:tcW w:w="6840" w:type="dxa"/>
          </w:tcPr>
          <w:p w:rsidR="001C2EA0" w:rsidRPr="00AE2672" w:rsidRDefault="001C2EA0" w:rsidP="006F6A0E">
            <w:pPr>
              <w:pStyle w:val="ListParagraph"/>
              <w:numPr>
                <w:ilvl w:val="0"/>
                <w:numId w:val="5"/>
              </w:numPr>
              <w:rPr>
                <w:rFonts w:cstheme="minorHAnsi"/>
              </w:rPr>
            </w:pPr>
            <w:r>
              <w:rPr>
                <w:rFonts w:cstheme="minorHAnsi"/>
              </w:rPr>
              <w:t>Stock options and warrants must be tracked and accounted for when issued and exercised.</w:t>
            </w:r>
          </w:p>
        </w:tc>
        <w:tc>
          <w:tcPr>
            <w:tcW w:w="1080" w:type="dxa"/>
          </w:tcPr>
          <w:p w:rsidR="001C2EA0" w:rsidRPr="00AE2672" w:rsidRDefault="001C2EA0" w:rsidP="00DE355D">
            <w:pPr>
              <w:spacing w:after="200" w:line="276" w:lineRule="auto"/>
              <w:jc w:val="center"/>
              <w:rPr>
                <w:sz w:val="32"/>
                <w:szCs w:val="32"/>
              </w:rPr>
            </w:pPr>
          </w:p>
        </w:tc>
        <w:tc>
          <w:tcPr>
            <w:tcW w:w="1170" w:type="dxa"/>
          </w:tcPr>
          <w:p w:rsidR="001C2EA0" w:rsidRPr="00AE2672" w:rsidRDefault="001C2EA0" w:rsidP="00DE355D">
            <w:pPr>
              <w:jc w:val="center"/>
              <w:rPr>
                <w:sz w:val="32"/>
                <w:szCs w:val="32"/>
              </w:rPr>
            </w:pPr>
          </w:p>
        </w:tc>
        <w:tc>
          <w:tcPr>
            <w:tcW w:w="990" w:type="dxa"/>
          </w:tcPr>
          <w:p w:rsidR="001C2EA0" w:rsidRPr="00AE2672" w:rsidRDefault="001C2EA0" w:rsidP="00DE355D">
            <w:pPr>
              <w:spacing w:after="200" w:line="276" w:lineRule="auto"/>
              <w:jc w:val="center"/>
              <w:rPr>
                <w:sz w:val="32"/>
                <w:szCs w:val="32"/>
              </w:rPr>
            </w:pPr>
          </w:p>
        </w:tc>
      </w:tr>
    </w:tbl>
    <w:p w:rsidR="006F6A0E" w:rsidRPr="001C28D8" w:rsidRDefault="006F6A0E" w:rsidP="004963B6">
      <w:pPr>
        <w:rPr>
          <w:rFonts w:ascii="Arial" w:hAnsi="Arial" w:cs="Arial"/>
          <w:b/>
          <w:sz w:val="18"/>
          <w:szCs w:val="18"/>
        </w:rPr>
      </w:pPr>
    </w:p>
    <w:p w:rsidR="004963B6" w:rsidRPr="006F6A0E" w:rsidRDefault="00AE2672" w:rsidP="004963B6">
      <w:pPr>
        <w:rPr>
          <w:rFonts w:cstheme="minorHAnsi"/>
          <w:b/>
        </w:rPr>
      </w:pPr>
      <w:r w:rsidRPr="006F6A0E">
        <w:rPr>
          <w:rFonts w:cstheme="minorHAnsi"/>
          <w:b/>
        </w:rPr>
        <w:t>Contract and Grant Management</w:t>
      </w:r>
    </w:p>
    <w:tbl>
      <w:tblPr>
        <w:tblStyle w:val="TableGrid3"/>
        <w:tblW w:w="10080" w:type="dxa"/>
        <w:tblInd w:w="-252" w:type="dxa"/>
        <w:tblLook w:val="04A0" w:firstRow="1" w:lastRow="0" w:firstColumn="1" w:lastColumn="0" w:noHBand="0" w:noVBand="1"/>
      </w:tblPr>
      <w:tblGrid>
        <w:gridCol w:w="6840"/>
        <w:gridCol w:w="1080"/>
        <w:gridCol w:w="1170"/>
        <w:gridCol w:w="990"/>
      </w:tblGrid>
      <w:tr w:rsidR="001C2EA0" w:rsidRPr="00AE2672" w:rsidTr="001C2EA0">
        <w:tc>
          <w:tcPr>
            <w:tcW w:w="6840" w:type="dxa"/>
          </w:tcPr>
          <w:p w:rsidR="001C2EA0" w:rsidRPr="00AE2672" w:rsidRDefault="001C2EA0" w:rsidP="006F6A0E">
            <w:pPr>
              <w:pStyle w:val="ListParagraph"/>
              <w:numPr>
                <w:ilvl w:val="0"/>
                <w:numId w:val="5"/>
              </w:numPr>
              <w:rPr>
                <w:rFonts w:cstheme="minorHAnsi"/>
              </w:rPr>
            </w:pPr>
            <w:r w:rsidRPr="00FB77DD">
              <w:rPr>
                <w:rFonts w:cstheme="minorHAnsi"/>
              </w:rPr>
              <w:t>All new grants and contracts (or modifications) should be summarized in a contract briefing summary. This executive summary should outline the major financial highlights and budgetary constraints of each cost category of the project.</w:t>
            </w:r>
          </w:p>
        </w:tc>
        <w:tc>
          <w:tcPr>
            <w:tcW w:w="1080" w:type="dxa"/>
          </w:tcPr>
          <w:p w:rsidR="001C2EA0" w:rsidRPr="00AE2672" w:rsidRDefault="001C2EA0" w:rsidP="00AE2672">
            <w:pPr>
              <w:spacing w:after="200" w:line="276" w:lineRule="auto"/>
              <w:jc w:val="center"/>
              <w:rPr>
                <w:sz w:val="32"/>
                <w:szCs w:val="32"/>
              </w:rPr>
            </w:pPr>
          </w:p>
        </w:tc>
        <w:tc>
          <w:tcPr>
            <w:tcW w:w="1170" w:type="dxa"/>
          </w:tcPr>
          <w:p w:rsidR="001C2EA0" w:rsidRPr="00AE2672" w:rsidRDefault="001C2EA0" w:rsidP="00AE2672">
            <w:pPr>
              <w:jc w:val="center"/>
              <w:rPr>
                <w:b/>
                <w:sz w:val="32"/>
                <w:szCs w:val="32"/>
              </w:rPr>
            </w:pPr>
          </w:p>
        </w:tc>
        <w:tc>
          <w:tcPr>
            <w:tcW w:w="990" w:type="dxa"/>
          </w:tcPr>
          <w:p w:rsidR="001C2EA0" w:rsidRPr="00AE2672" w:rsidRDefault="001C2EA0" w:rsidP="00AE2672">
            <w:pPr>
              <w:spacing w:after="200" w:line="276" w:lineRule="auto"/>
              <w:jc w:val="center"/>
              <w:rPr>
                <w:b/>
                <w:sz w:val="32"/>
                <w:szCs w:val="32"/>
              </w:rPr>
            </w:pPr>
          </w:p>
        </w:tc>
      </w:tr>
      <w:tr w:rsidR="001C2EA0" w:rsidRPr="00AE2672" w:rsidTr="001C2EA0">
        <w:tc>
          <w:tcPr>
            <w:tcW w:w="6840" w:type="dxa"/>
          </w:tcPr>
          <w:p w:rsidR="001C2EA0" w:rsidRPr="00C76939" w:rsidRDefault="001C2EA0" w:rsidP="006F6A0E">
            <w:pPr>
              <w:pStyle w:val="ListParagraph"/>
              <w:numPr>
                <w:ilvl w:val="0"/>
                <w:numId w:val="5"/>
              </w:numPr>
              <w:rPr>
                <w:rFonts w:cstheme="minorHAnsi"/>
              </w:rPr>
            </w:pPr>
            <w:r w:rsidRPr="00C76939">
              <w:rPr>
                <w:rFonts w:cstheme="minorHAnsi"/>
              </w:rPr>
              <w:t>Run a job cost report in</w:t>
            </w:r>
            <w:r>
              <w:rPr>
                <w:rFonts w:cstheme="minorHAnsi"/>
              </w:rPr>
              <w:t xml:space="preserve"> QuickBooks and reconcile it to the Company’s mechanism for allocating provisional indirect rates.</w:t>
            </w:r>
          </w:p>
        </w:tc>
        <w:tc>
          <w:tcPr>
            <w:tcW w:w="1080" w:type="dxa"/>
          </w:tcPr>
          <w:p w:rsidR="001C2EA0" w:rsidRPr="00AE2672" w:rsidRDefault="001C2EA0" w:rsidP="00AE2672">
            <w:pPr>
              <w:spacing w:after="200" w:line="276" w:lineRule="auto"/>
              <w:jc w:val="center"/>
              <w:rPr>
                <w:sz w:val="32"/>
                <w:szCs w:val="32"/>
              </w:rPr>
            </w:pPr>
          </w:p>
        </w:tc>
        <w:tc>
          <w:tcPr>
            <w:tcW w:w="1170" w:type="dxa"/>
          </w:tcPr>
          <w:p w:rsidR="001C2EA0" w:rsidRPr="00AE2672" w:rsidRDefault="001C2EA0" w:rsidP="00AE2672">
            <w:pPr>
              <w:jc w:val="center"/>
              <w:rPr>
                <w:sz w:val="32"/>
                <w:szCs w:val="32"/>
              </w:rPr>
            </w:pPr>
          </w:p>
        </w:tc>
        <w:tc>
          <w:tcPr>
            <w:tcW w:w="990" w:type="dxa"/>
          </w:tcPr>
          <w:p w:rsidR="001C2EA0" w:rsidRPr="00AE2672" w:rsidRDefault="001C2EA0" w:rsidP="00AE2672">
            <w:pPr>
              <w:spacing w:after="200" w:line="276" w:lineRule="auto"/>
              <w:jc w:val="center"/>
              <w:rPr>
                <w:sz w:val="32"/>
                <w:szCs w:val="32"/>
              </w:rPr>
            </w:pPr>
          </w:p>
        </w:tc>
      </w:tr>
      <w:tr w:rsidR="001C2EA0" w:rsidRPr="00AE2672" w:rsidTr="001C2EA0">
        <w:tc>
          <w:tcPr>
            <w:tcW w:w="6840" w:type="dxa"/>
          </w:tcPr>
          <w:p w:rsidR="001C2EA0" w:rsidRPr="00AE2672" w:rsidRDefault="001C2EA0" w:rsidP="006F6A0E">
            <w:pPr>
              <w:pStyle w:val="ListParagraph"/>
              <w:numPr>
                <w:ilvl w:val="0"/>
                <w:numId w:val="5"/>
              </w:numPr>
            </w:pPr>
            <w:r w:rsidRPr="00FB77DD">
              <w:rPr>
                <w:rFonts w:cstheme="minorHAnsi"/>
              </w:rPr>
              <w:t>Maintain a job cost report on a monthly basis for all active projects in EXCEL (as QuickBooks is not able to run job cost reports at provisional rates). Reports should be run using targeted or provisional rates with an annual analysis of indirect rate over/ under runs that have/ have not been billed to each project. These reports are the BACKBONE of the cost accounting system and a CRITICAL managing tool! These reports are used for government billings, managing, employees and ensuring the profitability of each project.</w:t>
            </w:r>
          </w:p>
        </w:tc>
        <w:tc>
          <w:tcPr>
            <w:tcW w:w="1080" w:type="dxa"/>
          </w:tcPr>
          <w:p w:rsidR="001C2EA0" w:rsidRPr="00AE2672" w:rsidRDefault="001C2EA0" w:rsidP="00AE2672">
            <w:pPr>
              <w:spacing w:after="200" w:line="276" w:lineRule="auto"/>
              <w:jc w:val="center"/>
              <w:rPr>
                <w:sz w:val="32"/>
                <w:szCs w:val="32"/>
              </w:rPr>
            </w:pPr>
          </w:p>
        </w:tc>
        <w:tc>
          <w:tcPr>
            <w:tcW w:w="1170" w:type="dxa"/>
          </w:tcPr>
          <w:p w:rsidR="001C2EA0" w:rsidRPr="00AE2672" w:rsidRDefault="001C2EA0" w:rsidP="00AE2672">
            <w:pPr>
              <w:jc w:val="center"/>
              <w:rPr>
                <w:sz w:val="32"/>
                <w:szCs w:val="32"/>
              </w:rPr>
            </w:pPr>
          </w:p>
        </w:tc>
        <w:tc>
          <w:tcPr>
            <w:tcW w:w="990" w:type="dxa"/>
          </w:tcPr>
          <w:p w:rsidR="001C2EA0" w:rsidRPr="00AE2672" w:rsidRDefault="001C2EA0" w:rsidP="00AE2672">
            <w:pPr>
              <w:spacing w:after="200" w:line="276" w:lineRule="auto"/>
              <w:jc w:val="center"/>
              <w:rPr>
                <w:sz w:val="32"/>
                <w:szCs w:val="32"/>
              </w:rPr>
            </w:pPr>
          </w:p>
        </w:tc>
      </w:tr>
      <w:tr w:rsidR="001C2EA0" w:rsidRPr="00AE2672" w:rsidTr="001C2EA0">
        <w:tc>
          <w:tcPr>
            <w:tcW w:w="6840" w:type="dxa"/>
          </w:tcPr>
          <w:p w:rsidR="001C2EA0" w:rsidRPr="00AE2672" w:rsidRDefault="001C2EA0" w:rsidP="006F6A0E">
            <w:pPr>
              <w:pStyle w:val="ListParagraph"/>
              <w:numPr>
                <w:ilvl w:val="0"/>
                <w:numId w:val="5"/>
              </w:numPr>
            </w:pPr>
            <w:r w:rsidRPr="00FB77DD">
              <w:rPr>
                <w:rFonts w:cstheme="minorHAnsi"/>
              </w:rPr>
              <w:t xml:space="preserve">Monitor the period of performance dates for all active contracts and grants and alert management of all projects as they hit the 80% spent point or have 2 months prior to ending so they can be spent out or </w:t>
            </w:r>
            <w:r w:rsidRPr="00FB77DD">
              <w:rPr>
                <w:rFonts w:cstheme="minorHAnsi"/>
              </w:rPr>
              <w:lastRenderedPageBreak/>
              <w:t>extended.</w:t>
            </w:r>
          </w:p>
        </w:tc>
        <w:tc>
          <w:tcPr>
            <w:tcW w:w="1080" w:type="dxa"/>
          </w:tcPr>
          <w:p w:rsidR="001C2EA0" w:rsidRPr="00AE2672" w:rsidRDefault="001C2EA0" w:rsidP="00AE2672">
            <w:pPr>
              <w:jc w:val="center"/>
              <w:rPr>
                <w:sz w:val="32"/>
                <w:szCs w:val="32"/>
              </w:rPr>
            </w:pPr>
          </w:p>
        </w:tc>
        <w:tc>
          <w:tcPr>
            <w:tcW w:w="1170" w:type="dxa"/>
          </w:tcPr>
          <w:p w:rsidR="001C2EA0" w:rsidRPr="00AE2672" w:rsidRDefault="001C2EA0" w:rsidP="00AE2672">
            <w:pPr>
              <w:jc w:val="center"/>
              <w:rPr>
                <w:sz w:val="32"/>
                <w:szCs w:val="32"/>
              </w:rPr>
            </w:pPr>
          </w:p>
        </w:tc>
        <w:tc>
          <w:tcPr>
            <w:tcW w:w="990" w:type="dxa"/>
          </w:tcPr>
          <w:p w:rsidR="001C2EA0" w:rsidRPr="00AE2672" w:rsidRDefault="001C2EA0" w:rsidP="00AE2672">
            <w:pPr>
              <w:jc w:val="center"/>
              <w:rPr>
                <w:sz w:val="32"/>
                <w:szCs w:val="32"/>
              </w:rPr>
            </w:pPr>
          </w:p>
        </w:tc>
      </w:tr>
      <w:tr w:rsidR="001C2EA0" w:rsidRPr="00AE2672" w:rsidTr="001C2EA0">
        <w:tc>
          <w:tcPr>
            <w:tcW w:w="6840" w:type="dxa"/>
          </w:tcPr>
          <w:p w:rsidR="001C2EA0" w:rsidRPr="00FB77DD" w:rsidRDefault="001C2EA0" w:rsidP="006F6A0E">
            <w:pPr>
              <w:pStyle w:val="ListParagraph"/>
              <w:numPr>
                <w:ilvl w:val="0"/>
                <w:numId w:val="5"/>
              </w:numPr>
              <w:rPr>
                <w:rFonts w:cstheme="minorHAnsi"/>
              </w:rPr>
            </w:pPr>
            <w:r w:rsidRPr="00FB77DD">
              <w:rPr>
                <w:rFonts w:cstheme="minorHAnsi"/>
              </w:rPr>
              <w:lastRenderedPageBreak/>
              <w:t>Maintain an executive summary of the following items on a monthly basis</w:t>
            </w:r>
            <w:r>
              <w:rPr>
                <w:rFonts w:cstheme="minorHAnsi"/>
              </w:rPr>
              <w:t>:</w:t>
            </w:r>
          </w:p>
          <w:p w:rsidR="001C2EA0" w:rsidRPr="00FB77DD" w:rsidRDefault="001C2EA0" w:rsidP="00FB77DD">
            <w:pPr>
              <w:pStyle w:val="ListParagraph"/>
              <w:numPr>
                <w:ilvl w:val="0"/>
                <w:numId w:val="15"/>
              </w:numPr>
              <w:rPr>
                <w:rFonts w:cstheme="minorHAnsi"/>
              </w:rPr>
            </w:pPr>
            <w:r w:rsidRPr="00FB77DD">
              <w:rPr>
                <w:rFonts w:cstheme="minorHAnsi"/>
              </w:rPr>
              <w:t>Targeted indirect rates vs. the actual cumulative indirect rates on a monthly basis (and resulting cost impact).</w:t>
            </w:r>
          </w:p>
          <w:p w:rsidR="001C2EA0" w:rsidRPr="00FB77DD" w:rsidRDefault="001C2EA0" w:rsidP="00FB77DD">
            <w:pPr>
              <w:pStyle w:val="ListParagraph"/>
              <w:numPr>
                <w:ilvl w:val="0"/>
                <w:numId w:val="15"/>
              </w:numPr>
              <w:rPr>
                <w:rFonts w:cstheme="minorHAnsi"/>
              </w:rPr>
            </w:pPr>
            <w:r w:rsidRPr="00FB77DD">
              <w:rPr>
                <w:rFonts w:cstheme="minorHAnsi"/>
              </w:rPr>
              <w:t>Cumulative contract spending backlog remaining, and</w:t>
            </w:r>
          </w:p>
          <w:p w:rsidR="001C2EA0" w:rsidRPr="00FB77DD" w:rsidRDefault="001C2EA0" w:rsidP="00FB77DD">
            <w:pPr>
              <w:pStyle w:val="ListParagraph"/>
              <w:numPr>
                <w:ilvl w:val="0"/>
                <w:numId w:val="15"/>
              </w:numPr>
              <w:rPr>
                <w:rFonts w:cstheme="minorHAnsi"/>
              </w:rPr>
            </w:pPr>
            <w:r w:rsidRPr="00FB77DD">
              <w:rPr>
                <w:rFonts w:cstheme="minorHAnsi"/>
              </w:rPr>
              <w:t>Period of performance end dates</w:t>
            </w:r>
          </w:p>
          <w:p w:rsidR="001C2EA0" w:rsidRPr="00FB77DD" w:rsidRDefault="001C2EA0" w:rsidP="00AE6303">
            <w:pPr>
              <w:pStyle w:val="ListParagraph"/>
              <w:numPr>
                <w:ilvl w:val="0"/>
                <w:numId w:val="15"/>
              </w:numPr>
              <w:rPr>
                <w:rFonts w:cstheme="minorHAnsi"/>
              </w:rPr>
            </w:pPr>
            <w:r w:rsidRPr="00FB77DD">
              <w:rPr>
                <w:rFonts w:cstheme="minorHAnsi"/>
              </w:rPr>
              <w:t xml:space="preserve">“Months to live” based on the monthly spending rate vs. current funding, </w:t>
            </w:r>
            <w:r>
              <w:rPr>
                <w:rFonts w:cstheme="minorHAnsi"/>
              </w:rPr>
              <w:t xml:space="preserve">  </w:t>
            </w:r>
            <w:r w:rsidRPr="00FB77DD">
              <w:rPr>
                <w:rFonts w:cstheme="minorHAnsi"/>
              </w:rPr>
              <w:t>amounts awarded but not yet funded, and “hopes” to provide management with a feeling of the balance between proposing new work and preforming on existing work.</w:t>
            </w:r>
          </w:p>
        </w:tc>
        <w:tc>
          <w:tcPr>
            <w:tcW w:w="1080" w:type="dxa"/>
          </w:tcPr>
          <w:p w:rsidR="001C2EA0" w:rsidRPr="00AE2672" w:rsidRDefault="001C2EA0" w:rsidP="00AE2672">
            <w:pPr>
              <w:jc w:val="center"/>
              <w:rPr>
                <w:sz w:val="32"/>
                <w:szCs w:val="32"/>
              </w:rPr>
            </w:pPr>
          </w:p>
        </w:tc>
        <w:tc>
          <w:tcPr>
            <w:tcW w:w="1170" w:type="dxa"/>
          </w:tcPr>
          <w:p w:rsidR="001C2EA0" w:rsidRPr="00AE2672" w:rsidRDefault="001C2EA0" w:rsidP="00AE2672">
            <w:pPr>
              <w:jc w:val="center"/>
              <w:rPr>
                <w:sz w:val="32"/>
                <w:szCs w:val="32"/>
              </w:rPr>
            </w:pPr>
          </w:p>
        </w:tc>
        <w:tc>
          <w:tcPr>
            <w:tcW w:w="990" w:type="dxa"/>
          </w:tcPr>
          <w:p w:rsidR="001C2EA0" w:rsidRPr="00AE2672" w:rsidRDefault="001C2EA0" w:rsidP="00AE2672">
            <w:pPr>
              <w:jc w:val="center"/>
              <w:rPr>
                <w:sz w:val="32"/>
                <w:szCs w:val="32"/>
              </w:rPr>
            </w:pPr>
          </w:p>
        </w:tc>
      </w:tr>
      <w:tr w:rsidR="001C2EA0" w:rsidRPr="00AE2672" w:rsidTr="001C2EA0">
        <w:tc>
          <w:tcPr>
            <w:tcW w:w="6840" w:type="dxa"/>
          </w:tcPr>
          <w:p w:rsidR="001C2EA0" w:rsidRPr="00FB77DD" w:rsidRDefault="001C2EA0" w:rsidP="006F6A0E">
            <w:pPr>
              <w:pStyle w:val="ListParagraph"/>
              <w:numPr>
                <w:ilvl w:val="0"/>
                <w:numId w:val="5"/>
              </w:numPr>
              <w:rPr>
                <w:rFonts w:cstheme="minorHAnsi"/>
              </w:rPr>
            </w:pPr>
            <w:r>
              <w:rPr>
                <w:rFonts w:cstheme="minorHAnsi"/>
              </w:rPr>
              <w:t xml:space="preserve">Prepare all Financial Status Reports 90 days after a grant ends or </w:t>
            </w:r>
            <w:proofErr w:type="gramStart"/>
            <w:r>
              <w:rPr>
                <w:rFonts w:cstheme="minorHAnsi"/>
              </w:rPr>
              <w:t>DoD</w:t>
            </w:r>
            <w:proofErr w:type="gramEnd"/>
            <w:r>
              <w:rPr>
                <w:rFonts w:cstheme="minorHAnsi"/>
              </w:rPr>
              <w:t xml:space="preserve"> equivalent for contracts re: contract close out documents.  </w:t>
            </w:r>
          </w:p>
        </w:tc>
        <w:tc>
          <w:tcPr>
            <w:tcW w:w="1080" w:type="dxa"/>
          </w:tcPr>
          <w:p w:rsidR="001C2EA0" w:rsidRPr="00AE2672" w:rsidRDefault="001C2EA0" w:rsidP="00AE2672">
            <w:pPr>
              <w:jc w:val="center"/>
              <w:rPr>
                <w:sz w:val="32"/>
                <w:szCs w:val="32"/>
              </w:rPr>
            </w:pPr>
          </w:p>
        </w:tc>
        <w:tc>
          <w:tcPr>
            <w:tcW w:w="1170" w:type="dxa"/>
          </w:tcPr>
          <w:p w:rsidR="001C2EA0" w:rsidRPr="00AE2672" w:rsidRDefault="001C2EA0" w:rsidP="00AE2672">
            <w:pPr>
              <w:jc w:val="center"/>
              <w:rPr>
                <w:sz w:val="32"/>
                <w:szCs w:val="32"/>
              </w:rPr>
            </w:pPr>
          </w:p>
        </w:tc>
        <w:tc>
          <w:tcPr>
            <w:tcW w:w="990" w:type="dxa"/>
          </w:tcPr>
          <w:p w:rsidR="001C2EA0" w:rsidRPr="00AE2672" w:rsidRDefault="001C2EA0" w:rsidP="00AE2672">
            <w:pPr>
              <w:jc w:val="center"/>
              <w:rPr>
                <w:sz w:val="32"/>
                <w:szCs w:val="32"/>
              </w:rPr>
            </w:pPr>
          </w:p>
        </w:tc>
      </w:tr>
      <w:tr w:rsidR="001C2EA0" w:rsidRPr="00AE2672" w:rsidTr="001C2EA0">
        <w:tc>
          <w:tcPr>
            <w:tcW w:w="6840" w:type="dxa"/>
          </w:tcPr>
          <w:p w:rsidR="001C2EA0" w:rsidRDefault="001C2EA0" w:rsidP="000702DF">
            <w:pPr>
              <w:pStyle w:val="ListParagraph"/>
              <w:numPr>
                <w:ilvl w:val="0"/>
                <w:numId w:val="5"/>
              </w:numPr>
              <w:rPr>
                <w:rFonts w:cstheme="minorHAnsi"/>
              </w:rPr>
            </w:pPr>
            <w:r>
              <w:rPr>
                <w:rFonts w:cstheme="minorHAnsi"/>
              </w:rPr>
              <w:t xml:space="preserve">Prepare quarterly FFR reports reporting actual grant spending with the Payment Management System.  </w:t>
            </w:r>
            <w:proofErr w:type="gramStart"/>
            <w:r>
              <w:rPr>
                <w:rFonts w:cstheme="minorHAnsi"/>
              </w:rPr>
              <w:t>DoD</w:t>
            </w:r>
            <w:proofErr w:type="gramEnd"/>
            <w:r>
              <w:rPr>
                <w:rFonts w:cstheme="minorHAnsi"/>
              </w:rPr>
              <w:t xml:space="preserve"> equivalent exists for some customers. </w:t>
            </w:r>
          </w:p>
        </w:tc>
        <w:tc>
          <w:tcPr>
            <w:tcW w:w="1080" w:type="dxa"/>
          </w:tcPr>
          <w:p w:rsidR="001C2EA0" w:rsidRPr="00AE2672" w:rsidRDefault="001C2EA0" w:rsidP="00AE2672">
            <w:pPr>
              <w:jc w:val="center"/>
              <w:rPr>
                <w:sz w:val="32"/>
                <w:szCs w:val="32"/>
              </w:rPr>
            </w:pPr>
          </w:p>
        </w:tc>
        <w:tc>
          <w:tcPr>
            <w:tcW w:w="1170" w:type="dxa"/>
          </w:tcPr>
          <w:p w:rsidR="001C2EA0" w:rsidRPr="00AE2672" w:rsidRDefault="001C2EA0" w:rsidP="00AE2672">
            <w:pPr>
              <w:jc w:val="center"/>
              <w:rPr>
                <w:sz w:val="32"/>
                <w:szCs w:val="32"/>
              </w:rPr>
            </w:pPr>
          </w:p>
        </w:tc>
        <w:tc>
          <w:tcPr>
            <w:tcW w:w="990" w:type="dxa"/>
          </w:tcPr>
          <w:p w:rsidR="001C2EA0" w:rsidRPr="00AE2672" w:rsidRDefault="001C2EA0" w:rsidP="00AE2672">
            <w:pPr>
              <w:jc w:val="center"/>
              <w:rPr>
                <w:sz w:val="32"/>
                <w:szCs w:val="32"/>
              </w:rPr>
            </w:pPr>
          </w:p>
        </w:tc>
      </w:tr>
    </w:tbl>
    <w:p w:rsidR="00AE2672" w:rsidRPr="006F6A0E" w:rsidRDefault="00C157C0" w:rsidP="004963B6">
      <w:pPr>
        <w:rPr>
          <w:rFonts w:cstheme="minorHAnsi"/>
          <w:b/>
        </w:rPr>
      </w:pPr>
      <w:r w:rsidRPr="006F6A0E">
        <w:rPr>
          <w:rFonts w:cstheme="minorHAnsi"/>
          <w:b/>
        </w:rPr>
        <w:t>Indirect Rate M</w:t>
      </w:r>
      <w:r w:rsidR="006F6A0E">
        <w:rPr>
          <w:rFonts w:cstheme="minorHAnsi"/>
          <w:b/>
        </w:rPr>
        <w:t>onitoring</w:t>
      </w:r>
    </w:p>
    <w:tbl>
      <w:tblPr>
        <w:tblStyle w:val="TableGrid"/>
        <w:tblW w:w="10080" w:type="dxa"/>
        <w:tblInd w:w="-252" w:type="dxa"/>
        <w:tblLook w:val="04A0" w:firstRow="1" w:lastRow="0" w:firstColumn="1" w:lastColumn="0" w:noHBand="0" w:noVBand="1"/>
      </w:tblPr>
      <w:tblGrid>
        <w:gridCol w:w="6840"/>
        <w:gridCol w:w="1080"/>
        <w:gridCol w:w="1170"/>
        <w:gridCol w:w="990"/>
      </w:tblGrid>
      <w:tr w:rsidR="001C2EA0" w:rsidRPr="004963B6" w:rsidTr="00DF2526">
        <w:tc>
          <w:tcPr>
            <w:tcW w:w="6840" w:type="dxa"/>
          </w:tcPr>
          <w:p w:rsidR="001C2EA0" w:rsidRPr="00FB77DD" w:rsidRDefault="001C2EA0" w:rsidP="006F6A0E">
            <w:pPr>
              <w:pStyle w:val="ListParagraph"/>
              <w:numPr>
                <w:ilvl w:val="0"/>
                <w:numId w:val="5"/>
              </w:numPr>
              <w:rPr>
                <w:rFonts w:cstheme="minorHAnsi"/>
              </w:rPr>
            </w:pPr>
            <w:r w:rsidRPr="00FB77DD">
              <w:rPr>
                <w:rFonts w:cstheme="minorHAnsi"/>
              </w:rPr>
              <w:t>Prior to year end – perform a search for assets improperly expensed (typically to repairs or computer supplies) that should have been capitalized.</w:t>
            </w:r>
          </w:p>
          <w:p w:rsidR="001C2EA0" w:rsidRPr="00C157C0" w:rsidRDefault="001C2EA0" w:rsidP="00C157C0">
            <w:pPr>
              <w:rPr>
                <w:rFonts w:ascii="Arial" w:hAnsi="Arial" w:cs="Arial"/>
                <w:sz w:val="20"/>
                <w:szCs w:val="20"/>
              </w:rPr>
            </w:pPr>
          </w:p>
        </w:tc>
        <w:tc>
          <w:tcPr>
            <w:tcW w:w="1080" w:type="dxa"/>
          </w:tcPr>
          <w:p w:rsidR="001C2EA0" w:rsidRPr="004963B6" w:rsidRDefault="001C2EA0" w:rsidP="00A03E2B">
            <w:pPr>
              <w:jc w:val="center"/>
              <w:rPr>
                <w:sz w:val="32"/>
                <w:szCs w:val="32"/>
              </w:rPr>
            </w:pPr>
          </w:p>
        </w:tc>
        <w:tc>
          <w:tcPr>
            <w:tcW w:w="1170" w:type="dxa"/>
          </w:tcPr>
          <w:p w:rsidR="001C2EA0" w:rsidRPr="004963B6" w:rsidRDefault="001C2EA0" w:rsidP="00A03E2B">
            <w:pPr>
              <w:jc w:val="center"/>
              <w:rPr>
                <w:sz w:val="32"/>
                <w:szCs w:val="32"/>
              </w:rPr>
            </w:pPr>
          </w:p>
        </w:tc>
        <w:tc>
          <w:tcPr>
            <w:tcW w:w="990" w:type="dxa"/>
          </w:tcPr>
          <w:p w:rsidR="001C2EA0" w:rsidRPr="004963B6" w:rsidRDefault="001C2EA0" w:rsidP="00A03E2B">
            <w:pPr>
              <w:jc w:val="center"/>
              <w:rPr>
                <w:sz w:val="32"/>
                <w:szCs w:val="32"/>
              </w:rPr>
            </w:pPr>
          </w:p>
        </w:tc>
      </w:tr>
      <w:tr w:rsidR="001C2EA0" w:rsidRPr="004963B6" w:rsidTr="00DF2526">
        <w:tc>
          <w:tcPr>
            <w:tcW w:w="6840" w:type="dxa"/>
          </w:tcPr>
          <w:p w:rsidR="001C2EA0" w:rsidRDefault="001C2EA0" w:rsidP="006F6A0E">
            <w:pPr>
              <w:pStyle w:val="ListParagraph"/>
              <w:numPr>
                <w:ilvl w:val="0"/>
                <w:numId w:val="5"/>
              </w:numPr>
            </w:pPr>
            <w:r w:rsidRPr="00FB77DD">
              <w:rPr>
                <w:rFonts w:cstheme="minorHAnsi"/>
              </w:rPr>
              <w:t>Annually - perform a fluctuation analysis and investigate all material deviations as this is a standard auditor test and they will ask questions on all material deviations</w:t>
            </w:r>
            <w:r w:rsidRPr="00C157C0">
              <w:rPr>
                <w:rFonts w:ascii="Arial" w:hAnsi="Arial" w:cs="Arial"/>
                <w:sz w:val="20"/>
                <w:szCs w:val="20"/>
              </w:rPr>
              <w:t>.</w:t>
            </w:r>
          </w:p>
        </w:tc>
        <w:tc>
          <w:tcPr>
            <w:tcW w:w="1080" w:type="dxa"/>
          </w:tcPr>
          <w:p w:rsidR="001C2EA0" w:rsidRPr="004963B6" w:rsidRDefault="001C2EA0" w:rsidP="00A03E2B">
            <w:pPr>
              <w:jc w:val="center"/>
              <w:rPr>
                <w:sz w:val="32"/>
                <w:szCs w:val="32"/>
              </w:rPr>
            </w:pPr>
          </w:p>
        </w:tc>
        <w:tc>
          <w:tcPr>
            <w:tcW w:w="1170" w:type="dxa"/>
          </w:tcPr>
          <w:p w:rsidR="001C2EA0" w:rsidRPr="004963B6" w:rsidRDefault="001C2EA0" w:rsidP="00A03E2B">
            <w:pPr>
              <w:jc w:val="center"/>
              <w:rPr>
                <w:sz w:val="32"/>
                <w:szCs w:val="32"/>
              </w:rPr>
            </w:pPr>
          </w:p>
        </w:tc>
        <w:tc>
          <w:tcPr>
            <w:tcW w:w="990" w:type="dxa"/>
          </w:tcPr>
          <w:p w:rsidR="001C2EA0" w:rsidRPr="004963B6" w:rsidRDefault="001C2EA0" w:rsidP="00A03E2B">
            <w:pPr>
              <w:jc w:val="center"/>
              <w:rPr>
                <w:sz w:val="32"/>
                <w:szCs w:val="32"/>
              </w:rPr>
            </w:pPr>
          </w:p>
        </w:tc>
      </w:tr>
      <w:tr w:rsidR="001C2EA0" w:rsidRPr="004963B6" w:rsidTr="00DF2526">
        <w:tc>
          <w:tcPr>
            <w:tcW w:w="6840" w:type="dxa"/>
          </w:tcPr>
          <w:p w:rsidR="001C2EA0" w:rsidRPr="00FB77DD" w:rsidRDefault="001C2EA0" w:rsidP="006F6A0E">
            <w:pPr>
              <w:pStyle w:val="ListParagraph"/>
              <w:numPr>
                <w:ilvl w:val="0"/>
                <w:numId w:val="5"/>
              </w:numPr>
              <w:rPr>
                <w:rFonts w:cstheme="minorHAnsi"/>
              </w:rPr>
            </w:pPr>
            <w:r w:rsidRPr="00FB77DD">
              <w:rPr>
                <w:rFonts w:cstheme="minorHAnsi"/>
              </w:rPr>
              <w:t>Annually – perform a recurring items test (</w:t>
            </w:r>
            <w:proofErr w:type="spellStart"/>
            <w:proofErr w:type="gramStart"/>
            <w:r w:rsidRPr="00FB77DD">
              <w:rPr>
                <w:rFonts w:cstheme="minorHAnsi"/>
              </w:rPr>
              <w:t>a.k.a</w:t>
            </w:r>
            <w:proofErr w:type="spellEnd"/>
            <w:r w:rsidRPr="00FB77DD">
              <w:rPr>
                <w:rFonts w:cstheme="minorHAnsi"/>
              </w:rPr>
              <w:t xml:space="preserve"> </w:t>
            </w:r>
            <w:r>
              <w:rPr>
                <w:rFonts w:cstheme="minorHAnsi"/>
              </w:rPr>
              <w:t xml:space="preserve"> </w:t>
            </w:r>
            <w:r w:rsidRPr="00FB77DD">
              <w:rPr>
                <w:rFonts w:cstheme="minorHAnsi"/>
              </w:rPr>
              <w:t>12</w:t>
            </w:r>
            <w:proofErr w:type="gramEnd"/>
            <w:r w:rsidRPr="00FB77DD">
              <w:rPr>
                <w:rFonts w:cstheme="minorHAnsi"/>
              </w:rPr>
              <w:t xml:space="preserve"> months test) to ensure that the P&amp;L reflects 12 months of rent, 12 phone bills, etc.</w:t>
            </w:r>
          </w:p>
          <w:p w:rsidR="001C2EA0" w:rsidRDefault="001C2EA0" w:rsidP="001F5850"/>
        </w:tc>
        <w:tc>
          <w:tcPr>
            <w:tcW w:w="1080" w:type="dxa"/>
          </w:tcPr>
          <w:p w:rsidR="001C2EA0" w:rsidRPr="004963B6" w:rsidRDefault="001C2EA0" w:rsidP="00A03E2B">
            <w:pPr>
              <w:jc w:val="center"/>
              <w:rPr>
                <w:sz w:val="32"/>
                <w:szCs w:val="32"/>
              </w:rPr>
            </w:pPr>
          </w:p>
        </w:tc>
        <w:tc>
          <w:tcPr>
            <w:tcW w:w="1170" w:type="dxa"/>
          </w:tcPr>
          <w:p w:rsidR="001C2EA0" w:rsidRPr="004963B6" w:rsidRDefault="001C2EA0" w:rsidP="00A03E2B">
            <w:pPr>
              <w:jc w:val="center"/>
              <w:rPr>
                <w:sz w:val="32"/>
                <w:szCs w:val="32"/>
              </w:rPr>
            </w:pPr>
          </w:p>
        </w:tc>
        <w:tc>
          <w:tcPr>
            <w:tcW w:w="990" w:type="dxa"/>
          </w:tcPr>
          <w:p w:rsidR="001C2EA0" w:rsidRPr="004963B6" w:rsidRDefault="001C2EA0" w:rsidP="00A03E2B">
            <w:pPr>
              <w:jc w:val="center"/>
              <w:rPr>
                <w:sz w:val="32"/>
                <w:szCs w:val="32"/>
              </w:rPr>
            </w:pPr>
          </w:p>
        </w:tc>
      </w:tr>
      <w:tr w:rsidR="001C2EA0" w:rsidRPr="004963B6" w:rsidTr="00DF2526">
        <w:tc>
          <w:tcPr>
            <w:tcW w:w="6840" w:type="dxa"/>
          </w:tcPr>
          <w:p w:rsidR="001C2EA0" w:rsidRPr="00FB77DD" w:rsidRDefault="001C2EA0" w:rsidP="006F6A0E">
            <w:pPr>
              <w:pStyle w:val="ListParagraph"/>
              <w:numPr>
                <w:ilvl w:val="0"/>
                <w:numId w:val="5"/>
              </w:numPr>
              <w:rPr>
                <w:rFonts w:cstheme="minorHAnsi"/>
              </w:rPr>
            </w:pPr>
            <w:r w:rsidRPr="00FB77DD">
              <w:rPr>
                <w:rFonts w:cstheme="minorHAnsi"/>
              </w:rPr>
              <w:t xml:space="preserve">Annually – prepare a written comparison of all budget vs. actual for all expense categories as this is a standard auditor test and they will ask questions on all material deviations. </w:t>
            </w:r>
          </w:p>
        </w:tc>
        <w:tc>
          <w:tcPr>
            <w:tcW w:w="1080" w:type="dxa"/>
          </w:tcPr>
          <w:p w:rsidR="001C2EA0" w:rsidRPr="004963B6" w:rsidRDefault="001C2EA0" w:rsidP="00A03E2B">
            <w:pPr>
              <w:jc w:val="center"/>
              <w:rPr>
                <w:sz w:val="32"/>
                <w:szCs w:val="32"/>
              </w:rPr>
            </w:pPr>
          </w:p>
        </w:tc>
        <w:tc>
          <w:tcPr>
            <w:tcW w:w="1170" w:type="dxa"/>
          </w:tcPr>
          <w:p w:rsidR="001C2EA0" w:rsidRPr="004963B6" w:rsidRDefault="001C2EA0" w:rsidP="00A03E2B">
            <w:pPr>
              <w:jc w:val="center"/>
              <w:rPr>
                <w:sz w:val="32"/>
                <w:szCs w:val="32"/>
              </w:rPr>
            </w:pPr>
          </w:p>
        </w:tc>
        <w:tc>
          <w:tcPr>
            <w:tcW w:w="990" w:type="dxa"/>
          </w:tcPr>
          <w:p w:rsidR="001C2EA0" w:rsidRPr="004963B6" w:rsidRDefault="001C2EA0" w:rsidP="00A03E2B">
            <w:pPr>
              <w:jc w:val="center"/>
              <w:rPr>
                <w:sz w:val="32"/>
                <w:szCs w:val="32"/>
              </w:rPr>
            </w:pPr>
          </w:p>
        </w:tc>
      </w:tr>
      <w:tr w:rsidR="001C2EA0" w:rsidRPr="004963B6" w:rsidTr="00DF2526">
        <w:tc>
          <w:tcPr>
            <w:tcW w:w="6840" w:type="dxa"/>
          </w:tcPr>
          <w:p w:rsidR="001C2EA0" w:rsidRPr="00FB77DD" w:rsidRDefault="001C2EA0" w:rsidP="006F6A0E">
            <w:pPr>
              <w:pStyle w:val="ListParagraph"/>
              <w:numPr>
                <w:ilvl w:val="0"/>
                <w:numId w:val="5"/>
              </w:numPr>
              <w:rPr>
                <w:rFonts w:cstheme="minorHAnsi"/>
              </w:rPr>
            </w:pPr>
            <w:r w:rsidRPr="00FB77DD">
              <w:rPr>
                <w:rFonts w:cstheme="minorHAnsi"/>
              </w:rPr>
              <w:t>Review all costs for those specifically unallowable. Make note of all “marginal” expense items in order to advise management of potential risks upon audit.</w:t>
            </w:r>
          </w:p>
        </w:tc>
        <w:tc>
          <w:tcPr>
            <w:tcW w:w="1080" w:type="dxa"/>
          </w:tcPr>
          <w:p w:rsidR="001C2EA0" w:rsidRPr="004963B6" w:rsidRDefault="001C2EA0" w:rsidP="00A03E2B">
            <w:pPr>
              <w:jc w:val="center"/>
              <w:rPr>
                <w:sz w:val="32"/>
                <w:szCs w:val="32"/>
              </w:rPr>
            </w:pPr>
          </w:p>
        </w:tc>
        <w:tc>
          <w:tcPr>
            <w:tcW w:w="1170" w:type="dxa"/>
          </w:tcPr>
          <w:p w:rsidR="001C2EA0" w:rsidRPr="004963B6" w:rsidRDefault="001C2EA0" w:rsidP="00A03E2B">
            <w:pPr>
              <w:jc w:val="center"/>
              <w:rPr>
                <w:sz w:val="32"/>
                <w:szCs w:val="32"/>
              </w:rPr>
            </w:pPr>
          </w:p>
        </w:tc>
        <w:tc>
          <w:tcPr>
            <w:tcW w:w="990" w:type="dxa"/>
          </w:tcPr>
          <w:p w:rsidR="001C2EA0" w:rsidRPr="004963B6" w:rsidRDefault="001C2EA0" w:rsidP="00A03E2B">
            <w:pPr>
              <w:jc w:val="center"/>
              <w:rPr>
                <w:sz w:val="32"/>
                <w:szCs w:val="32"/>
              </w:rPr>
            </w:pPr>
          </w:p>
        </w:tc>
      </w:tr>
      <w:tr w:rsidR="001C2EA0" w:rsidRPr="004963B6" w:rsidTr="00DF2526">
        <w:tc>
          <w:tcPr>
            <w:tcW w:w="6840" w:type="dxa"/>
          </w:tcPr>
          <w:p w:rsidR="001C2EA0" w:rsidRPr="00FB77DD" w:rsidRDefault="001C2EA0" w:rsidP="006F6A0E">
            <w:pPr>
              <w:pStyle w:val="ListParagraph"/>
              <w:numPr>
                <w:ilvl w:val="0"/>
                <w:numId w:val="5"/>
              </w:numPr>
              <w:rPr>
                <w:rFonts w:cstheme="minorHAnsi"/>
              </w:rPr>
            </w:pPr>
            <w:r>
              <w:rPr>
                <w:rFonts w:cstheme="minorHAnsi"/>
              </w:rPr>
              <w:t>If applicable, calculate unallowable rent paid to related parties.</w:t>
            </w:r>
          </w:p>
        </w:tc>
        <w:tc>
          <w:tcPr>
            <w:tcW w:w="1080" w:type="dxa"/>
          </w:tcPr>
          <w:p w:rsidR="001C2EA0" w:rsidRPr="004963B6" w:rsidRDefault="001C2EA0" w:rsidP="00A03E2B">
            <w:pPr>
              <w:jc w:val="center"/>
              <w:rPr>
                <w:sz w:val="32"/>
                <w:szCs w:val="32"/>
              </w:rPr>
            </w:pPr>
          </w:p>
        </w:tc>
        <w:tc>
          <w:tcPr>
            <w:tcW w:w="1170" w:type="dxa"/>
          </w:tcPr>
          <w:p w:rsidR="001C2EA0" w:rsidRPr="004963B6" w:rsidRDefault="001C2EA0" w:rsidP="00A03E2B">
            <w:pPr>
              <w:jc w:val="center"/>
              <w:rPr>
                <w:sz w:val="32"/>
                <w:szCs w:val="32"/>
              </w:rPr>
            </w:pPr>
          </w:p>
        </w:tc>
        <w:tc>
          <w:tcPr>
            <w:tcW w:w="990" w:type="dxa"/>
          </w:tcPr>
          <w:p w:rsidR="001C2EA0" w:rsidRPr="004963B6" w:rsidRDefault="001C2EA0" w:rsidP="00A03E2B">
            <w:pPr>
              <w:jc w:val="center"/>
              <w:rPr>
                <w:sz w:val="32"/>
                <w:szCs w:val="32"/>
              </w:rPr>
            </w:pPr>
          </w:p>
        </w:tc>
      </w:tr>
    </w:tbl>
    <w:p w:rsidR="00C157C0" w:rsidRPr="00FB77DD" w:rsidRDefault="00C157C0" w:rsidP="004963B6">
      <w:pPr>
        <w:rPr>
          <w:rFonts w:cstheme="minorHAnsi"/>
          <w:b/>
          <w:sz w:val="20"/>
          <w:szCs w:val="20"/>
        </w:rPr>
      </w:pPr>
    </w:p>
    <w:p w:rsidR="001F5850" w:rsidRPr="006F6A0E" w:rsidRDefault="001F5850" w:rsidP="004963B6">
      <w:pPr>
        <w:rPr>
          <w:rFonts w:cstheme="minorHAnsi"/>
          <w:b/>
        </w:rPr>
      </w:pPr>
      <w:r w:rsidRPr="006F6A0E">
        <w:rPr>
          <w:rFonts w:cstheme="minorHAnsi"/>
          <w:b/>
        </w:rPr>
        <w:t xml:space="preserve">Revenue Recognition – Tracking Customer Advances &amp; Unbilled Receivables </w:t>
      </w:r>
    </w:p>
    <w:tbl>
      <w:tblPr>
        <w:tblStyle w:val="TableGrid"/>
        <w:tblW w:w="10080" w:type="dxa"/>
        <w:tblInd w:w="-252" w:type="dxa"/>
        <w:tblLook w:val="04A0" w:firstRow="1" w:lastRow="0" w:firstColumn="1" w:lastColumn="0" w:noHBand="0" w:noVBand="1"/>
      </w:tblPr>
      <w:tblGrid>
        <w:gridCol w:w="6840"/>
        <w:gridCol w:w="1080"/>
        <w:gridCol w:w="1080"/>
        <w:gridCol w:w="1080"/>
      </w:tblGrid>
      <w:tr w:rsidR="00DF2526" w:rsidRPr="004963B6" w:rsidTr="00DF2526">
        <w:tc>
          <w:tcPr>
            <w:tcW w:w="6840" w:type="dxa"/>
          </w:tcPr>
          <w:p w:rsidR="00DF2526" w:rsidRPr="000702DF" w:rsidRDefault="00DF2526" w:rsidP="00230B97">
            <w:pPr>
              <w:pStyle w:val="ListParagraph"/>
              <w:numPr>
                <w:ilvl w:val="0"/>
                <w:numId w:val="5"/>
              </w:numPr>
            </w:pPr>
            <w:r w:rsidRPr="000702DF">
              <w:rPr>
                <w:rFonts w:cstheme="minorHAnsi"/>
              </w:rPr>
              <w:t>Invoice all clients.  Document all PMS draws and WAWF billings.</w:t>
            </w:r>
          </w:p>
        </w:tc>
        <w:tc>
          <w:tcPr>
            <w:tcW w:w="1080" w:type="dxa"/>
          </w:tcPr>
          <w:p w:rsidR="00DF2526" w:rsidRPr="004963B6" w:rsidRDefault="00DF2526" w:rsidP="00A03E2B">
            <w:pPr>
              <w:jc w:val="center"/>
              <w:rPr>
                <w:sz w:val="32"/>
                <w:szCs w:val="32"/>
              </w:rPr>
            </w:pPr>
          </w:p>
        </w:tc>
        <w:tc>
          <w:tcPr>
            <w:tcW w:w="1080" w:type="dxa"/>
          </w:tcPr>
          <w:p w:rsidR="00DF2526" w:rsidRPr="004963B6" w:rsidRDefault="00DF2526" w:rsidP="00A03E2B">
            <w:pPr>
              <w:jc w:val="center"/>
              <w:rPr>
                <w:sz w:val="32"/>
                <w:szCs w:val="32"/>
              </w:rPr>
            </w:pPr>
          </w:p>
        </w:tc>
        <w:tc>
          <w:tcPr>
            <w:tcW w:w="1080" w:type="dxa"/>
          </w:tcPr>
          <w:p w:rsidR="00DF2526" w:rsidRPr="004963B6" w:rsidRDefault="00DF2526" w:rsidP="00A03E2B">
            <w:pPr>
              <w:jc w:val="center"/>
              <w:rPr>
                <w:sz w:val="32"/>
                <w:szCs w:val="32"/>
              </w:rPr>
            </w:pPr>
          </w:p>
        </w:tc>
      </w:tr>
      <w:tr w:rsidR="00DF2526" w:rsidRPr="004963B6" w:rsidTr="00DF2526">
        <w:tc>
          <w:tcPr>
            <w:tcW w:w="6840" w:type="dxa"/>
          </w:tcPr>
          <w:p w:rsidR="00DF2526" w:rsidRPr="000702DF" w:rsidRDefault="00DF2526" w:rsidP="0049664C">
            <w:pPr>
              <w:pStyle w:val="ListParagraph"/>
              <w:numPr>
                <w:ilvl w:val="0"/>
                <w:numId w:val="5"/>
              </w:numPr>
              <w:rPr>
                <w:rFonts w:cstheme="minorHAnsi"/>
              </w:rPr>
            </w:pPr>
            <w:r>
              <w:rPr>
                <w:rFonts w:cstheme="minorHAnsi"/>
              </w:rPr>
              <w:t>After invoicing a client, compare cumulative revenue recognized in QuickBooks to the total revenue earned in the job cost/backlog report.</w:t>
            </w:r>
          </w:p>
        </w:tc>
        <w:tc>
          <w:tcPr>
            <w:tcW w:w="1080" w:type="dxa"/>
          </w:tcPr>
          <w:p w:rsidR="00DF2526" w:rsidRPr="004963B6" w:rsidRDefault="00DF2526" w:rsidP="00A03E2B">
            <w:pPr>
              <w:jc w:val="center"/>
              <w:rPr>
                <w:sz w:val="32"/>
                <w:szCs w:val="32"/>
              </w:rPr>
            </w:pPr>
          </w:p>
        </w:tc>
        <w:tc>
          <w:tcPr>
            <w:tcW w:w="1080" w:type="dxa"/>
          </w:tcPr>
          <w:p w:rsidR="00DF2526" w:rsidRPr="004963B6" w:rsidRDefault="00DF2526" w:rsidP="00A03E2B">
            <w:pPr>
              <w:jc w:val="center"/>
              <w:rPr>
                <w:sz w:val="32"/>
                <w:szCs w:val="32"/>
              </w:rPr>
            </w:pPr>
          </w:p>
        </w:tc>
        <w:tc>
          <w:tcPr>
            <w:tcW w:w="1080" w:type="dxa"/>
          </w:tcPr>
          <w:p w:rsidR="00DF2526" w:rsidRPr="004963B6" w:rsidRDefault="00DF2526" w:rsidP="00A03E2B">
            <w:pPr>
              <w:jc w:val="center"/>
              <w:rPr>
                <w:sz w:val="32"/>
                <w:szCs w:val="32"/>
              </w:rPr>
            </w:pPr>
          </w:p>
        </w:tc>
      </w:tr>
      <w:tr w:rsidR="00DF2526" w:rsidRPr="004963B6" w:rsidTr="00DF2526">
        <w:tc>
          <w:tcPr>
            <w:tcW w:w="6840" w:type="dxa"/>
          </w:tcPr>
          <w:p w:rsidR="00DF2526" w:rsidRDefault="00DF2526" w:rsidP="000702DF">
            <w:pPr>
              <w:pStyle w:val="ListParagraph"/>
              <w:numPr>
                <w:ilvl w:val="0"/>
                <w:numId w:val="5"/>
              </w:numPr>
              <w:rPr>
                <w:rFonts w:cstheme="minorHAnsi"/>
              </w:rPr>
            </w:pPr>
            <w:r>
              <w:rPr>
                <w:rFonts w:cstheme="minorHAnsi"/>
              </w:rPr>
              <w:t xml:space="preserve">Analyze net income on the profit and loss statement to ensure that it properly reflects income earned by the company.  Specifically, any indirect rate under run should be reflected as a liability on the balance sheet and will reduce revenue and net income as that under </w:t>
            </w:r>
            <w:r>
              <w:rPr>
                <w:rFonts w:cstheme="minorHAnsi"/>
              </w:rPr>
              <w:lastRenderedPageBreak/>
              <w:t xml:space="preserve">run either needs to be spent or will be refunded to the overbilled customer(s).  </w:t>
            </w:r>
          </w:p>
        </w:tc>
        <w:tc>
          <w:tcPr>
            <w:tcW w:w="1080" w:type="dxa"/>
          </w:tcPr>
          <w:p w:rsidR="00DF2526" w:rsidRPr="004963B6" w:rsidRDefault="00DF2526" w:rsidP="00A03E2B">
            <w:pPr>
              <w:jc w:val="center"/>
              <w:rPr>
                <w:sz w:val="32"/>
                <w:szCs w:val="32"/>
              </w:rPr>
            </w:pPr>
          </w:p>
        </w:tc>
        <w:tc>
          <w:tcPr>
            <w:tcW w:w="1080" w:type="dxa"/>
          </w:tcPr>
          <w:p w:rsidR="00DF2526" w:rsidRPr="004963B6" w:rsidRDefault="00DF2526" w:rsidP="00A03E2B">
            <w:pPr>
              <w:jc w:val="center"/>
              <w:rPr>
                <w:sz w:val="32"/>
                <w:szCs w:val="32"/>
              </w:rPr>
            </w:pPr>
          </w:p>
        </w:tc>
        <w:tc>
          <w:tcPr>
            <w:tcW w:w="1080" w:type="dxa"/>
          </w:tcPr>
          <w:p w:rsidR="00DF2526" w:rsidRPr="004963B6" w:rsidRDefault="00DF2526" w:rsidP="00A03E2B">
            <w:pPr>
              <w:jc w:val="center"/>
              <w:rPr>
                <w:sz w:val="32"/>
                <w:szCs w:val="32"/>
              </w:rPr>
            </w:pPr>
          </w:p>
        </w:tc>
      </w:tr>
    </w:tbl>
    <w:p w:rsidR="001F5850" w:rsidRDefault="001F5850" w:rsidP="001F5850">
      <w:pPr>
        <w:rPr>
          <w:b/>
        </w:rPr>
      </w:pPr>
    </w:p>
    <w:p w:rsidR="00E4203A" w:rsidRPr="006F6A0E" w:rsidRDefault="00E4203A" w:rsidP="00E4203A">
      <w:pPr>
        <w:rPr>
          <w:rFonts w:cstheme="minorHAnsi"/>
          <w:b/>
        </w:rPr>
      </w:pPr>
      <w:r>
        <w:rPr>
          <w:rFonts w:cstheme="minorHAnsi"/>
          <w:b/>
        </w:rPr>
        <w:t>Other items</w:t>
      </w:r>
      <w:r w:rsidRPr="006F6A0E">
        <w:rPr>
          <w:rFonts w:cstheme="minorHAnsi"/>
          <w:b/>
        </w:rPr>
        <w:t xml:space="preserve"> – </w:t>
      </w:r>
    </w:p>
    <w:tbl>
      <w:tblPr>
        <w:tblStyle w:val="TableGrid"/>
        <w:tblW w:w="10080" w:type="dxa"/>
        <w:tblInd w:w="-252" w:type="dxa"/>
        <w:tblLook w:val="04A0" w:firstRow="1" w:lastRow="0" w:firstColumn="1" w:lastColumn="0" w:noHBand="0" w:noVBand="1"/>
      </w:tblPr>
      <w:tblGrid>
        <w:gridCol w:w="6840"/>
        <w:gridCol w:w="990"/>
        <w:gridCol w:w="1170"/>
        <w:gridCol w:w="1080"/>
      </w:tblGrid>
      <w:tr w:rsidR="00DF2526" w:rsidRPr="004963B6" w:rsidTr="00DF2526">
        <w:tc>
          <w:tcPr>
            <w:tcW w:w="6840" w:type="dxa"/>
          </w:tcPr>
          <w:p w:rsidR="00DF2526" w:rsidRPr="000702DF" w:rsidRDefault="00DF2526" w:rsidP="009E4F33">
            <w:pPr>
              <w:pStyle w:val="ListParagraph"/>
              <w:numPr>
                <w:ilvl w:val="0"/>
                <w:numId w:val="5"/>
              </w:numPr>
            </w:pPr>
            <w:r>
              <w:rPr>
                <w:rFonts w:cstheme="minorHAnsi"/>
              </w:rPr>
              <w:t>Other miscellaneous items not included in previous points:</w:t>
            </w:r>
          </w:p>
        </w:tc>
        <w:tc>
          <w:tcPr>
            <w:tcW w:w="990" w:type="dxa"/>
          </w:tcPr>
          <w:p w:rsidR="00DF2526" w:rsidRPr="004963B6" w:rsidRDefault="00DF2526" w:rsidP="0085796B">
            <w:pPr>
              <w:jc w:val="center"/>
              <w:rPr>
                <w:sz w:val="32"/>
                <w:szCs w:val="32"/>
              </w:rPr>
            </w:pPr>
          </w:p>
        </w:tc>
        <w:tc>
          <w:tcPr>
            <w:tcW w:w="1170" w:type="dxa"/>
          </w:tcPr>
          <w:p w:rsidR="00DF2526" w:rsidRPr="004963B6" w:rsidRDefault="00DF2526" w:rsidP="0085796B">
            <w:pPr>
              <w:jc w:val="center"/>
              <w:rPr>
                <w:sz w:val="32"/>
                <w:szCs w:val="32"/>
              </w:rPr>
            </w:pPr>
          </w:p>
        </w:tc>
        <w:tc>
          <w:tcPr>
            <w:tcW w:w="1080" w:type="dxa"/>
          </w:tcPr>
          <w:p w:rsidR="00DF2526" w:rsidRPr="004963B6" w:rsidRDefault="00DF2526" w:rsidP="0085796B">
            <w:pPr>
              <w:jc w:val="center"/>
              <w:rPr>
                <w:sz w:val="32"/>
                <w:szCs w:val="32"/>
              </w:rPr>
            </w:pPr>
          </w:p>
        </w:tc>
      </w:tr>
      <w:tr w:rsidR="00DF2526" w:rsidRPr="004963B6" w:rsidTr="00DF2526">
        <w:tc>
          <w:tcPr>
            <w:tcW w:w="6840" w:type="dxa"/>
          </w:tcPr>
          <w:p w:rsidR="00DF2526" w:rsidRPr="00E4203A" w:rsidRDefault="00DF2526" w:rsidP="00E4203A">
            <w:pPr>
              <w:pStyle w:val="ListParagraph"/>
              <w:numPr>
                <w:ilvl w:val="0"/>
                <w:numId w:val="19"/>
              </w:numPr>
              <w:rPr>
                <w:rFonts w:cstheme="minorHAnsi"/>
              </w:rPr>
            </w:pPr>
            <w:r w:rsidRPr="00E4203A">
              <w:rPr>
                <w:rFonts w:cstheme="minorHAnsi"/>
              </w:rPr>
              <w:t>Prepare local property tax report.</w:t>
            </w:r>
          </w:p>
        </w:tc>
        <w:tc>
          <w:tcPr>
            <w:tcW w:w="990" w:type="dxa"/>
          </w:tcPr>
          <w:p w:rsidR="00DF2526" w:rsidRPr="004963B6" w:rsidRDefault="00DF2526" w:rsidP="0085796B">
            <w:pPr>
              <w:jc w:val="center"/>
              <w:rPr>
                <w:sz w:val="32"/>
                <w:szCs w:val="32"/>
              </w:rPr>
            </w:pPr>
          </w:p>
        </w:tc>
        <w:tc>
          <w:tcPr>
            <w:tcW w:w="1170" w:type="dxa"/>
          </w:tcPr>
          <w:p w:rsidR="00DF2526" w:rsidRPr="004963B6" w:rsidRDefault="00DF2526" w:rsidP="0085796B">
            <w:pPr>
              <w:jc w:val="center"/>
              <w:rPr>
                <w:sz w:val="32"/>
                <w:szCs w:val="32"/>
              </w:rPr>
            </w:pPr>
          </w:p>
        </w:tc>
        <w:tc>
          <w:tcPr>
            <w:tcW w:w="1080" w:type="dxa"/>
          </w:tcPr>
          <w:p w:rsidR="00DF2526" w:rsidRPr="004963B6" w:rsidRDefault="00DF2526" w:rsidP="0085796B">
            <w:pPr>
              <w:jc w:val="center"/>
              <w:rPr>
                <w:sz w:val="32"/>
                <w:szCs w:val="32"/>
              </w:rPr>
            </w:pPr>
          </w:p>
        </w:tc>
      </w:tr>
      <w:tr w:rsidR="00DF2526" w:rsidRPr="004963B6" w:rsidTr="00DF2526">
        <w:tc>
          <w:tcPr>
            <w:tcW w:w="6840" w:type="dxa"/>
          </w:tcPr>
          <w:p w:rsidR="00DF2526" w:rsidRPr="00E4203A" w:rsidRDefault="00DF2526" w:rsidP="00E4203A">
            <w:pPr>
              <w:pStyle w:val="ListParagraph"/>
              <w:numPr>
                <w:ilvl w:val="0"/>
                <w:numId w:val="19"/>
              </w:numPr>
              <w:rPr>
                <w:rFonts w:cstheme="minorHAnsi"/>
              </w:rPr>
            </w:pPr>
            <w:r w:rsidRPr="00E4203A">
              <w:rPr>
                <w:rFonts w:cstheme="minorHAnsi"/>
              </w:rPr>
              <w:t>Prepare Federal Census report.</w:t>
            </w:r>
          </w:p>
        </w:tc>
        <w:tc>
          <w:tcPr>
            <w:tcW w:w="990" w:type="dxa"/>
          </w:tcPr>
          <w:p w:rsidR="00DF2526" w:rsidRPr="004963B6" w:rsidRDefault="00DF2526" w:rsidP="0085796B">
            <w:pPr>
              <w:jc w:val="center"/>
              <w:rPr>
                <w:sz w:val="32"/>
                <w:szCs w:val="32"/>
              </w:rPr>
            </w:pPr>
          </w:p>
        </w:tc>
        <w:tc>
          <w:tcPr>
            <w:tcW w:w="1170" w:type="dxa"/>
          </w:tcPr>
          <w:p w:rsidR="00DF2526" w:rsidRPr="004963B6" w:rsidRDefault="00DF2526" w:rsidP="0085796B">
            <w:pPr>
              <w:jc w:val="center"/>
              <w:rPr>
                <w:sz w:val="32"/>
                <w:szCs w:val="32"/>
              </w:rPr>
            </w:pPr>
          </w:p>
        </w:tc>
        <w:tc>
          <w:tcPr>
            <w:tcW w:w="1080" w:type="dxa"/>
          </w:tcPr>
          <w:p w:rsidR="00DF2526" w:rsidRPr="004963B6" w:rsidRDefault="00DF2526" w:rsidP="0085796B">
            <w:pPr>
              <w:jc w:val="center"/>
              <w:rPr>
                <w:sz w:val="32"/>
                <w:szCs w:val="32"/>
              </w:rPr>
            </w:pPr>
          </w:p>
        </w:tc>
      </w:tr>
      <w:tr w:rsidR="00DF2526" w:rsidRPr="004963B6" w:rsidTr="00DF2526">
        <w:tc>
          <w:tcPr>
            <w:tcW w:w="6840" w:type="dxa"/>
          </w:tcPr>
          <w:p w:rsidR="00DF2526" w:rsidRPr="00E4203A" w:rsidRDefault="00DF2526" w:rsidP="00E4203A">
            <w:pPr>
              <w:pStyle w:val="ListParagraph"/>
              <w:numPr>
                <w:ilvl w:val="0"/>
                <w:numId w:val="19"/>
              </w:numPr>
              <w:rPr>
                <w:rFonts w:cstheme="minorHAnsi"/>
              </w:rPr>
            </w:pPr>
            <w:r w:rsidRPr="00E4203A">
              <w:rPr>
                <w:rFonts w:cstheme="minorHAnsi"/>
              </w:rPr>
              <w:t>Represent client during Workman’s Compensation audit.</w:t>
            </w:r>
          </w:p>
        </w:tc>
        <w:tc>
          <w:tcPr>
            <w:tcW w:w="990" w:type="dxa"/>
          </w:tcPr>
          <w:p w:rsidR="00DF2526" w:rsidRPr="004963B6" w:rsidRDefault="00DF2526" w:rsidP="0085796B">
            <w:pPr>
              <w:jc w:val="center"/>
              <w:rPr>
                <w:sz w:val="32"/>
                <w:szCs w:val="32"/>
              </w:rPr>
            </w:pPr>
          </w:p>
        </w:tc>
        <w:tc>
          <w:tcPr>
            <w:tcW w:w="1170" w:type="dxa"/>
          </w:tcPr>
          <w:p w:rsidR="00DF2526" w:rsidRPr="004963B6" w:rsidRDefault="00DF2526" w:rsidP="0085796B">
            <w:pPr>
              <w:jc w:val="center"/>
              <w:rPr>
                <w:sz w:val="32"/>
                <w:szCs w:val="32"/>
              </w:rPr>
            </w:pPr>
          </w:p>
        </w:tc>
        <w:tc>
          <w:tcPr>
            <w:tcW w:w="1080" w:type="dxa"/>
          </w:tcPr>
          <w:p w:rsidR="00DF2526" w:rsidRPr="004963B6" w:rsidRDefault="00DF2526" w:rsidP="0085796B">
            <w:pPr>
              <w:jc w:val="center"/>
              <w:rPr>
                <w:sz w:val="32"/>
                <w:szCs w:val="32"/>
              </w:rPr>
            </w:pPr>
          </w:p>
        </w:tc>
      </w:tr>
      <w:tr w:rsidR="00DF2526" w:rsidRPr="004963B6" w:rsidTr="00DF2526">
        <w:tc>
          <w:tcPr>
            <w:tcW w:w="6840" w:type="dxa"/>
          </w:tcPr>
          <w:p w:rsidR="00DF2526" w:rsidRPr="00E4203A" w:rsidRDefault="00DF2526" w:rsidP="00E4203A">
            <w:pPr>
              <w:pStyle w:val="ListParagraph"/>
              <w:numPr>
                <w:ilvl w:val="0"/>
                <w:numId w:val="19"/>
              </w:numPr>
              <w:rPr>
                <w:rFonts w:cstheme="minorHAnsi"/>
              </w:rPr>
            </w:pPr>
            <w:r w:rsidRPr="00E4203A">
              <w:rPr>
                <w:rFonts w:cstheme="minorHAnsi"/>
              </w:rPr>
              <w:t>Prepare sales and use tax filings.</w:t>
            </w:r>
          </w:p>
        </w:tc>
        <w:tc>
          <w:tcPr>
            <w:tcW w:w="990" w:type="dxa"/>
          </w:tcPr>
          <w:p w:rsidR="00DF2526" w:rsidRPr="004963B6" w:rsidRDefault="00DF2526" w:rsidP="0085796B">
            <w:pPr>
              <w:jc w:val="center"/>
              <w:rPr>
                <w:sz w:val="32"/>
                <w:szCs w:val="32"/>
              </w:rPr>
            </w:pPr>
          </w:p>
        </w:tc>
        <w:tc>
          <w:tcPr>
            <w:tcW w:w="1170" w:type="dxa"/>
          </w:tcPr>
          <w:p w:rsidR="00DF2526" w:rsidRPr="004963B6" w:rsidRDefault="00DF2526" w:rsidP="0085796B">
            <w:pPr>
              <w:jc w:val="center"/>
              <w:rPr>
                <w:sz w:val="32"/>
                <w:szCs w:val="32"/>
              </w:rPr>
            </w:pPr>
          </w:p>
        </w:tc>
        <w:tc>
          <w:tcPr>
            <w:tcW w:w="1080" w:type="dxa"/>
          </w:tcPr>
          <w:p w:rsidR="00DF2526" w:rsidRPr="004963B6" w:rsidRDefault="00DF2526" w:rsidP="0085796B">
            <w:pPr>
              <w:jc w:val="center"/>
              <w:rPr>
                <w:sz w:val="32"/>
                <w:szCs w:val="32"/>
              </w:rPr>
            </w:pPr>
          </w:p>
        </w:tc>
      </w:tr>
      <w:tr w:rsidR="00DF2526" w:rsidRPr="004963B6" w:rsidTr="00DF2526">
        <w:tc>
          <w:tcPr>
            <w:tcW w:w="6840" w:type="dxa"/>
          </w:tcPr>
          <w:p w:rsidR="00DF2526" w:rsidRPr="00E4203A" w:rsidRDefault="00DF2526" w:rsidP="00E4203A">
            <w:pPr>
              <w:pStyle w:val="ListParagraph"/>
              <w:numPr>
                <w:ilvl w:val="0"/>
                <w:numId w:val="19"/>
              </w:numPr>
              <w:rPr>
                <w:rFonts w:cstheme="minorHAnsi"/>
              </w:rPr>
            </w:pPr>
            <w:r w:rsidRPr="00E4203A">
              <w:rPr>
                <w:rFonts w:cstheme="minorHAnsi"/>
              </w:rPr>
              <w:t>Prepare 1099 and 1096 forms.</w:t>
            </w:r>
          </w:p>
        </w:tc>
        <w:tc>
          <w:tcPr>
            <w:tcW w:w="990" w:type="dxa"/>
          </w:tcPr>
          <w:p w:rsidR="00DF2526" w:rsidRPr="004963B6" w:rsidRDefault="00DF2526" w:rsidP="0085796B">
            <w:pPr>
              <w:jc w:val="center"/>
              <w:rPr>
                <w:sz w:val="32"/>
                <w:szCs w:val="32"/>
              </w:rPr>
            </w:pPr>
          </w:p>
        </w:tc>
        <w:tc>
          <w:tcPr>
            <w:tcW w:w="1170" w:type="dxa"/>
          </w:tcPr>
          <w:p w:rsidR="00DF2526" w:rsidRPr="004963B6" w:rsidRDefault="00DF2526" w:rsidP="0085796B">
            <w:pPr>
              <w:jc w:val="center"/>
              <w:rPr>
                <w:sz w:val="32"/>
                <w:szCs w:val="32"/>
              </w:rPr>
            </w:pPr>
          </w:p>
        </w:tc>
        <w:tc>
          <w:tcPr>
            <w:tcW w:w="1080" w:type="dxa"/>
          </w:tcPr>
          <w:p w:rsidR="00DF2526" w:rsidRPr="004963B6" w:rsidRDefault="00DF2526" w:rsidP="0085796B">
            <w:pPr>
              <w:jc w:val="center"/>
              <w:rPr>
                <w:sz w:val="32"/>
                <w:szCs w:val="32"/>
              </w:rPr>
            </w:pPr>
          </w:p>
        </w:tc>
      </w:tr>
      <w:tr w:rsidR="00DF2526" w:rsidRPr="004963B6" w:rsidTr="00DF2526">
        <w:tc>
          <w:tcPr>
            <w:tcW w:w="6840" w:type="dxa"/>
          </w:tcPr>
          <w:p w:rsidR="00DF2526" w:rsidRPr="00E4203A" w:rsidRDefault="00DF2526" w:rsidP="00E4203A">
            <w:pPr>
              <w:pStyle w:val="ListParagraph"/>
              <w:numPr>
                <w:ilvl w:val="0"/>
                <w:numId w:val="19"/>
              </w:numPr>
              <w:rPr>
                <w:rFonts w:cstheme="minorHAnsi"/>
              </w:rPr>
            </w:pPr>
            <w:r w:rsidRPr="00E4203A">
              <w:rPr>
                <w:rFonts w:cstheme="minorHAnsi"/>
              </w:rPr>
              <w:t>Prepare Secretary of State annual report filing</w:t>
            </w:r>
          </w:p>
        </w:tc>
        <w:tc>
          <w:tcPr>
            <w:tcW w:w="990" w:type="dxa"/>
          </w:tcPr>
          <w:p w:rsidR="00DF2526" w:rsidRPr="004963B6" w:rsidRDefault="00DF2526" w:rsidP="0085796B">
            <w:pPr>
              <w:jc w:val="center"/>
              <w:rPr>
                <w:sz w:val="32"/>
                <w:szCs w:val="32"/>
              </w:rPr>
            </w:pPr>
          </w:p>
        </w:tc>
        <w:tc>
          <w:tcPr>
            <w:tcW w:w="1170" w:type="dxa"/>
          </w:tcPr>
          <w:p w:rsidR="00DF2526" w:rsidRPr="004963B6" w:rsidRDefault="00DF2526" w:rsidP="0085796B">
            <w:pPr>
              <w:jc w:val="center"/>
              <w:rPr>
                <w:sz w:val="32"/>
                <w:szCs w:val="32"/>
              </w:rPr>
            </w:pPr>
          </w:p>
        </w:tc>
        <w:tc>
          <w:tcPr>
            <w:tcW w:w="1080" w:type="dxa"/>
          </w:tcPr>
          <w:p w:rsidR="00DF2526" w:rsidRPr="004963B6" w:rsidRDefault="00DF2526" w:rsidP="0085796B">
            <w:pPr>
              <w:jc w:val="center"/>
              <w:rPr>
                <w:sz w:val="32"/>
                <w:szCs w:val="32"/>
              </w:rPr>
            </w:pPr>
          </w:p>
        </w:tc>
      </w:tr>
      <w:tr w:rsidR="00DF2526" w:rsidRPr="004963B6" w:rsidTr="00DF2526">
        <w:tc>
          <w:tcPr>
            <w:tcW w:w="6840" w:type="dxa"/>
          </w:tcPr>
          <w:p w:rsidR="00DF2526" w:rsidRPr="00E4203A" w:rsidRDefault="00DF2526" w:rsidP="00E4203A">
            <w:pPr>
              <w:pStyle w:val="ListParagraph"/>
              <w:numPr>
                <w:ilvl w:val="0"/>
                <w:numId w:val="19"/>
              </w:numPr>
              <w:rPr>
                <w:rFonts w:cstheme="minorHAnsi"/>
              </w:rPr>
            </w:pPr>
            <w:r w:rsidRPr="00E4203A">
              <w:rPr>
                <w:rFonts w:cstheme="minorHAnsi"/>
              </w:rPr>
              <w:t xml:space="preserve">Prepare annual salary census for pension plan actuary.     </w:t>
            </w:r>
          </w:p>
        </w:tc>
        <w:tc>
          <w:tcPr>
            <w:tcW w:w="990" w:type="dxa"/>
          </w:tcPr>
          <w:p w:rsidR="00DF2526" w:rsidRPr="004963B6" w:rsidRDefault="00DF2526" w:rsidP="0085796B">
            <w:pPr>
              <w:jc w:val="center"/>
              <w:rPr>
                <w:sz w:val="32"/>
                <w:szCs w:val="32"/>
              </w:rPr>
            </w:pPr>
          </w:p>
        </w:tc>
        <w:tc>
          <w:tcPr>
            <w:tcW w:w="1170" w:type="dxa"/>
          </w:tcPr>
          <w:p w:rsidR="00DF2526" w:rsidRPr="004963B6" w:rsidRDefault="00DF2526" w:rsidP="0085796B">
            <w:pPr>
              <w:jc w:val="center"/>
              <w:rPr>
                <w:sz w:val="32"/>
                <w:szCs w:val="32"/>
              </w:rPr>
            </w:pPr>
          </w:p>
        </w:tc>
        <w:tc>
          <w:tcPr>
            <w:tcW w:w="1080" w:type="dxa"/>
          </w:tcPr>
          <w:p w:rsidR="00DF2526" w:rsidRPr="004963B6" w:rsidRDefault="00DF2526" w:rsidP="0085796B">
            <w:pPr>
              <w:jc w:val="center"/>
              <w:rPr>
                <w:sz w:val="32"/>
                <w:szCs w:val="32"/>
              </w:rPr>
            </w:pPr>
          </w:p>
        </w:tc>
      </w:tr>
      <w:tr w:rsidR="00DF2526" w:rsidRPr="004963B6" w:rsidTr="00DF2526">
        <w:tc>
          <w:tcPr>
            <w:tcW w:w="6840" w:type="dxa"/>
          </w:tcPr>
          <w:p w:rsidR="00DF2526" w:rsidRPr="00E4203A" w:rsidRDefault="00DF2526" w:rsidP="00E4203A">
            <w:pPr>
              <w:pStyle w:val="ListParagraph"/>
              <w:numPr>
                <w:ilvl w:val="0"/>
                <w:numId w:val="19"/>
              </w:numPr>
              <w:rPr>
                <w:rFonts w:cstheme="minorHAnsi"/>
              </w:rPr>
            </w:pPr>
            <w:r w:rsidRPr="00E4203A">
              <w:rPr>
                <w:rFonts w:cstheme="minorHAnsi"/>
              </w:rPr>
              <w:t>Prepare fringe benefit information and report it to payroll service.</w:t>
            </w:r>
          </w:p>
        </w:tc>
        <w:tc>
          <w:tcPr>
            <w:tcW w:w="990" w:type="dxa"/>
          </w:tcPr>
          <w:p w:rsidR="00DF2526" w:rsidRPr="004963B6" w:rsidRDefault="00DF2526" w:rsidP="0085796B">
            <w:pPr>
              <w:jc w:val="center"/>
              <w:rPr>
                <w:sz w:val="32"/>
                <w:szCs w:val="32"/>
              </w:rPr>
            </w:pPr>
          </w:p>
        </w:tc>
        <w:tc>
          <w:tcPr>
            <w:tcW w:w="1170" w:type="dxa"/>
          </w:tcPr>
          <w:p w:rsidR="00DF2526" w:rsidRPr="004963B6" w:rsidRDefault="00DF2526" w:rsidP="0085796B">
            <w:pPr>
              <w:jc w:val="center"/>
              <w:rPr>
                <w:sz w:val="32"/>
                <w:szCs w:val="32"/>
              </w:rPr>
            </w:pPr>
          </w:p>
        </w:tc>
        <w:tc>
          <w:tcPr>
            <w:tcW w:w="1080" w:type="dxa"/>
          </w:tcPr>
          <w:p w:rsidR="00DF2526" w:rsidRPr="004963B6" w:rsidRDefault="00DF2526" w:rsidP="0085796B">
            <w:pPr>
              <w:jc w:val="center"/>
              <w:rPr>
                <w:sz w:val="32"/>
                <w:szCs w:val="32"/>
              </w:rPr>
            </w:pPr>
          </w:p>
        </w:tc>
      </w:tr>
    </w:tbl>
    <w:p w:rsidR="00C157C0" w:rsidRPr="004963B6" w:rsidRDefault="00C157C0" w:rsidP="00E4203A">
      <w:pPr>
        <w:rPr>
          <w:b/>
        </w:rPr>
      </w:pPr>
    </w:p>
    <w:sectPr w:rsidR="00C157C0" w:rsidRPr="00496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3848"/>
    <w:multiLevelType w:val="hybridMultilevel"/>
    <w:tmpl w:val="D8061B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A69DB"/>
    <w:multiLevelType w:val="hybridMultilevel"/>
    <w:tmpl w:val="C3645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7388C"/>
    <w:multiLevelType w:val="hybridMultilevel"/>
    <w:tmpl w:val="33BA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E306C"/>
    <w:multiLevelType w:val="hybridMultilevel"/>
    <w:tmpl w:val="D968F322"/>
    <w:lvl w:ilvl="0" w:tplc="E7C06232">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F05EC"/>
    <w:multiLevelType w:val="hybridMultilevel"/>
    <w:tmpl w:val="33BA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23D5B"/>
    <w:multiLevelType w:val="hybridMultilevel"/>
    <w:tmpl w:val="33BA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A58B5"/>
    <w:multiLevelType w:val="hybridMultilevel"/>
    <w:tmpl w:val="408C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E023A5"/>
    <w:multiLevelType w:val="hybridMultilevel"/>
    <w:tmpl w:val="A9CA3F08"/>
    <w:lvl w:ilvl="0" w:tplc="F3E2DECA">
      <w:start w:val="1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422C51D8"/>
    <w:multiLevelType w:val="hybridMultilevel"/>
    <w:tmpl w:val="DF88E950"/>
    <w:lvl w:ilvl="0" w:tplc="627A5ACC">
      <w:start w:val="1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493A7E03"/>
    <w:multiLevelType w:val="hybridMultilevel"/>
    <w:tmpl w:val="33BA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5C4AA3"/>
    <w:multiLevelType w:val="hybridMultilevel"/>
    <w:tmpl w:val="1AC08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4006FE"/>
    <w:multiLevelType w:val="hybridMultilevel"/>
    <w:tmpl w:val="A9CA3F08"/>
    <w:lvl w:ilvl="0" w:tplc="F3E2DECA">
      <w:start w:val="1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5C5D138F"/>
    <w:multiLevelType w:val="hybridMultilevel"/>
    <w:tmpl w:val="801C2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9E7B4F"/>
    <w:multiLevelType w:val="hybridMultilevel"/>
    <w:tmpl w:val="33BA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81613A"/>
    <w:multiLevelType w:val="hybridMultilevel"/>
    <w:tmpl w:val="2E5037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9A4656"/>
    <w:multiLevelType w:val="hybridMultilevel"/>
    <w:tmpl w:val="11509274"/>
    <w:lvl w:ilvl="0" w:tplc="2894180E">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16">
    <w:nsid w:val="65B46FC8"/>
    <w:multiLevelType w:val="hybridMultilevel"/>
    <w:tmpl w:val="F7B6B15C"/>
    <w:lvl w:ilvl="0" w:tplc="7D5CC2FC">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75940CE2"/>
    <w:multiLevelType w:val="hybridMultilevel"/>
    <w:tmpl w:val="33BA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070D57"/>
    <w:multiLevelType w:val="hybridMultilevel"/>
    <w:tmpl w:val="B9F8E302"/>
    <w:lvl w:ilvl="0" w:tplc="25F0E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8"/>
  </w:num>
  <w:num w:numId="3">
    <w:abstractNumId w:val="6"/>
  </w:num>
  <w:num w:numId="4">
    <w:abstractNumId w:val="10"/>
  </w:num>
  <w:num w:numId="5">
    <w:abstractNumId w:val="3"/>
  </w:num>
  <w:num w:numId="6">
    <w:abstractNumId w:val="5"/>
  </w:num>
  <w:num w:numId="7">
    <w:abstractNumId w:val="13"/>
  </w:num>
  <w:num w:numId="8">
    <w:abstractNumId w:val="4"/>
  </w:num>
  <w:num w:numId="9">
    <w:abstractNumId w:val="17"/>
  </w:num>
  <w:num w:numId="10">
    <w:abstractNumId w:val="9"/>
  </w:num>
  <w:num w:numId="11">
    <w:abstractNumId w:val="16"/>
  </w:num>
  <w:num w:numId="12">
    <w:abstractNumId w:val="2"/>
  </w:num>
  <w:num w:numId="13">
    <w:abstractNumId w:val="15"/>
  </w:num>
  <w:num w:numId="14">
    <w:abstractNumId w:val="14"/>
  </w:num>
  <w:num w:numId="15">
    <w:abstractNumId w:val="1"/>
  </w:num>
  <w:num w:numId="16">
    <w:abstractNumId w:val="7"/>
  </w:num>
  <w:num w:numId="17">
    <w:abstractNumId w:val="11"/>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CAB"/>
    <w:rsid w:val="000702DF"/>
    <w:rsid w:val="00074BED"/>
    <w:rsid w:val="000A1D52"/>
    <w:rsid w:val="0013211A"/>
    <w:rsid w:val="001C28D8"/>
    <w:rsid w:val="001C2EA0"/>
    <w:rsid w:val="001D03FE"/>
    <w:rsid w:val="001F5850"/>
    <w:rsid w:val="002100D2"/>
    <w:rsid w:val="00230B97"/>
    <w:rsid w:val="002F65A9"/>
    <w:rsid w:val="00375067"/>
    <w:rsid w:val="003C6C3B"/>
    <w:rsid w:val="004963B6"/>
    <w:rsid w:val="0049664C"/>
    <w:rsid w:val="00535109"/>
    <w:rsid w:val="00541D08"/>
    <w:rsid w:val="00623EF1"/>
    <w:rsid w:val="006A1F4D"/>
    <w:rsid w:val="006A2911"/>
    <w:rsid w:val="006F6A0E"/>
    <w:rsid w:val="00725314"/>
    <w:rsid w:val="007346B1"/>
    <w:rsid w:val="00744F1E"/>
    <w:rsid w:val="0075690C"/>
    <w:rsid w:val="007A16CC"/>
    <w:rsid w:val="007D22D2"/>
    <w:rsid w:val="007E1214"/>
    <w:rsid w:val="0089155D"/>
    <w:rsid w:val="008A59E4"/>
    <w:rsid w:val="008B20F7"/>
    <w:rsid w:val="008C2070"/>
    <w:rsid w:val="008E1F7F"/>
    <w:rsid w:val="009833F5"/>
    <w:rsid w:val="00986C76"/>
    <w:rsid w:val="009E4F33"/>
    <w:rsid w:val="00A558AF"/>
    <w:rsid w:val="00AC3D64"/>
    <w:rsid w:val="00AE2672"/>
    <w:rsid w:val="00AE6303"/>
    <w:rsid w:val="00B51A79"/>
    <w:rsid w:val="00B66F2C"/>
    <w:rsid w:val="00BA0FC2"/>
    <w:rsid w:val="00C157C0"/>
    <w:rsid w:val="00C2623F"/>
    <w:rsid w:val="00C7667E"/>
    <w:rsid w:val="00C76939"/>
    <w:rsid w:val="00CD0036"/>
    <w:rsid w:val="00D34715"/>
    <w:rsid w:val="00D648A9"/>
    <w:rsid w:val="00D8714A"/>
    <w:rsid w:val="00DF2526"/>
    <w:rsid w:val="00E20320"/>
    <w:rsid w:val="00E22D4F"/>
    <w:rsid w:val="00E4203A"/>
    <w:rsid w:val="00E62E35"/>
    <w:rsid w:val="00EA2CAB"/>
    <w:rsid w:val="00EF1700"/>
    <w:rsid w:val="00F55583"/>
    <w:rsid w:val="00F601BB"/>
    <w:rsid w:val="00FB77DD"/>
    <w:rsid w:val="00FC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CAB"/>
    <w:pPr>
      <w:ind w:left="720"/>
      <w:contextualSpacing/>
    </w:pPr>
  </w:style>
  <w:style w:type="paragraph" w:styleId="BalloonText">
    <w:name w:val="Balloon Text"/>
    <w:basedOn w:val="Normal"/>
    <w:link w:val="BalloonTextChar"/>
    <w:uiPriority w:val="99"/>
    <w:semiHidden/>
    <w:unhideWhenUsed/>
    <w:rsid w:val="00D64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A9"/>
    <w:rPr>
      <w:rFonts w:ascii="Tahoma" w:hAnsi="Tahoma" w:cs="Tahoma"/>
      <w:sz w:val="16"/>
      <w:szCs w:val="16"/>
    </w:rPr>
  </w:style>
  <w:style w:type="table" w:styleId="LightList-Accent3">
    <w:name w:val="Light List Accent 3"/>
    <w:basedOn w:val="TableNormal"/>
    <w:uiPriority w:val="61"/>
    <w:rsid w:val="004963B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496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26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E2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AE2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CAB"/>
    <w:pPr>
      <w:ind w:left="720"/>
      <w:contextualSpacing/>
    </w:pPr>
  </w:style>
  <w:style w:type="paragraph" w:styleId="BalloonText">
    <w:name w:val="Balloon Text"/>
    <w:basedOn w:val="Normal"/>
    <w:link w:val="BalloonTextChar"/>
    <w:uiPriority w:val="99"/>
    <w:semiHidden/>
    <w:unhideWhenUsed/>
    <w:rsid w:val="00D64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A9"/>
    <w:rPr>
      <w:rFonts w:ascii="Tahoma" w:hAnsi="Tahoma" w:cs="Tahoma"/>
      <w:sz w:val="16"/>
      <w:szCs w:val="16"/>
    </w:rPr>
  </w:style>
  <w:style w:type="table" w:styleId="LightList-Accent3">
    <w:name w:val="Light List Accent 3"/>
    <w:basedOn w:val="TableNormal"/>
    <w:uiPriority w:val="61"/>
    <w:rsid w:val="004963B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496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26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E2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AE2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5E8B2-29EA-466D-A15D-074A43CA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Jameson</dc:creator>
  <cp:lastModifiedBy>Bryan Cohen</cp:lastModifiedBy>
  <cp:revision>2</cp:revision>
  <cp:lastPrinted>2012-02-15T21:55:00Z</cp:lastPrinted>
  <dcterms:created xsi:type="dcterms:W3CDTF">2014-05-12T15:32:00Z</dcterms:created>
  <dcterms:modified xsi:type="dcterms:W3CDTF">2014-05-12T15:32:00Z</dcterms:modified>
</cp:coreProperties>
</file>