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AI Adoption in the Fortune 500 (2020–2025)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26"/>
          <w:szCs w:val="26"/>
        </w:rPr>
        <w:t xml:space="preserve">A consulting-style analysis identifying $1.8T in addressable opportunity</w:t>
      </w:r>
    </w:p>
    <w:p>
      <w:pPr>
        <w:pBdr>
          <w:bottom w:val="single" w:color="003E7E" w:sz="6" w:space="6"/>
        </w:pBdr>
        <w:spacing w:after="24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Author: Joel Taipe   |   Tools: PostgreSQL, Tableau   |   Dataset: Kaggle — AI Adoption in Fortune 500 Companies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Executive Summary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Across six years of data covering 1,000 Fortune 500 firms, AI maturity has structurally plateaued — but the average masks a sharper underlying story. The market is bifurcating into a small group of accelerating leaders and a much larger group of stagnating or regressing incumbents. Industry and use-case context drive far more variation in returns than scale or geography.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Maturity has flatlined at ~54.7 since 2020 despite 81% adoption. Adoption is not the same as advancement; firms that purchased AI capability five years ago have not materially improved their returns.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Industry × use-case combinations vary by 8+ ROI points. Pairing matters more than sector alone. Generative AI ROI is rising (+2.8 points); Chatbot ROI is regressing (−2.7).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market is splitting, not converging. Amazon (+69) and JPMorgan (+51) gained dramatically in 2024–2025, while Walmart (−27), Google (−22), and Tencent (−29) regressed.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Seven verified Fortune 500 firms — $1.8T in combined revenue — sit materially below maturity benchmarks. Walmart leads the target list with $262B in revenue and a maturity score of 10, the lowest of any verified large-cap in the dataset.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03E7E"/>
          <w:sz w:val="22"/>
          <w:szCs w:val="22"/>
        </w:rPr>
        <w:t xml:space="preserve">Strategic implication: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addressable market for AI consulting is not greenfield first-time adopters. It is the 70%+ of incumbents whose AI investments have stalled.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Context &amp; Methodology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Brief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 identify, from a six-year cross-sectional dataset, where Fortune 500 firms are positioned on AI maturity, which industries and use cases drive the strongest returns, and which named companies represent the highest-priority outreach targets for an AI consulting firm.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Kaggle dataset comprises 6,000 firm-year observations across 1,000 companies, 12 industries, and 10 countries over 2020–2025. The dataset includes a company_type flag distinguishing 20 verified Fortune 500 firms ("Real") from synthetic placeholder records used to populate the long tail of the panel. Real-company filtering was applied for all named-company analysis to ensure findings reflect genuine industry behaviour; industry-level aggregates use the full panel for statistical robustness.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Approach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raw flat CSV was loaded into PostgreSQL and re-modelled into 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star schema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one fact table (fact_ai_adoption) joined to five dimension tables (dim_company, dim_industry, dim_country, dim_year, dim_use_case). The dimensional model enabled cleaner aggregations and simpler downstream analysis than the flat source file.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Nine SQL analyses were written using CTEs, LAG(), RANK() OVER (PARTITION BY …), and NTILE() window functions to address the six business questions. Findings were visualised across three Tableau dashboards: Overview, Industry Deep Dive, and Opportunity Targets.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Finding 1 — AI maturity has plateaued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headline figure tells a story of saturation, not growth. Average maturity scores have remained between 53.6 and 55.0 throughout the six-year window; the 2025 average of 54.7 is statistically indistinguishable from 2020. The adoption rate (% of firms reporting AI use) has held flat at ~81% across the same period.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maturity-tier distribution explains why the average appears static: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firms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Leader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80+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11.5%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Adopter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50–79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52.0%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520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Laggard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&lt;50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36.5%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365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market in which one in nine firms scores at the top, half cluster in the middle, and more than a third remain meaningfully behind is not stagnant — it is structurally polarised. The plateau in averages masks a widening internal dispersion.</w:t>
      </w:r>
    </w:p>
    <w:p>
      <w:pPr>
        <w:pBdr>
          <w:left w:val="single" w:color="003E7E" w:sz="18" w:space="12"/>
        </w:pBdr>
        <w:spacing w:after="180" w:before="120" w:line="300"/>
        <w:ind w:left="360"/>
      </w:pPr>
      <w:r>
        <w:rPr>
          <w:rFonts w:ascii="Calibri" w:cs="Calibri" w:eastAsia="Calibri" w:hAnsi="Calibri"/>
          <w:b/>
          <w:bCs/>
          <w:color w:val="003E7E"/>
          <w:sz w:val="22"/>
          <w:szCs w:val="22"/>
        </w:rPr>
        <w:t xml:space="preserve">Consulting implication: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the opportunity is not first-time AI adoption. It is in helping the ~70% of Adopters and Laggards close the gap to the Leader cohort.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Finding 2 — Industry × use case drives ROI, not scale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Cross-tabulating industry and use case reveals an 8+ percentage-point ROI spread invisible at either dimension alone. Telecom × Demand Forecasting delivered 32.7% ROI in 2025 against a market average of 25%; Logistics × Chatbots delivered 20.3%.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Three structural patterns emerge: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Energy and Finance lead on maturity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(57.4 and 56.1 respectively).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Logistics lags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 50.2, with the highest non-adoption rate of any sector at 26.5% — meaning more than one in four logistics firms still report no AI use at all.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Generative AI is the only use case with rising ROI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(+2.8 points since 2020).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Chatbot ROI is in retreat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(−2.7 points), consistent with the commoditisation of first-generation conversational AI.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Firm size does not predict maturity.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Enterprise firms have 10.8% Leaders; SMEs have 12.0%. Distribution is statistically identical across size tiers — operational complexity, not capital intensity, drives AI value.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implication for go-to-market design is meaningful: consulting playbooks should be segmented by industry and current maturity tier, not by company size — a real narrowing of the addressable focus.</w:t>
      </w:r>
    </w:p>
    <w:p>
      <w:pPr>
        <w:pBdr>
          <w:left w:val="single" w:color="003E7E" w:sz="18" w:space="12"/>
        </w:pBdr>
        <w:spacing w:after="180" w:before="120" w:line="300"/>
        <w:ind w:left="360"/>
      </w:pPr>
      <w:r>
        <w:rPr>
          <w:rFonts w:ascii="Calibri" w:cs="Calibri" w:eastAsia="Calibri" w:hAnsi="Calibri"/>
          <w:b/>
          <w:bCs/>
          <w:color w:val="003E7E"/>
          <w:sz w:val="22"/>
          <w:szCs w:val="22"/>
        </w:rPr>
        <w:t xml:space="preserve">Consulting implication: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 "Logistics × non-adopter" motion targets ~27 firms with concentrated unmet demand. A "Generative AI uplift" motion targets the entire Adopter base across all industries.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Finding 3 — The market is bifurcating; seven firms anchor the target list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Year-on-year maturity change for verified firms surfaces the most counter-intuitive finding of the analysis. The dataset contains a small accelerating cohort and a much larger regressing one: Amazon (+69), JPMorgan (+51), Microsoft (+16), and Alibaba (+16) gained dramatically, while Tencent (−29), Walmart (−27), Google (−22), Toyota (−17), and BP (−17) lost ground.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not a flat market with marginal noise — this is a market in which the gap between leaders and laggards is actively widening. The thesis of natural maturity convergence is rejected by the data.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composite filter (revenue &gt; $50B, maturity &lt; 78, verified firm, 2025) identifies seven Fortune 500 firms representing $1.8T in combined revenue with material AI capability gaps: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5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3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6F51"/>
                <w:sz w:val="20"/>
                <w:szCs w:val="20"/>
              </w:rPr>
              <w:t xml:space="preserve">Walmart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Retail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$263B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6F5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E76F51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JPMorgan Chase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Finance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$68B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34.8%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Shell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Energy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$367B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25.6%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Tencent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$189B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71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29.6%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$328B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74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13.4%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Tesla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Automotive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$347B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Toyota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Automotive</w:t>
            </w:r>
          </w:p>
        </w:tc>
        <w:tc>
          <w:tcPr>
            <w:tcW w:type="dxa" w:w="1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$292B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34.6%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Walmart is the standout outlier.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maturity score of 10 against an industry average of 54.5, on $263B in revenue, with 0% reported AI ROI. No other verified firm in the dataset combines this revenue scale with this depth of capability gap.</w:t>
      </w:r>
    </w:p>
    <w:p>
      <w:pPr>
        <w:pBdr>
          <w:left w:val="single" w:color="003E7E" w:sz="18" w:space="12"/>
        </w:pBdr>
        <w:spacing w:after="180" w:before="120" w:line="300"/>
        <w:ind w:left="360"/>
      </w:pPr>
      <w:r>
        <w:rPr>
          <w:rFonts w:ascii="Calibri" w:cs="Calibri" w:eastAsia="Calibri" w:hAnsi="Calibri"/>
          <w:b/>
          <w:bCs/>
          <w:color w:val="003E7E"/>
          <w:sz w:val="22"/>
          <w:szCs w:val="22"/>
        </w:rPr>
        <w:t xml:space="preserve">Consulting implication: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Walmart anchors a tiered outreach strategy. Tier 1 (Walmart): bespoke transformation pitch. Tier 2 (Shell, Toyota, Google, Tesla): use-case-led proposals (predictive maintenance, demand forecasting, generative AI). Tier 3 (JPMorgan, Tencent): rising-but-incomplete — partnership framing rather than acquisition.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Strategic Recommendations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Segment the go-to-market by maturity tier, not size.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Differentiated playbooks for Leaders (deepen), Adopters (uplift), and Laggards (foundational). Discard size-based segmentation.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 with Generative AI in 2025–2026 conversations.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It is the only use case with a positive ROI trajectory. Reposition Chatbot offerings as legacy or bundle them into broader transformation engagements.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Anchor outreach around the seven-firm target list.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$1.8T addressable revenue pool, with Walmart representing a disproportionate share of strategic value.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Use the "Adopter trap" as a sales narrative.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plateau finding is itself a commercial asset — firms that have stopped advancing are exposed to competitive risk from peers that have not. The pitch writes itself.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Limitations &amp; Methodology Notes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dataset includes synthetic placeholder records for the long tail of Fortune 500 firms beyond the 20 verified entities. All named-company analysis was filtered to company_type = 'Real'; industry-level aggregates use the full panel.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Several methodology decisions warrant explicit framing: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Year-on-year maturity change was implemented using FIXED Level-of-Detail expressions in Tableau rather than LOOKUP-style table calculations. This preserves per-company integrity when sheet-level filters are applied at the dashboard layer, ensuring consistent values across the BANs, scatter, and bar visualisations.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Target identification thresholds were set at revenue &gt; $50B and maturity &lt; 78. The 78 boundary captures firms below the 75th-percentile maturity benchmark of verified Fortune 500 peers, ensuring "targets" are meaningfully behind the verified cohort.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Single-firm industries in the verified sample (Retail = Walmart only; Industrial = Siemens only) limit cross-industry inference for these sectors; sector findings for Retail and Industrial should be treated as directional rather than statistical.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Year-on-year swings exceeding 50 maturity points (e.g. Amazon +69) exceed plausible real-world rates of organisational change and likely reflect dataset-construction artefacts. The relative ranking of risers and fallers, however, remains analytically useful and the bifurcation finding holds.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Real-vs-synthetic separation was identified only after early queries returned unrecognisable company names. Adding company_type = 'Real' to the relevant CTEs was a deliberate methodology decision: prioritising recognisability and storytelling integrity over sample size for the named-company layer.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findings should be read as illustrative of a likely market structure, not as a prediction. The strategic logic — segment by maturity, lead with rising use cases, prioritise the high-revenue / low-maturity quadrant — holds independently of dataset precision.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03E7E"/>
          <w:sz w:val="32"/>
          <w:szCs w:val="32"/>
        </w:rPr>
        <w:t xml:space="preserve">Appendix — Star Schema &amp; Key SQL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Star schema design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fact_ai_adoption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company_id   → dim_company   (name, company_type, employee_size)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industry_id  → dim_industry  (industry_name)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country_id   → dim_country   (country_name)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year_id      → dim_year      (year)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use_case_id  → dim_use_case  (use_case_name)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Hero query 1 — Year-on-year maturity change (window function)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WITH yearly_scores AS (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SELECT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dco.company_name,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dy.year,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f.ai_maturity_score,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LAG(f.ai_maturity_score) OVER (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PARTITION BY dco.company_name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ORDER BY dy.year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 AS prev_year_score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FROM fact_ai_adoption f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dim_company dco ON f.company_id = dco.company_id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dim_year    dy  ON f.year_id    = dy.year_id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WHERE dco.company_type = 'Real'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company_name, year, ai_maturity_score,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ai_maturity_score - prev_year_score AS yoy_change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yearly_scores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prev_year_score IS NOT NULL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ORDER BY yoy_change DESC;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Hero query 2 — Opportunity gap (NTILE quartile filter)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WITH quartiles AS (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SELECT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dco.company_name, di.industry_name, dct.country_name,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f.revenue_usd,    f.ai_maturity_score,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NTILE(4) OVER (ORDER BY f.revenue_usd DESC)  AS revenue_quartile,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NTILE(4) OVER (ORDER BY f.ai_maturity_score) AS maturity_quartile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FROM fact_ai_adoption f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dim_company  dco ON f.company_id  = dco.company_id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dim_industry di  ON f.industry_id = di.industry_id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dim_country  dct ON f.country_id  = dct.country_id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JOIN dim_year     dy  ON f.year_id     = dy.year_id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WHERE dy.year = 2025 AND dco.company_type = 'Real'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company_name, industry_name, country_name,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revenue_usd, ai_maturity_score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quartiles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revenue_quartile = 1   -- top revenue quartile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AND maturity_quartile = 1  -- bottom maturity quartile</w:t>
      </w:r>
    </w:p>
    <w:p>
      <w:pPr>
        <w:shd w:fill="F5F5F5" w:color="auto" w:val="clear"/>
        <w:spacing w:after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ORDER BY revenue_usd DESC;</w:t>
      </w: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Analysis by Joel Taipe   |   Source: Kaggle, AI Adoption in Fortune 500 Companies (2020–2025) synthetic 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3E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2026-05-08T19:56:25.363Z</dcterms:created>
  <dcterms:modified xsi:type="dcterms:W3CDTF">2026-05-08T19:56:25.363Z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