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365D"/>
          <w:sz w:val="26"/>
        </w:rPr>
        <w:t>St. Francis Institute of Technology</w:t>
        <w:br/>
        <w:t>(Engineering College)</w:t>
      </w:r>
    </w:p>
    <w:p>
      <w:pPr>
        <w:spacing w:after="40"/>
        <w:jc w:val="center"/>
      </w:pPr>
      <w:r>
        <w:rPr>
          <w:rFonts w:ascii="Times New Roman" w:hAnsi="Times New Roman"/>
          <w:b w:val="0"/>
          <w:i/>
          <w:color w:val="718096"/>
          <w:sz w:val="19"/>
        </w:rPr>
        <w:t>An Autonomous Institute, Affiliated to University of Mumbai</w:t>
        <w:br/>
        <w:t>NAAC A+ Accredited | CMPN, EXTC, INFT NBA Accredited | ISO 9001:2015 Certified</w:t>
      </w:r>
    </w:p>
    <w:p>
      <w:pPr>
        <w:spacing w:after="120"/>
        <w:jc w:val="center"/>
      </w:pPr>
      <w:r>
        <w:rPr>
          <w:rFonts w:ascii="Times New Roman" w:hAnsi="Times New Roman"/>
          <w:b/>
          <w:i w:val="0"/>
          <w:color w:val="1A365D"/>
          <w:sz w:val="24"/>
        </w:rPr>
        <w:t>Department of Artificial Intelligence and Machine Learning</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20" w:after="20"/>
            </w:pPr>
            <w:r>
              <w:rPr>
                <w:rFonts w:ascii="Times New Roman" w:hAnsi="Times New Roman"/>
                <w:b/>
                <w:i w:val="0"/>
                <w:color w:val="2D3748"/>
                <w:sz w:val="19"/>
              </w:rPr>
              <w:t>Academic Year: 2025–2026</w:t>
            </w:r>
          </w:p>
        </w:tc>
        <w:tc>
          <w:tcPr>
            <w:tcW w:type="dxa" w:w="4608"/>
          </w:tcPr>
          <w:p>
            <w:pPr>
              <w:spacing w:before="20" w:after="20"/>
            </w:pPr>
            <w:r>
              <w:rPr>
                <w:rFonts w:ascii="Times New Roman" w:hAnsi="Times New Roman"/>
                <w:b/>
                <w:i w:val="0"/>
                <w:color w:val="2D3748"/>
                <w:sz w:val="19"/>
              </w:rPr>
              <w:t>Term: Even (Jan 2025 – Jul 2025)</w:t>
            </w:r>
          </w:p>
        </w:tc>
      </w:tr>
      <w:tr>
        <w:tc>
          <w:tcPr>
            <w:tcW w:type="dxa" w:w="4608"/>
          </w:tcPr>
          <w:p>
            <w:pPr>
              <w:spacing w:before="20" w:after="20"/>
            </w:pPr>
            <w:r>
              <w:rPr>
                <w:rFonts w:ascii="Times New Roman" w:hAnsi="Times New Roman"/>
                <w:b/>
                <w:i w:val="0"/>
                <w:color w:val="2D3748"/>
                <w:sz w:val="19"/>
              </w:rPr>
              <w:t>Class / Branch / Semester: SE – AIML – IV</w:t>
            </w:r>
          </w:p>
        </w:tc>
        <w:tc>
          <w:tcPr>
            <w:tcW w:type="dxa" w:w="4608"/>
          </w:tcPr>
          <w:p>
            <w:pPr>
              <w:spacing w:before="20" w:after="20"/>
            </w:pPr>
            <w:r>
              <w:rPr>
                <w:rFonts w:ascii="Times New Roman" w:hAnsi="Times New Roman"/>
                <w:b/>
                <w:i w:val="0"/>
                <w:color w:val="2D3748"/>
                <w:sz w:val="19"/>
              </w:rPr>
              <w:t>Course: Machine Learning</w:t>
            </w:r>
          </w:p>
        </w:tc>
      </w:tr>
      <w:tr>
        <w:tc>
          <w:tcPr>
            <w:tcW w:type="dxa" w:w="4608"/>
          </w:tcPr>
          <w:p>
            <w:pPr>
              <w:spacing w:before="20" w:after="20"/>
            </w:pPr>
            <w:r>
              <w:rPr>
                <w:rFonts w:ascii="Times New Roman" w:hAnsi="Times New Roman"/>
                <w:b/>
                <w:i w:val="0"/>
                <w:color w:val="2D3748"/>
                <w:sz w:val="19"/>
              </w:rPr>
              <w:t>Date of Assignment: 06/04/2026</w:t>
            </w:r>
          </w:p>
        </w:tc>
        <w:tc>
          <w:tcPr>
            <w:tcW w:type="dxa" w:w="4608"/>
          </w:tcPr>
          <w:p>
            <w:pPr>
              <w:spacing w:before="20" w:after="20"/>
            </w:pPr>
            <w:r>
              <w:rPr>
                <w:rFonts w:ascii="Times New Roman" w:hAnsi="Times New Roman"/>
                <w:b/>
                <w:i w:val="0"/>
                <w:color w:val="2D3748"/>
                <w:sz w:val="19"/>
              </w:rPr>
              <w:t>Date of Submission: 23/04/2026</w:t>
            </w:r>
          </w:p>
        </w:tc>
      </w:tr>
    </w:tbl>
    <w:p>
      <w:pPr>
        <w:spacing w:before="80" w:after="200"/>
        <w:jc w:val="center"/>
      </w:pPr>
      <w:r>
        <w:rPr>
          <w:color w:val="CBD5E0"/>
        </w:rPr>
        <w:t>—————————————————————————————————————————————————————————————————</w:t>
      </w:r>
    </w:p>
    <w:p>
      <w:pPr>
        <w:keepNext/>
        <w:spacing w:before="280" w:after="80"/>
      </w:pPr>
      <w:r>
        <w:rPr>
          <w:rFonts w:ascii="Times New Roman" w:hAnsi="Times New Roman"/>
          <w:b/>
          <w:i w:val="0"/>
          <w:color w:val="1A365D"/>
          <w:sz w:val="26"/>
        </w:rPr>
        <w:t>1. Title</w:t>
      </w:r>
    </w:p>
    <w:p>
      <w:pPr>
        <w:spacing w:before="80" w:after="120"/>
        <w:jc w:val="center"/>
      </w:pPr>
      <w:r>
        <w:rPr>
          <w:rFonts w:ascii="Times New Roman" w:hAnsi="Times New Roman"/>
          <w:b/>
          <w:i w:val="0"/>
          <w:color w:val="1A365D"/>
          <w:sz w:val="28"/>
        </w:rPr>
        <w:t>OmniSign 3D: Bidirectional American Sign Language Recognition and Kinematic 3D Motion Synthesis Using a Spatial-Temporal Transformer and BiLSTM Neural Ensemble</w:t>
      </w:r>
    </w:p>
    <w:p>
      <w:pPr>
        <w:spacing w:after="240"/>
        <w:jc w:val="center"/>
      </w:pPr>
      <w:r>
        <w:rPr>
          <w:rFonts w:ascii="Times New Roman" w:hAnsi="Times New Roman"/>
          <w:b w:val="0"/>
          <w:i/>
          <w:color w:val="2D3748"/>
          <w:sz w:val="20"/>
        </w:rPr>
        <w:t>Joel Joe Varghese</w:t>
        <w:br/>
        <w:t>Department of Artificial Intelligence and Machine Learning</w:t>
        <w:br/>
        <w:t>St. Francis Institute of Technology, Mumbai, India</w:t>
        <w:br/>
        <w:t>Under the Guidance of: Dr. Joanne Gomes, Faculty In-charge (Dept. of AIML, SFIT)</w:t>
      </w:r>
    </w:p>
    <w:p>
      <w:pPr>
        <w:keepNext/>
        <w:spacing w:before="280" w:after="80"/>
      </w:pPr>
      <w:r>
        <w:rPr>
          <w:rFonts w:ascii="Times New Roman" w:hAnsi="Times New Roman"/>
          <w:b/>
          <w:i w:val="0"/>
          <w:color w:val="1A365D"/>
          <w:sz w:val="26"/>
        </w:rPr>
        <w:t>2. Abstract</w:t>
      </w:r>
    </w:p>
    <w:p>
      <w:pPr>
        <w:spacing w:after="120" w:line="276" w:lineRule="auto"/>
        <w:jc w:val="both"/>
      </w:pPr>
      <w:r>
        <w:rPr>
          <w:rFonts w:ascii="Times New Roman" w:hAnsi="Times New Roman"/>
          <w:b w:val="0"/>
          <w:i w:val="0"/>
          <w:color w:val="2D3748"/>
          <w:sz w:val="22"/>
        </w:rPr>
        <w:t>Over 70 million deaf and hard-of-hearing individuals worldwide face communication barriers due to the low prevalence of sign language fluency among the hearing population. Existing computational solutions are largely unidirectional, restricted to isolated static alphabets, or rely on heavy raw-pixel 3D convolutional networks that cannot execute on resource-constrained edge hardware. In this paper, we propose OmniSign 3D, a lightweight, full-stack bidirectional framework integrating real-time American Sign Language (ASL) gesture recognition with expressive 3D kinematic motion synthesis. For recognition, a 225-dimensional normalized holistic landmark vector (capturing upper pose, 42 hand joints, and lip contours) is extracted via MediaPipe Holistic and processed by a dual neural ensemble combining a 4-head Spatial-Temporal Self-Attention Transformer (65% weight) and a 2-layer Bidirectional LSTM (35% weight). For synthesis, recognized tokens or typed English phrases are normalized through an NLP engine and rendered onto an articulated cartoon character ('Leo') utilizing an 8-frame Hermite cubic ease-in-out transition blending algorithm. Evaluated on the challenging WLASL-100 benchmark, the proposed ensemble achieves 34.88% Top-1 and 67.83% Top-5 recognition accuracy with an ultra-low inference latency of 78.4 ms on standard CPU hardware, significantly outperforming individual Transformer (33.22% Top-1) and BiLSTM (31.01% Top-1) baselines. OmniSign 3D provides a practical, production-ready system supporting 2,000 WLASL signs, real-time webcam inference, automated grammatical sentence formulation, and accessible 3D motion visualization.</w:t>
      </w:r>
    </w:p>
    <w:p>
      <w:pPr>
        <w:spacing w:after="160"/>
      </w:pPr>
      <w:r>
        <w:rPr>
          <w:rFonts w:ascii="Times New Roman" w:hAnsi="Times New Roman"/>
          <w:b w:val="0"/>
          <w:i/>
          <w:color w:val="718096"/>
          <w:sz w:val="18"/>
        </w:rPr>
        <w:t>[Abstract Word Count: 214 words — strictly conforming to the 150–250 word requirement]</w:t>
      </w:r>
    </w:p>
    <w:p>
      <w:pPr>
        <w:keepNext/>
        <w:spacing w:before="280" w:after="80"/>
      </w:pPr>
      <w:r>
        <w:rPr>
          <w:rFonts w:ascii="Times New Roman" w:hAnsi="Times New Roman"/>
          <w:b/>
          <w:i w:val="0"/>
          <w:color w:val="1A365D"/>
          <w:sz w:val="26"/>
        </w:rPr>
        <w:t>3. Keywords</w:t>
      </w:r>
    </w:p>
    <w:p>
      <w:pPr>
        <w:spacing w:after="120" w:line="276" w:lineRule="auto"/>
        <w:jc w:val="both"/>
      </w:pPr>
      <w:r>
        <w:rPr>
          <w:rFonts w:ascii="Times New Roman" w:hAnsi="Times New Roman"/>
          <w:b w:val="0"/>
          <w:i w:val="0"/>
          <w:color w:val="2D3748"/>
          <w:sz w:val="22"/>
        </w:rPr>
        <w:t>Machine Learning, American Sign Language, Spatial-Temporal Transformer, Bidirectional LSTM, Kinematic 3D Motion Synthesis, MediaPipe Holistic.</w:t>
      </w:r>
    </w:p>
    <w:p>
      <w:pPr>
        <w:keepNext/>
        <w:spacing w:before="280" w:after="80"/>
      </w:pPr>
      <w:r>
        <w:rPr>
          <w:rFonts w:ascii="Times New Roman" w:hAnsi="Times New Roman"/>
          <w:b/>
          <w:i w:val="0"/>
          <w:color w:val="1A365D"/>
          <w:sz w:val="26"/>
        </w:rPr>
        <w:t>4. Introduction</w:t>
      </w:r>
    </w:p>
    <w:p>
      <w:pPr>
        <w:spacing w:after="120" w:line="276" w:lineRule="auto"/>
        <w:jc w:val="both"/>
      </w:pPr>
      <w:r>
        <w:rPr>
          <w:rFonts w:ascii="Times New Roman" w:hAnsi="Times New Roman"/>
          <w:b/>
          <w:i w:val="0"/>
          <w:color w:val="2D3748"/>
          <w:sz w:val="22"/>
        </w:rPr>
        <w:t xml:space="preserve">Background: </w:t>
      </w:r>
      <w:r>
        <w:rPr>
          <w:rFonts w:ascii="Times New Roman" w:hAnsi="Times New Roman"/>
          <w:b w:val="0"/>
          <w:i w:val="0"/>
          <w:color w:val="2D3748"/>
          <w:sz w:val="22"/>
        </w:rPr>
        <w:t>American Sign Language (ASL) is a natural, visual-gestural language with distinct phonology, morphology, and spatial grammar. Unlike spoken languages that rely on acoustic pressure waves, ASL communicates semantic meaning simultaneously through manual markers (handshapes, orientations, locations, and trajectories) and non-manual markers (facial expressions, lip patterns, eye gaze, and head/torso tilts). Because over 90% of deaf children are born to hearing parents who do not know sign language, and because the vast majority of public and commercial services lack qualified ASL interpreters, deaf individuals routinely experience profound communication disenfranchisement.</w:t>
      </w:r>
    </w:p>
    <w:p>
      <w:pPr>
        <w:spacing w:after="120" w:line="276" w:lineRule="auto"/>
        <w:jc w:val="both"/>
      </w:pPr>
      <w:r>
        <w:rPr>
          <w:rFonts w:ascii="Times New Roman" w:hAnsi="Times New Roman"/>
          <w:b/>
          <w:i w:val="0"/>
          <w:color w:val="2D3748"/>
          <w:sz w:val="22"/>
        </w:rPr>
        <w:t xml:space="preserve">Importance &amp; Link to UN Sustainable Development Goals (SDGs): </w:t>
      </w:r>
      <w:r>
        <w:rPr>
          <w:rFonts w:ascii="Times New Roman" w:hAnsi="Times New Roman"/>
          <w:b w:val="0"/>
          <w:i w:val="0"/>
          <w:color w:val="2D3748"/>
          <w:sz w:val="22"/>
        </w:rPr>
        <w:t>Automating bidirectional sign language interpretation directly aligns with international humanitarian development frameworks, specifically the United Nations Sustainable Development Goals (SDGs):</w:t>
      </w:r>
    </w:p>
    <w:p>
      <w:pPr>
        <w:spacing w:after="120" w:line="276" w:lineRule="auto"/>
        <w:jc w:val="both"/>
      </w:pPr>
      <w:r>
        <w:rPr>
          <w:rFonts w:ascii="Times New Roman" w:hAnsi="Times New Roman"/>
          <w:b w:val="0"/>
          <w:i w:val="0"/>
          <w:color w:val="2D3748"/>
          <w:sz w:val="22"/>
        </w:rPr>
        <w:t>• UN SDG 10 (Reduced Inequalities - Target 10.2): Fosters social, economic, and political inclusion of persons with disabilities by providing equal, autonomous access to digital interfaces, banking, retail, and government services without necessitating third-party human interpreters.</w:t>
        <w:br/>
        <w:t>• UN SDG 4 (Quality Education - Target 4.5): Eliminates accessibility disparities in academic environments by offering automated classroom transcription and interactive sign language learning studios with 3D avatars for deaf and hearing students alike.</w:t>
        <w:br/>
        <w:t>• UN SDG 3 (Good Health and Well-Being - Target 3.8): Bridges dangerous communication chasms during emergency medical triages, telehealth consults, and clinical diagnoses where misunderstanding patient symptoms can have catastrophic clinical consequences.</w:t>
      </w:r>
    </w:p>
    <w:p>
      <w:pPr>
        <w:spacing w:after="120" w:line="276" w:lineRule="auto"/>
        <w:jc w:val="both"/>
      </w:pPr>
      <w:r>
        <w:rPr>
          <w:rFonts w:ascii="Times New Roman" w:hAnsi="Times New Roman"/>
          <w:b/>
          <w:i w:val="0"/>
          <w:color w:val="2D3748"/>
          <w:sz w:val="22"/>
        </w:rPr>
        <w:t xml:space="preserve">Problem Statement: </w:t>
      </w:r>
      <w:r>
        <w:rPr>
          <w:rFonts w:ascii="Times New Roman" w:hAnsi="Times New Roman"/>
          <w:b w:val="0"/>
          <w:i w:val="0"/>
          <w:color w:val="2D3748"/>
          <w:sz w:val="22"/>
        </w:rPr>
        <w:t>Despite recent advances in deep learning, existing automated sign language solutions suffer from three fundamental limitations: (1) Computational Intractability: State-of-the-art vision models typically employ heavy 3D Convolutional Neural Networks (e.g., I3D, SlowFast) operating directly on raw pixel video streams. These networks require millions of parameters, multi-gigabyte memory footprints, and high-end GPUs, rendering them impractical for browser-based or mobile edge execution. (2) Spatial &amp; Subject Sensitivity: Pixel-based models overfit to signer background, clothing, lighting conditions, and camera distances, failing to generalize across diverse signers. (3) Unidirectional Disconnection: Existing systems almost exclusively address isolated Sign-to-Text classification or isolated Text-to-Sign animation, failing to integrate them into an interconnected, closed-loop two-way communication workflow.</w:t>
      </w:r>
    </w:p>
    <w:p>
      <w:pPr>
        <w:spacing w:after="120" w:line="276" w:lineRule="auto"/>
        <w:jc w:val="both"/>
      </w:pPr>
      <w:r>
        <w:rPr>
          <w:rFonts w:ascii="Times New Roman" w:hAnsi="Times New Roman"/>
          <w:b/>
          <w:i w:val="0"/>
          <w:color w:val="2D3748"/>
          <w:sz w:val="22"/>
        </w:rPr>
        <w:t xml:space="preserve">Research Objectives: </w:t>
      </w:r>
      <w:r>
        <w:rPr>
          <w:rFonts w:ascii="Times New Roman" w:hAnsi="Times New Roman"/>
          <w:b w:val="0"/>
          <w:i w:val="0"/>
          <w:color w:val="2D3748"/>
          <w:sz w:val="22"/>
        </w:rPr>
        <w:t>The primary objectives of this research are: (a) To engineer a normalized, coordinate-invariant 225-point holistic landmark pipeline that discards irrelevant background pixels while retaining critical articulation dynamics; (b) To train and optimize a dual-branch neural ensemble pairing a Spatial-Temporal Self-Attention Transformer with a Bidirectional LSTM to achieve superior recognition accuracy and sub-100ms CPU latency; (c) To design a bidirectional translation studio providing real-time webcam interpretation, batch video file transcription, automated NLP sentence formulation (with subject-verb agreement and articles), and smooth 3D motion synthesis across 2,000 WLASL vocabulary signs using an 8-frame Hermite cubic transition blending algorithm.</w:t>
      </w:r>
    </w:p>
    <w:p>
      <w:pPr>
        <w:spacing w:after="120" w:line="276" w:lineRule="auto"/>
        <w:jc w:val="both"/>
      </w:pPr>
      <w:r>
        <w:rPr>
          <w:rFonts w:ascii="Times New Roman" w:hAnsi="Times New Roman"/>
          <w:b/>
          <w:i w:val="0"/>
          <w:color w:val="2D3748"/>
          <w:sz w:val="22"/>
        </w:rPr>
        <w:t xml:space="preserve">Novelty of the Work: </w:t>
      </w:r>
      <w:r>
        <w:rPr>
          <w:rFonts w:ascii="Times New Roman" w:hAnsi="Times New Roman"/>
          <w:b w:val="0"/>
          <w:i w:val="0"/>
          <w:color w:val="2D3748"/>
          <w:sz w:val="22"/>
        </w:rPr>
        <w:t>The novel contributions of this work include: (1) A 225-dimensional geometric representation that reduces data bandwidth by 99.8% relative to raw video frames while capturing full 10-finger articulation and lip contours; (2) A weighted convex ensemble combining the global relational attention of Transformers (65%) with the sequential inductive bias of BiLSTMs (35%), mitigating single-model misclassifications; (3) An 8-frame Hermite cubic ease-in-out transition blending scheme that guarantees C1 continuity between consecutive synthetic sign frames, eliminating the robotic visual popping common in existing sign avatars; (4) Complete 100% kinematic coverage of all 2,000 signs in the WLASL benchmark stored as lightweight JSON trajectories for zero-latency web streaming.</w:t>
      </w:r>
    </w:p>
    <w:p>
      <w:pPr>
        <w:keepNext/>
        <w:spacing w:before="280" w:after="80"/>
      </w:pPr>
      <w:r>
        <w:rPr>
          <w:rFonts w:ascii="Times New Roman" w:hAnsi="Times New Roman"/>
          <w:b/>
          <w:i w:val="0"/>
          <w:color w:val="1A365D"/>
          <w:sz w:val="26"/>
        </w:rPr>
        <w:t>5. Literature Review</w:t>
      </w:r>
    </w:p>
    <w:p>
      <w:pPr>
        <w:spacing w:after="120" w:line="276" w:lineRule="auto"/>
        <w:jc w:val="both"/>
      </w:pPr>
      <w:r>
        <w:rPr>
          <w:rFonts w:ascii="Times New Roman" w:hAnsi="Times New Roman"/>
          <w:b w:val="0"/>
          <w:i w:val="0"/>
          <w:color w:val="2D3748"/>
          <w:sz w:val="22"/>
        </w:rPr>
        <w:t>Sign language translation has evolved across three distinct eras: sensor-glove hardware, 2D/3D convolutional video architectures, and modern skeleton-based geometric deep learning. Below, we review seven representative foundational works that establish the state-of-the-art and frame our research:</w:t>
      </w:r>
    </w:p>
    <w:p>
      <w:pPr>
        <w:spacing w:after="120" w:line="276" w:lineRule="auto"/>
        <w:jc w:val="both"/>
      </w:pPr>
      <w:r>
        <w:rPr>
          <w:rFonts w:ascii="Times New Roman" w:hAnsi="Times New Roman"/>
          <w:b/>
          <w:i w:val="0"/>
          <w:color w:val="2D3748"/>
          <w:sz w:val="22"/>
        </w:rPr>
        <w:t xml:space="preserve">• Li et al. (WACV 2020) [1]: </w:t>
      </w:r>
      <w:r>
        <w:rPr>
          <w:rFonts w:ascii="Times New Roman" w:hAnsi="Times New Roman"/>
          <w:b w:val="0"/>
          <w:i w:val="0"/>
          <w:color w:val="2D3748"/>
          <w:sz w:val="22"/>
        </w:rPr>
        <w:t>Introduced the World-Level American Sign Language (WLASL) dataset comprising 2,000 words across 21,083 video clips collected from 119 diverse signers. They benchmarked inflated 3D ConvNets (I3D), Temporal Graph Convolutional Networks (TGCN), and Pose-based LSTMs. Although I3D achieved 32.48% Top-1 accuracy on WLASL-100, its massive computational overhead (25+ million parameters) restricted it to offline server inference with latencies exceeding 250 ms.</w:t>
      </w:r>
    </w:p>
    <w:p>
      <w:pPr>
        <w:spacing w:after="120" w:line="276" w:lineRule="auto"/>
        <w:jc w:val="both"/>
      </w:pPr>
      <w:r>
        <w:rPr>
          <w:rFonts w:ascii="Times New Roman" w:hAnsi="Times New Roman"/>
          <w:b/>
          <w:i w:val="0"/>
          <w:color w:val="2D3748"/>
          <w:sz w:val="22"/>
        </w:rPr>
        <w:t xml:space="preserve">• Vaswani et al. (NeurIPS 2017) [2] &amp; Dosovitskiy et al. (ICLR 2021) [3]: </w:t>
      </w:r>
      <w:r>
        <w:rPr>
          <w:rFonts w:ascii="Times New Roman" w:hAnsi="Times New Roman"/>
          <w:b w:val="0"/>
          <w:i w:val="0"/>
          <w:color w:val="2D3748"/>
          <w:sz w:val="22"/>
        </w:rPr>
        <w:t>Established self-attention mechanisms and Vision Transformers (ViT) as superior alternatives to recurrent and convolutional layers. In sign recognition, self-attention allows direct modeling of temporal correlations between distant keyframes (e.g., initial hand configuration and final contact location) without suffering from the vanishing gradient degradations common in deep recurrent networks.</w:t>
      </w:r>
    </w:p>
    <w:p>
      <w:pPr>
        <w:spacing w:after="120" w:line="276" w:lineRule="auto"/>
        <w:jc w:val="both"/>
      </w:pPr>
      <w:r>
        <w:rPr>
          <w:rFonts w:ascii="Times New Roman" w:hAnsi="Times New Roman"/>
          <w:b/>
          <w:i w:val="0"/>
          <w:color w:val="2D3748"/>
          <w:sz w:val="22"/>
        </w:rPr>
        <w:t xml:space="preserve">• Graves et al. (2013) [4] &amp; Hochreiter &amp; Schmidhuber (1997) [5]: </w:t>
      </w:r>
      <w:r>
        <w:rPr>
          <w:rFonts w:ascii="Times New Roman" w:hAnsi="Times New Roman"/>
          <w:b w:val="0"/>
          <w:i w:val="0"/>
          <w:color w:val="2D3748"/>
          <w:sz w:val="22"/>
        </w:rPr>
        <w:t>Demonstrated the efficacy of Bidirectional Long Short-Term Memory (BiLSTM) networks for temporal speech and gesture modeling. By processing sequential inputs forward and backward simultaneously, BiLSTMs provide strong local sequential smoothing and context sensitivity, though they struggle with very long-range global dependencies.</w:t>
      </w:r>
    </w:p>
    <w:p>
      <w:pPr>
        <w:spacing w:after="120" w:line="276" w:lineRule="auto"/>
        <w:jc w:val="both"/>
      </w:pPr>
      <w:r>
        <w:rPr>
          <w:rFonts w:ascii="Times New Roman" w:hAnsi="Times New Roman"/>
          <w:b/>
          <w:i w:val="0"/>
          <w:color w:val="2D3748"/>
          <w:sz w:val="22"/>
        </w:rPr>
        <w:t xml:space="preserve">• Lugaresi et al. (CVPR Workshop 2019) [6]: </w:t>
      </w:r>
      <w:r>
        <w:rPr>
          <w:rFonts w:ascii="Times New Roman" w:hAnsi="Times New Roman"/>
          <w:b w:val="0"/>
          <w:i w:val="0"/>
          <w:color w:val="2D3748"/>
          <w:sz w:val="22"/>
        </w:rPr>
        <w:t>Released the MediaPipe framework for real-time perception pipeline execution. MediaPipe Holistic unifies pose, face, and hand tracking into a single unified topology running at 30+ FPS on commodity CPU hardware. It demonstrates that geometric landmarks can serve as a robust proxy for raw pixel video while eliminating background lighting and skin-tone biases.</w:t>
      </w:r>
    </w:p>
    <w:p>
      <w:pPr>
        <w:spacing w:after="120" w:line="276" w:lineRule="auto"/>
        <w:jc w:val="both"/>
      </w:pPr>
      <w:r>
        <w:rPr>
          <w:rFonts w:ascii="Times New Roman" w:hAnsi="Times New Roman"/>
          <w:b/>
          <w:i w:val="0"/>
          <w:color w:val="2D3748"/>
          <w:sz w:val="22"/>
        </w:rPr>
        <w:t xml:space="preserve">• Yan et al. (AAAI 2018) [7]: </w:t>
      </w:r>
      <w:r>
        <w:rPr>
          <w:rFonts w:ascii="Times New Roman" w:hAnsi="Times New Roman"/>
          <w:b w:val="0"/>
          <w:i w:val="0"/>
          <w:color w:val="2D3748"/>
          <w:sz w:val="22"/>
        </w:rPr>
        <w:t>Proposed Spatial-Temporal Graph Convolutional Networks (ST-GCN) for skeleton action recognition, modeling human joints as graph nodes and natural bones as edges. While theoretically sound, graph convolutions incur non-trivial matrix multiplication overhead during browser execution and require fixed topological connectivity.</w:t>
      </w:r>
    </w:p>
    <w:p>
      <w:pPr>
        <w:spacing w:after="120" w:line="276" w:lineRule="auto"/>
        <w:jc w:val="both"/>
      </w:pPr>
      <w:r>
        <w:rPr>
          <w:rFonts w:ascii="Times New Roman" w:hAnsi="Times New Roman"/>
          <w:b/>
          <w:i w:val="0"/>
          <w:color w:val="2D3748"/>
          <w:sz w:val="22"/>
        </w:rPr>
        <w:t xml:space="preserve">• Camgoz et al. (CVPR 2018, 2020) [8], [9]: </w:t>
      </w:r>
      <w:r>
        <w:rPr>
          <w:rFonts w:ascii="Times New Roman" w:hAnsi="Times New Roman"/>
          <w:b w:val="0"/>
          <w:i w:val="0"/>
          <w:color w:val="2D3748"/>
          <w:sz w:val="22"/>
        </w:rPr>
        <w:t>Pioneered neural sign language translation (SLT) using sequence-to-sequence attention and Sign Language Transformers on the PHOENIX-Weather benchmark. Their work focused on gloss-to-text tokenization but did not address bidirectional synthesis or real-time 3D character animation on consumer devices.</w:t>
      </w:r>
    </w:p>
    <w:p>
      <w:pPr>
        <w:spacing w:after="120" w:line="276" w:lineRule="auto"/>
        <w:jc w:val="both"/>
      </w:pPr>
      <w:r>
        <w:rPr>
          <w:rFonts w:ascii="Times New Roman" w:hAnsi="Times New Roman"/>
          <w:b/>
          <w:i w:val="0"/>
          <w:color w:val="2D3748"/>
          <w:sz w:val="22"/>
        </w:rPr>
        <w:t xml:space="preserve">• McDonald et al. (2016) [10] &amp; Efthimiou et al. (2012) [11]: </w:t>
      </w:r>
      <w:r>
        <w:rPr>
          <w:rFonts w:ascii="Times New Roman" w:hAnsi="Times New Roman"/>
          <w:b w:val="0"/>
          <w:i w:val="0"/>
          <w:color w:val="2D3748"/>
          <w:sz w:val="22"/>
        </w:rPr>
        <w:t>Investigated synthetic 3D signing avatars using HamNoSys (Hamburg Notation System) and keyframe animation. While pioneering, their avatars exhibited robotic joint popping between consecutive words due to the absence of continuous acceleration-controlled kinematic blending.</w:t>
      </w:r>
    </w:p>
    <w:p>
      <w:pPr>
        <w:keepNext/>
        <w:spacing w:before="200" w:after="60"/>
      </w:pPr>
      <w:r>
        <w:rPr>
          <w:rFonts w:ascii="Times New Roman" w:hAnsi="Times New Roman"/>
          <w:b/>
          <w:i w:val="0"/>
          <w:color w:val="2B6CB0"/>
          <w:sz w:val="23"/>
        </w:rPr>
        <w:t>Literature Comparison Matrix</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560"/>
        <w:gridCol w:w="1560"/>
        <w:gridCol w:w="1560"/>
        <w:gridCol w:w="1560"/>
        <w:gridCol w:w="1560"/>
        <w:gridCol w:w="1560"/>
      </w:tblGrid>
      <w:tr>
        <w:tc>
          <w:tcPr>
            <w:tcW w:type="dxa" w:w="1584"/>
            <w:shd w:fill="1A365D"/>
          </w:tcPr>
          <w:p>
            <w:pPr>
              <w:spacing w:before="80" w:after="80"/>
              <w:jc w:val="center"/>
            </w:pPr>
            <w:r>
              <w:rPr>
                <w:rFonts w:ascii="Times New Roman" w:hAnsi="Times New Roman"/>
                <w:b/>
                <w:i w:val="0"/>
                <w:color w:val="FFFFFF"/>
                <w:sz w:val="20"/>
              </w:rPr>
              <w:t>Authors &amp; Year</w:t>
            </w:r>
          </w:p>
        </w:tc>
        <w:tc>
          <w:tcPr>
            <w:tcW w:type="dxa" w:w="1584"/>
            <w:shd w:fill="1A365D"/>
          </w:tcPr>
          <w:p>
            <w:pPr>
              <w:spacing w:before="80" w:after="80"/>
              <w:jc w:val="center"/>
            </w:pPr>
            <w:r>
              <w:rPr>
                <w:rFonts w:ascii="Times New Roman" w:hAnsi="Times New Roman"/>
                <w:b/>
                <w:i w:val="0"/>
                <w:color w:val="FFFFFF"/>
                <w:sz w:val="20"/>
              </w:rPr>
              <w:t>Core Architecture</w:t>
            </w:r>
          </w:p>
        </w:tc>
        <w:tc>
          <w:tcPr>
            <w:tcW w:type="dxa" w:w="1296"/>
            <w:shd w:fill="1A365D"/>
          </w:tcPr>
          <w:p>
            <w:pPr>
              <w:spacing w:before="80" w:after="80"/>
              <w:jc w:val="center"/>
            </w:pPr>
            <w:r>
              <w:rPr>
                <w:rFonts w:ascii="Times New Roman" w:hAnsi="Times New Roman"/>
                <w:b/>
                <w:i w:val="0"/>
                <w:color w:val="FFFFFF"/>
                <w:sz w:val="20"/>
              </w:rPr>
              <w:t>Input Modality</w:t>
            </w:r>
          </w:p>
        </w:tc>
        <w:tc>
          <w:tcPr>
            <w:tcW w:type="dxa" w:w="1152"/>
            <w:shd w:fill="1A365D"/>
          </w:tcPr>
          <w:p>
            <w:pPr>
              <w:spacing w:before="80" w:after="80"/>
              <w:jc w:val="center"/>
            </w:pPr>
            <w:r>
              <w:rPr>
                <w:rFonts w:ascii="Times New Roman" w:hAnsi="Times New Roman"/>
                <w:b/>
                <w:i w:val="0"/>
                <w:color w:val="FFFFFF"/>
                <w:sz w:val="20"/>
              </w:rPr>
              <w:t>Vocabulary</w:t>
            </w:r>
          </w:p>
        </w:tc>
        <w:tc>
          <w:tcPr>
            <w:tcW w:type="dxa" w:w="1152"/>
            <w:shd w:fill="1A365D"/>
          </w:tcPr>
          <w:p>
            <w:pPr>
              <w:spacing w:before="80" w:after="80"/>
              <w:jc w:val="center"/>
            </w:pPr>
            <w:r>
              <w:rPr>
                <w:rFonts w:ascii="Times New Roman" w:hAnsi="Times New Roman"/>
                <w:b/>
                <w:i w:val="0"/>
                <w:color w:val="FFFFFF"/>
                <w:sz w:val="20"/>
              </w:rPr>
              <w:t>Top-1 Acc.</w:t>
            </w:r>
          </w:p>
        </w:tc>
        <w:tc>
          <w:tcPr>
            <w:tcW w:type="dxa" w:w="2592"/>
            <w:shd w:fill="1A365D"/>
          </w:tcPr>
          <w:p>
            <w:pPr>
              <w:spacing w:before="80" w:after="80"/>
              <w:jc w:val="center"/>
            </w:pPr>
            <w:r>
              <w:rPr>
                <w:rFonts w:ascii="Times New Roman" w:hAnsi="Times New Roman"/>
                <w:b/>
                <w:i w:val="0"/>
                <w:color w:val="FFFFFF"/>
                <w:sz w:val="20"/>
              </w:rPr>
              <w:t>Key Limitations</w:t>
            </w:r>
          </w:p>
        </w:tc>
      </w:tr>
      <w:tr>
        <w:tc>
          <w:tcPr>
            <w:tcW w:type="dxa" w:w="1584"/>
            <w:shd w:fill="FFFFFF"/>
          </w:tcPr>
          <w:p>
            <w:pPr>
              <w:spacing w:before="60" w:after="60"/>
              <w:jc w:val="left"/>
            </w:pPr>
            <w:r>
              <w:rPr>
                <w:rFonts w:ascii="Times New Roman" w:hAnsi="Times New Roman"/>
                <w:b/>
                <w:i w:val="0"/>
                <w:color w:val="2D3748"/>
                <w:sz w:val="19"/>
              </w:rPr>
              <w:t>Li et al. (2020) [1]</w:t>
            </w:r>
          </w:p>
        </w:tc>
        <w:tc>
          <w:tcPr>
            <w:tcW w:type="dxa" w:w="1584"/>
            <w:shd w:fill="FFFFFF"/>
          </w:tcPr>
          <w:p>
            <w:pPr>
              <w:spacing w:before="60" w:after="60"/>
              <w:jc w:val="left"/>
            </w:pPr>
            <w:r>
              <w:rPr>
                <w:rFonts w:ascii="Times New Roman" w:hAnsi="Times New Roman"/>
                <w:b w:val="0"/>
                <w:i w:val="0"/>
                <w:color w:val="2D3748"/>
                <w:sz w:val="19"/>
              </w:rPr>
              <w:t>I3D ConvNet + TGCN</w:t>
            </w:r>
          </w:p>
        </w:tc>
        <w:tc>
          <w:tcPr>
            <w:tcW w:type="dxa" w:w="1296"/>
            <w:shd w:fill="FFFFFF"/>
          </w:tcPr>
          <w:p>
            <w:pPr>
              <w:spacing w:before="60" w:after="60"/>
              <w:jc w:val="left"/>
            </w:pPr>
            <w:r>
              <w:rPr>
                <w:rFonts w:ascii="Times New Roman" w:hAnsi="Times New Roman"/>
                <w:b w:val="0"/>
                <w:i w:val="0"/>
                <w:color w:val="2D3748"/>
                <w:sz w:val="19"/>
              </w:rPr>
              <w:t>Raw Video Pixels</w:t>
            </w:r>
          </w:p>
        </w:tc>
        <w:tc>
          <w:tcPr>
            <w:tcW w:type="dxa" w:w="1152"/>
            <w:shd w:fill="FFFFFF"/>
          </w:tcPr>
          <w:p>
            <w:pPr>
              <w:spacing w:before="60" w:after="60"/>
              <w:jc w:val="center"/>
            </w:pPr>
            <w:r>
              <w:rPr>
                <w:rFonts w:ascii="Times New Roman" w:hAnsi="Times New Roman"/>
                <w:b w:val="0"/>
                <w:i w:val="0"/>
                <w:color w:val="2D3748"/>
                <w:sz w:val="19"/>
              </w:rPr>
              <w:t>100 / 2000</w:t>
            </w:r>
          </w:p>
        </w:tc>
        <w:tc>
          <w:tcPr>
            <w:tcW w:type="dxa" w:w="1152"/>
            <w:shd w:fill="FFFFFF"/>
          </w:tcPr>
          <w:p>
            <w:pPr>
              <w:spacing w:before="60" w:after="60"/>
              <w:jc w:val="center"/>
            </w:pPr>
            <w:r>
              <w:rPr>
                <w:rFonts w:ascii="Times New Roman" w:hAnsi="Times New Roman"/>
                <w:b w:val="0"/>
                <w:i w:val="0"/>
                <w:color w:val="2D3748"/>
                <w:sz w:val="19"/>
              </w:rPr>
              <w:t>32.48% (100)</w:t>
            </w:r>
          </w:p>
        </w:tc>
        <w:tc>
          <w:tcPr>
            <w:tcW w:type="dxa" w:w="2592"/>
            <w:shd w:fill="FFFFFF"/>
          </w:tcPr>
          <w:p>
            <w:pPr>
              <w:spacing w:before="60" w:after="60"/>
              <w:jc w:val="left"/>
            </w:pPr>
            <w:r>
              <w:rPr>
                <w:rFonts w:ascii="Times New Roman" w:hAnsi="Times New Roman"/>
                <w:b w:val="0"/>
                <w:i w:val="0"/>
                <w:color w:val="2D3748"/>
                <w:sz w:val="19"/>
              </w:rPr>
              <w:t>Heavy model (&gt;25M params); GPU-dependent; no bidirectional synthesis.</w:t>
            </w:r>
          </w:p>
        </w:tc>
      </w:tr>
      <w:tr>
        <w:tc>
          <w:tcPr>
            <w:tcW w:type="dxa" w:w="1584"/>
            <w:shd w:fill="F7FAFC"/>
          </w:tcPr>
          <w:p>
            <w:pPr>
              <w:spacing w:before="60" w:after="60"/>
              <w:jc w:val="left"/>
            </w:pPr>
            <w:r>
              <w:rPr>
                <w:rFonts w:ascii="Times New Roman" w:hAnsi="Times New Roman"/>
                <w:b/>
                <w:i w:val="0"/>
                <w:color w:val="2D3748"/>
                <w:sz w:val="19"/>
              </w:rPr>
              <w:t>Camgoz et al. (2020) [9]</w:t>
            </w:r>
          </w:p>
        </w:tc>
        <w:tc>
          <w:tcPr>
            <w:tcW w:type="dxa" w:w="1584"/>
            <w:shd w:fill="F7FAFC"/>
          </w:tcPr>
          <w:p>
            <w:pPr>
              <w:spacing w:before="60" w:after="60"/>
              <w:jc w:val="left"/>
            </w:pPr>
            <w:r>
              <w:rPr>
                <w:rFonts w:ascii="Times New Roman" w:hAnsi="Times New Roman"/>
                <w:b w:val="0"/>
                <w:i w:val="0"/>
                <w:color w:val="2D3748"/>
                <w:sz w:val="19"/>
              </w:rPr>
              <w:t>Sign Transformer</w:t>
            </w:r>
          </w:p>
        </w:tc>
        <w:tc>
          <w:tcPr>
            <w:tcW w:type="dxa" w:w="1296"/>
            <w:shd w:fill="F7FAFC"/>
          </w:tcPr>
          <w:p>
            <w:pPr>
              <w:spacing w:before="60" w:after="60"/>
              <w:jc w:val="left"/>
            </w:pPr>
            <w:r>
              <w:rPr>
                <w:rFonts w:ascii="Times New Roman" w:hAnsi="Times New Roman"/>
                <w:b w:val="0"/>
                <w:i w:val="0"/>
                <w:color w:val="2D3748"/>
                <w:sz w:val="19"/>
              </w:rPr>
              <w:t>2D CNN + Self-Attn</w:t>
            </w:r>
          </w:p>
        </w:tc>
        <w:tc>
          <w:tcPr>
            <w:tcW w:type="dxa" w:w="1152"/>
            <w:shd w:fill="F7FAFC"/>
          </w:tcPr>
          <w:p>
            <w:pPr>
              <w:spacing w:before="60" w:after="60"/>
              <w:jc w:val="center"/>
            </w:pPr>
            <w:r>
              <w:rPr>
                <w:rFonts w:ascii="Times New Roman" w:hAnsi="Times New Roman"/>
                <w:b w:val="0"/>
                <w:i w:val="0"/>
                <w:color w:val="2D3748"/>
                <w:sz w:val="19"/>
              </w:rPr>
              <w:t>Continuous</w:t>
            </w:r>
          </w:p>
        </w:tc>
        <w:tc>
          <w:tcPr>
            <w:tcW w:type="dxa" w:w="1152"/>
            <w:shd w:fill="F7FAFC"/>
          </w:tcPr>
          <w:p>
            <w:pPr>
              <w:spacing w:before="60" w:after="60"/>
              <w:jc w:val="center"/>
            </w:pPr>
            <w:r>
              <w:rPr>
                <w:rFonts w:ascii="Times New Roman" w:hAnsi="Times New Roman"/>
                <w:b w:val="0"/>
                <w:i w:val="0"/>
                <w:color w:val="2D3748"/>
                <w:sz w:val="19"/>
              </w:rPr>
              <w:t>24.5 BLEU</w:t>
            </w:r>
          </w:p>
        </w:tc>
        <w:tc>
          <w:tcPr>
            <w:tcW w:type="dxa" w:w="2592"/>
            <w:shd w:fill="F7FAFC"/>
          </w:tcPr>
          <w:p>
            <w:pPr>
              <w:spacing w:before="60" w:after="60"/>
              <w:jc w:val="left"/>
            </w:pPr>
            <w:r>
              <w:rPr>
                <w:rFonts w:ascii="Times New Roman" w:hAnsi="Times New Roman"/>
                <w:b w:val="0"/>
                <w:i w:val="0"/>
                <w:color w:val="2D3748"/>
                <w:sz w:val="19"/>
              </w:rPr>
              <w:t>Complex sequence decoder; gloss-dependent; no 3D motion rendering.</w:t>
            </w:r>
          </w:p>
        </w:tc>
      </w:tr>
      <w:tr>
        <w:tc>
          <w:tcPr>
            <w:tcW w:type="dxa" w:w="1584"/>
            <w:shd w:fill="FFFFFF"/>
          </w:tcPr>
          <w:p>
            <w:pPr>
              <w:spacing w:before="60" w:after="60"/>
              <w:jc w:val="left"/>
            </w:pPr>
            <w:r>
              <w:rPr>
                <w:rFonts w:ascii="Times New Roman" w:hAnsi="Times New Roman"/>
                <w:b/>
                <w:i w:val="0"/>
                <w:color w:val="2D3748"/>
                <w:sz w:val="19"/>
              </w:rPr>
              <w:t>Yan et al. (2018) [7]</w:t>
            </w:r>
          </w:p>
        </w:tc>
        <w:tc>
          <w:tcPr>
            <w:tcW w:type="dxa" w:w="1584"/>
            <w:shd w:fill="FFFFFF"/>
          </w:tcPr>
          <w:p>
            <w:pPr>
              <w:spacing w:before="60" w:after="60"/>
              <w:jc w:val="left"/>
            </w:pPr>
            <w:r>
              <w:rPr>
                <w:rFonts w:ascii="Times New Roman" w:hAnsi="Times New Roman"/>
                <w:b w:val="0"/>
                <w:i w:val="0"/>
                <w:color w:val="2D3748"/>
                <w:sz w:val="19"/>
              </w:rPr>
              <w:t>ST-GCN Graph Net</w:t>
            </w:r>
          </w:p>
        </w:tc>
        <w:tc>
          <w:tcPr>
            <w:tcW w:type="dxa" w:w="1296"/>
            <w:shd w:fill="FFFFFF"/>
          </w:tcPr>
          <w:p>
            <w:pPr>
              <w:spacing w:before="60" w:after="60"/>
              <w:jc w:val="left"/>
            </w:pPr>
            <w:r>
              <w:rPr>
                <w:rFonts w:ascii="Times New Roman" w:hAnsi="Times New Roman"/>
                <w:b w:val="0"/>
                <w:i w:val="0"/>
                <w:color w:val="2D3748"/>
                <w:sz w:val="19"/>
              </w:rPr>
              <w:t>Skeleton Pose</w:t>
            </w:r>
          </w:p>
        </w:tc>
        <w:tc>
          <w:tcPr>
            <w:tcW w:type="dxa" w:w="1152"/>
            <w:shd w:fill="FFFFFF"/>
          </w:tcPr>
          <w:p>
            <w:pPr>
              <w:spacing w:before="60" w:after="60"/>
              <w:jc w:val="center"/>
            </w:pPr>
            <w:r>
              <w:rPr>
                <w:rFonts w:ascii="Times New Roman" w:hAnsi="Times New Roman"/>
                <w:b w:val="0"/>
                <w:i w:val="0"/>
                <w:color w:val="2D3748"/>
                <w:sz w:val="19"/>
              </w:rPr>
              <w:t>Action (60)</w:t>
            </w:r>
          </w:p>
        </w:tc>
        <w:tc>
          <w:tcPr>
            <w:tcW w:type="dxa" w:w="1152"/>
            <w:shd w:fill="FFFFFF"/>
          </w:tcPr>
          <w:p>
            <w:pPr>
              <w:spacing w:before="60" w:after="60"/>
              <w:jc w:val="center"/>
            </w:pPr>
            <w:r>
              <w:rPr>
                <w:rFonts w:ascii="Times New Roman" w:hAnsi="Times New Roman"/>
                <w:b w:val="0"/>
                <w:i w:val="0"/>
                <w:color w:val="2D3748"/>
                <w:sz w:val="19"/>
              </w:rPr>
              <w:t>30.10% equiv.</w:t>
            </w:r>
          </w:p>
        </w:tc>
        <w:tc>
          <w:tcPr>
            <w:tcW w:type="dxa" w:w="2592"/>
            <w:shd w:fill="FFFFFF"/>
          </w:tcPr>
          <w:p>
            <w:pPr>
              <w:spacing w:before="60" w:after="60"/>
              <w:jc w:val="left"/>
            </w:pPr>
            <w:r>
              <w:rPr>
                <w:rFonts w:ascii="Times New Roman" w:hAnsi="Times New Roman"/>
                <w:b w:val="0"/>
                <w:i w:val="0"/>
                <w:color w:val="2D3748"/>
                <w:sz w:val="19"/>
              </w:rPr>
              <w:t>Graph convolution overhead; rigid topology; misses subtle finger articulators.</w:t>
            </w:r>
          </w:p>
        </w:tc>
      </w:tr>
      <w:tr>
        <w:tc>
          <w:tcPr>
            <w:tcW w:type="dxa" w:w="1584"/>
            <w:shd w:fill="F7FAFC"/>
          </w:tcPr>
          <w:p>
            <w:pPr>
              <w:spacing w:before="60" w:after="60"/>
              <w:jc w:val="left"/>
            </w:pPr>
            <w:r>
              <w:rPr>
                <w:rFonts w:ascii="Times New Roman" w:hAnsi="Times New Roman"/>
                <w:b/>
                <w:i w:val="0"/>
                <w:color w:val="2D3748"/>
                <w:sz w:val="19"/>
              </w:rPr>
              <w:t>McDonald et al. [10]</w:t>
            </w:r>
          </w:p>
        </w:tc>
        <w:tc>
          <w:tcPr>
            <w:tcW w:type="dxa" w:w="1584"/>
            <w:shd w:fill="F7FAFC"/>
          </w:tcPr>
          <w:p>
            <w:pPr>
              <w:spacing w:before="60" w:after="60"/>
              <w:jc w:val="left"/>
            </w:pPr>
            <w:r>
              <w:rPr>
                <w:rFonts w:ascii="Times New Roman" w:hAnsi="Times New Roman"/>
                <w:b w:val="0"/>
                <w:i w:val="0"/>
                <w:color w:val="2D3748"/>
                <w:sz w:val="19"/>
              </w:rPr>
              <w:t>Keyframe Interpolation</w:t>
            </w:r>
          </w:p>
        </w:tc>
        <w:tc>
          <w:tcPr>
            <w:tcW w:type="dxa" w:w="1296"/>
            <w:shd w:fill="F7FAFC"/>
          </w:tcPr>
          <w:p>
            <w:pPr>
              <w:spacing w:before="60" w:after="60"/>
              <w:jc w:val="left"/>
            </w:pPr>
            <w:r>
              <w:rPr>
                <w:rFonts w:ascii="Times New Roman" w:hAnsi="Times New Roman"/>
                <w:b w:val="0"/>
                <w:i w:val="0"/>
                <w:color w:val="2D3748"/>
                <w:sz w:val="19"/>
              </w:rPr>
              <w:t>HamNoSys Script</w:t>
            </w:r>
          </w:p>
        </w:tc>
        <w:tc>
          <w:tcPr>
            <w:tcW w:type="dxa" w:w="1152"/>
            <w:shd w:fill="F7FAFC"/>
          </w:tcPr>
          <w:p>
            <w:pPr>
              <w:spacing w:before="60" w:after="60"/>
              <w:jc w:val="center"/>
            </w:pPr>
            <w:r>
              <w:rPr>
                <w:rFonts w:ascii="Times New Roman" w:hAnsi="Times New Roman"/>
                <w:b w:val="0"/>
                <w:i w:val="0"/>
                <w:color w:val="2D3748"/>
                <w:sz w:val="19"/>
              </w:rPr>
              <w:t>N/A</w:t>
            </w:r>
          </w:p>
        </w:tc>
        <w:tc>
          <w:tcPr>
            <w:tcW w:type="dxa" w:w="1152"/>
            <w:shd w:fill="F7FAFC"/>
          </w:tcPr>
          <w:p>
            <w:pPr>
              <w:spacing w:before="60" w:after="60"/>
              <w:jc w:val="center"/>
            </w:pPr>
            <w:r>
              <w:rPr>
                <w:rFonts w:ascii="Times New Roman" w:hAnsi="Times New Roman"/>
                <w:b w:val="0"/>
                <w:i w:val="0"/>
                <w:color w:val="2D3748"/>
                <w:sz w:val="19"/>
              </w:rPr>
              <w:t>N/A</w:t>
            </w:r>
          </w:p>
        </w:tc>
        <w:tc>
          <w:tcPr>
            <w:tcW w:type="dxa" w:w="2592"/>
            <w:shd w:fill="F7FAFC"/>
          </w:tcPr>
          <w:p>
            <w:pPr>
              <w:spacing w:before="60" w:after="60"/>
              <w:jc w:val="left"/>
            </w:pPr>
            <w:r>
              <w:rPr>
                <w:rFonts w:ascii="Times New Roman" w:hAnsi="Times New Roman"/>
                <w:b w:val="0"/>
                <w:i w:val="0"/>
                <w:color w:val="2D3748"/>
                <w:sz w:val="19"/>
              </w:rPr>
              <w:t>Robotic popping between signs; lacks machine learning perception.</w:t>
            </w:r>
          </w:p>
        </w:tc>
      </w:tr>
      <w:tr>
        <w:tc>
          <w:tcPr>
            <w:tcW w:type="dxa" w:w="1584"/>
            <w:shd w:fill="FFFFFF"/>
          </w:tcPr>
          <w:p>
            <w:pPr>
              <w:spacing w:before="60" w:after="60"/>
              <w:jc w:val="left"/>
            </w:pPr>
            <w:r>
              <w:rPr>
                <w:rFonts w:ascii="Times New Roman" w:hAnsi="Times New Roman"/>
                <w:b/>
                <w:i w:val="0"/>
                <w:color w:val="2D3748"/>
                <w:sz w:val="19"/>
              </w:rPr>
              <w:t>Proposed Work (OmniSign 3D)</w:t>
            </w:r>
          </w:p>
        </w:tc>
        <w:tc>
          <w:tcPr>
            <w:tcW w:type="dxa" w:w="1584"/>
            <w:shd w:fill="FFFFFF"/>
          </w:tcPr>
          <w:p>
            <w:pPr>
              <w:spacing w:before="60" w:after="60"/>
              <w:jc w:val="left"/>
            </w:pPr>
            <w:r>
              <w:rPr>
                <w:rFonts w:ascii="Times New Roman" w:hAnsi="Times New Roman"/>
                <w:b/>
                <w:i w:val="0"/>
                <w:color w:val="2D3748"/>
                <w:sz w:val="19"/>
              </w:rPr>
              <w:t>Spatial-Temporal Transf. + BiLSTM Ensemble</w:t>
            </w:r>
          </w:p>
        </w:tc>
        <w:tc>
          <w:tcPr>
            <w:tcW w:type="dxa" w:w="1296"/>
            <w:shd w:fill="FFFFFF"/>
          </w:tcPr>
          <w:p>
            <w:pPr>
              <w:spacing w:before="60" w:after="60"/>
              <w:jc w:val="left"/>
            </w:pPr>
            <w:r>
              <w:rPr>
                <w:rFonts w:ascii="Times New Roman" w:hAnsi="Times New Roman"/>
                <w:b w:val="0"/>
                <w:i w:val="0"/>
                <w:color w:val="2D3748"/>
                <w:sz w:val="19"/>
              </w:rPr>
              <w:t>225-Point Normalized Holistic Landmarks</w:t>
            </w:r>
          </w:p>
        </w:tc>
        <w:tc>
          <w:tcPr>
            <w:tcW w:type="dxa" w:w="1152"/>
            <w:shd w:fill="FFFFFF"/>
          </w:tcPr>
          <w:p>
            <w:pPr>
              <w:spacing w:before="60" w:after="60"/>
              <w:jc w:val="center"/>
            </w:pPr>
            <w:r>
              <w:rPr>
                <w:rFonts w:ascii="Times New Roman" w:hAnsi="Times New Roman"/>
                <w:b w:val="0"/>
                <w:i w:val="0"/>
                <w:color w:val="2D3748"/>
                <w:sz w:val="19"/>
              </w:rPr>
              <w:t>100 (Model) / 2000 (3D Rig)</w:t>
            </w:r>
          </w:p>
        </w:tc>
        <w:tc>
          <w:tcPr>
            <w:tcW w:type="dxa" w:w="1152"/>
            <w:shd w:fill="FFFFFF"/>
          </w:tcPr>
          <w:p>
            <w:pPr>
              <w:spacing w:before="60" w:after="60"/>
              <w:jc w:val="center"/>
            </w:pPr>
            <w:r>
              <w:rPr>
                <w:rFonts w:ascii="Times New Roman" w:hAnsi="Times New Roman"/>
                <w:b w:val="0"/>
                <w:i w:val="0"/>
                <w:color w:val="2D3748"/>
                <w:sz w:val="19"/>
              </w:rPr>
              <w:t>34.88% (Top-1)</w:t>
              <w:br/>
              <w:t>67.83% (Top-5)</w:t>
            </w:r>
          </w:p>
        </w:tc>
        <w:tc>
          <w:tcPr>
            <w:tcW w:type="dxa" w:w="2592"/>
            <w:shd w:fill="FFFFFF"/>
          </w:tcPr>
          <w:p>
            <w:pPr>
              <w:spacing w:before="60" w:after="60"/>
              <w:jc w:val="left"/>
            </w:pPr>
            <w:r>
              <w:rPr>
                <w:rFonts w:ascii="Times New Roman" w:hAnsi="Times New Roman"/>
                <w:b w:val="0"/>
                <w:i w:val="0"/>
                <w:color w:val="2D3748"/>
                <w:sz w:val="19"/>
              </w:rPr>
              <w:t>Requires clear upper-body visibility; addressed via CPU latency of 78.4 ms.</w:t>
            </w:r>
          </w:p>
        </w:tc>
      </w:tr>
    </w:tbl>
    <w:p>
      <w:pPr>
        <w:spacing w:after="160" w:line="276" w:lineRule="auto"/>
        <w:jc w:val="both"/>
      </w:pPr>
      <w:r>
        <w:rPr>
          <w:rFonts w:ascii="Times New Roman" w:hAnsi="Times New Roman"/>
          <w:b/>
          <w:i w:val="0"/>
          <w:color w:val="2D3748"/>
          <w:sz w:val="22"/>
        </w:rPr>
        <w:t xml:space="preserve">Identified Research Gap: </w:t>
      </w:r>
      <w:r>
        <w:rPr>
          <w:rFonts w:ascii="Times New Roman" w:hAnsi="Times New Roman"/>
          <w:b w:val="0"/>
          <w:i w:val="0"/>
          <w:color w:val="2D3748"/>
          <w:sz w:val="22"/>
        </w:rPr>
        <w:t>Research Gap: Existing literature reveals an acute gap between high-accuracy raw-video models that are too computationally demanding for real-time edge use, and lightweight avatar synthesizers that lack continuous perception or natural transition kinematics. Furthermore, no existing system bridges two-way communication by combining live camera inference, batch video transcription, grammatical natural English formulation, and 100% coverage of the WLASL-2000 vocabulary on an interactive 3D cartoon avatar running entirely in client-server web environments.</w:t>
      </w:r>
    </w:p>
    <w:p>
      <w:pPr>
        <w:keepNext/>
        <w:spacing w:before="280" w:after="80"/>
      </w:pPr>
      <w:r>
        <w:rPr>
          <w:rFonts w:ascii="Times New Roman" w:hAnsi="Times New Roman"/>
          <w:b/>
          <w:i w:val="0"/>
          <w:color w:val="1A365D"/>
          <w:sz w:val="26"/>
        </w:rPr>
        <w:t>6. Methodology</w:t>
      </w:r>
    </w:p>
    <w:p>
      <w:pPr>
        <w:spacing w:after="120" w:line="276" w:lineRule="auto"/>
        <w:jc w:val="both"/>
      </w:pPr>
      <w:r>
        <w:rPr>
          <w:rFonts w:ascii="Times New Roman" w:hAnsi="Times New Roman"/>
          <w:b w:val="0"/>
          <w:i w:val="0"/>
          <w:color w:val="2D3748"/>
          <w:sz w:val="22"/>
        </w:rPr>
        <w:t>The OmniSign 3D system architecture operates across four tightly integrated pipelines: (1) In-Browser Geometric Perception, (2) Coordinate Invariant Normalization, (3) Dual Neural Ensemble Inference, and (4) Bidirectional Kinematic Synthesis with NLP Sentence Formulation. Figure 1 illustrates the comprehensive end-to-end operational workflow.</w:t>
      </w:r>
    </w:p>
    <w:p>
      <w:pPr>
        <w:spacing w:before="160" w:after="40"/>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fig1_system_workflow.png"/>
                    <pic:cNvPicPr/>
                  </pic:nvPicPr>
                  <pic:blipFill>
                    <a:blip r:embed="rId9"/>
                    <a:stretch>
                      <a:fillRect/>
                    </a:stretch>
                  </pic:blipFill>
                  <pic:spPr>
                    <a:xfrm>
                      <a:off x="0" y="0"/>
                      <a:ext cx="5669280" cy="3049025"/>
                    </a:xfrm>
                    <a:prstGeom prst="rect"/>
                  </pic:spPr>
                </pic:pic>
              </a:graphicData>
            </a:graphic>
          </wp:inline>
        </w:drawing>
      </w:r>
    </w:p>
    <w:p>
      <w:pPr>
        <w:spacing w:before="40" w:after="160"/>
        <w:jc w:val="center"/>
      </w:pPr>
      <w:r>
        <w:rPr>
          <w:rFonts w:ascii="Times New Roman" w:hAnsi="Times New Roman"/>
          <w:b w:val="0"/>
          <w:i/>
          <w:color w:val="718096"/>
          <w:sz w:val="19"/>
        </w:rPr>
        <w:t>Figure 1: End-to-End System Architecture and Operational Workflow of OmniSign 3D.</w:t>
      </w:r>
    </w:p>
    <w:p>
      <w:pPr>
        <w:keepNext/>
        <w:spacing w:before="200" w:after="60"/>
      </w:pPr>
      <w:r>
        <w:rPr>
          <w:rFonts w:ascii="Times New Roman" w:hAnsi="Times New Roman"/>
          <w:b/>
          <w:i w:val="0"/>
          <w:color w:val="2B6CB0"/>
          <w:sz w:val="23"/>
        </w:rPr>
        <w:t>Dataset Description &amp; Partitioning</w:t>
      </w:r>
    </w:p>
    <w:p>
      <w:pPr>
        <w:spacing w:after="120" w:line="276" w:lineRule="auto"/>
        <w:jc w:val="both"/>
      </w:pPr>
      <w:r>
        <w:rPr>
          <w:rFonts w:ascii="Times New Roman" w:hAnsi="Times New Roman"/>
          <w:b w:val="0"/>
          <w:i w:val="0"/>
          <w:color w:val="2D3748"/>
          <w:sz w:val="22"/>
        </w:rPr>
        <w:t>We utilize the official World-Level American Sign Language (WLASL v0.3) dataset [1], the largest publicly available video benchmark for word-level ASL. WLASL features natural sign demonstrations collected from YouTube, Vimeo, and American sign language dictionaries across 119 distinct signers. For model training and statistical evaluation, we adopt the standard WLASL-100 benchmark containing 100 common daily glosses across 2,038 video samples. For the 3D kinematic synthesis engine, we process and convert the entire WLASL-2000 vocabulary (2,000 signs, 21,083 clips) into standardized 60-frame kinematic trajectories. Dataset partitioning strictly follows the official 70% training, 15% validation, and 15% testing split distribution as detailed in Table 2.</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872"/>
        <w:gridCol w:w="1872"/>
        <w:gridCol w:w="1872"/>
        <w:gridCol w:w="1872"/>
        <w:gridCol w:w="1872"/>
      </w:tblGrid>
      <w:tr>
        <w:tc>
          <w:tcPr>
            <w:tcW w:type="dxa" w:w="2592"/>
            <w:shd w:fill="1A365D"/>
          </w:tcPr>
          <w:p>
            <w:pPr>
              <w:spacing w:before="80" w:after="80"/>
              <w:jc w:val="center"/>
            </w:pPr>
            <w:r>
              <w:rPr>
                <w:rFonts w:ascii="Times New Roman" w:hAnsi="Times New Roman"/>
                <w:b/>
                <w:i w:val="0"/>
                <w:color w:val="FFFFFF"/>
                <w:sz w:val="20"/>
              </w:rPr>
              <w:t>Subset / Split</w:t>
            </w:r>
          </w:p>
        </w:tc>
        <w:tc>
          <w:tcPr>
            <w:tcW w:type="dxa" w:w="1584"/>
            <w:shd w:fill="1A365D"/>
          </w:tcPr>
          <w:p>
            <w:pPr>
              <w:spacing w:before="80" w:after="80"/>
              <w:jc w:val="center"/>
            </w:pPr>
            <w:r>
              <w:rPr>
                <w:rFonts w:ascii="Times New Roman" w:hAnsi="Times New Roman"/>
                <w:b/>
                <w:i w:val="0"/>
                <w:color w:val="FFFFFF"/>
                <w:sz w:val="20"/>
              </w:rPr>
              <w:t>Number of Signs</w:t>
            </w:r>
          </w:p>
        </w:tc>
        <w:tc>
          <w:tcPr>
            <w:tcW w:type="dxa" w:w="1584"/>
            <w:shd w:fill="1A365D"/>
          </w:tcPr>
          <w:p>
            <w:pPr>
              <w:spacing w:before="80" w:after="80"/>
              <w:jc w:val="center"/>
            </w:pPr>
            <w:r>
              <w:rPr>
                <w:rFonts w:ascii="Times New Roman" w:hAnsi="Times New Roman"/>
                <w:b/>
                <w:i w:val="0"/>
                <w:color w:val="FFFFFF"/>
                <w:sz w:val="20"/>
              </w:rPr>
              <w:t>Training Samples</w:t>
            </w:r>
          </w:p>
        </w:tc>
        <w:tc>
          <w:tcPr>
            <w:tcW w:type="dxa" w:w="1584"/>
            <w:shd w:fill="1A365D"/>
          </w:tcPr>
          <w:p>
            <w:pPr>
              <w:spacing w:before="80" w:after="80"/>
              <w:jc w:val="center"/>
            </w:pPr>
            <w:r>
              <w:rPr>
                <w:rFonts w:ascii="Times New Roman" w:hAnsi="Times New Roman"/>
                <w:b/>
                <w:i w:val="0"/>
                <w:color w:val="FFFFFF"/>
                <w:sz w:val="20"/>
              </w:rPr>
              <w:t>Validation Samples</w:t>
            </w:r>
          </w:p>
        </w:tc>
        <w:tc>
          <w:tcPr>
            <w:tcW w:type="dxa" w:w="1584"/>
            <w:shd w:fill="1A365D"/>
          </w:tcPr>
          <w:p>
            <w:pPr>
              <w:spacing w:before="80" w:after="80"/>
              <w:jc w:val="center"/>
            </w:pPr>
            <w:r>
              <w:rPr>
                <w:rFonts w:ascii="Times New Roman" w:hAnsi="Times New Roman"/>
                <w:b/>
                <w:i w:val="0"/>
                <w:color w:val="FFFFFF"/>
                <w:sz w:val="20"/>
              </w:rPr>
              <w:t>Testing Samples</w:t>
            </w:r>
          </w:p>
        </w:tc>
      </w:tr>
      <w:tr>
        <w:tc>
          <w:tcPr>
            <w:tcW w:type="dxa" w:w="2592"/>
            <w:shd w:fill="FFFFFF"/>
          </w:tcPr>
          <w:p>
            <w:pPr>
              <w:spacing w:before="60" w:after="60"/>
              <w:jc w:val="left"/>
            </w:pPr>
            <w:r>
              <w:rPr>
                <w:rFonts w:ascii="Times New Roman" w:hAnsi="Times New Roman"/>
                <w:b/>
                <w:i w:val="0"/>
                <w:color w:val="2D3748"/>
                <w:sz w:val="19"/>
              </w:rPr>
              <w:t>WLASL-100 (ML Benchmark)</w:t>
            </w:r>
          </w:p>
        </w:tc>
        <w:tc>
          <w:tcPr>
            <w:tcW w:type="dxa" w:w="1584"/>
            <w:shd w:fill="FFFFFF"/>
          </w:tcPr>
          <w:p>
            <w:pPr>
              <w:spacing w:before="60" w:after="60"/>
              <w:jc w:val="center"/>
            </w:pPr>
            <w:r>
              <w:rPr>
                <w:rFonts w:ascii="Times New Roman" w:hAnsi="Times New Roman"/>
                <w:b w:val="0"/>
                <w:i w:val="0"/>
                <w:color w:val="2D3748"/>
                <w:sz w:val="19"/>
              </w:rPr>
              <w:t>100</w:t>
            </w:r>
          </w:p>
        </w:tc>
        <w:tc>
          <w:tcPr>
            <w:tcW w:type="dxa" w:w="1584"/>
            <w:shd w:fill="FFFFFF"/>
          </w:tcPr>
          <w:p>
            <w:pPr>
              <w:spacing w:before="60" w:after="60"/>
              <w:jc w:val="center"/>
            </w:pPr>
            <w:r>
              <w:rPr>
                <w:rFonts w:ascii="Times New Roman" w:hAnsi="Times New Roman"/>
                <w:b w:val="0"/>
                <w:i w:val="0"/>
                <w:color w:val="2D3748"/>
                <w:sz w:val="19"/>
              </w:rPr>
              <w:t>1,426 (70.0%)</w:t>
            </w:r>
          </w:p>
        </w:tc>
        <w:tc>
          <w:tcPr>
            <w:tcW w:type="dxa" w:w="1584"/>
            <w:shd w:fill="FFFFFF"/>
          </w:tcPr>
          <w:p>
            <w:pPr>
              <w:spacing w:before="60" w:after="60"/>
              <w:jc w:val="center"/>
            </w:pPr>
            <w:r>
              <w:rPr>
                <w:rFonts w:ascii="Times New Roman" w:hAnsi="Times New Roman"/>
                <w:b w:val="0"/>
                <w:i w:val="0"/>
                <w:color w:val="2D3748"/>
                <w:sz w:val="19"/>
              </w:rPr>
              <w:t>296 (14.5%)</w:t>
            </w:r>
          </w:p>
        </w:tc>
        <w:tc>
          <w:tcPr>
            <w:tcW w:type="dxa" w:w="1584"/>
            <w:shd w:fill="FFFFFF"/>
          </w:tcPr>
          <w:p>
            <w:pPr>
              <w:spacing w:before="60" w:after="60"/>
              <w:jc w:val="center"/>
            </w:pPr>
            <w:r>
              <w:rPr>
                <w:rFonts w:ascii="Times New Roman" w:hAnsi="Times New Roman"/>
                <w:b w:val="0"/>
                <w:i w:val="0"/>
                <w:color w:val="2D3748"/>
                <w:sz w:val="19"/>
              </w:rPr>
              <w:t>316 (15.5%)</w:t>
            </w:r>
          </w:p>
        </w:tc>
      </w:tr>
      <w:tr>
        <w:tc>
          <w:tcPr>
            <w:tcW w:type="dxa" w:w="2592"/>
            <w:shd w:fill="F7FAFC"/>
          </w:tcPr>
          <w:p>
            <w:pPr>
              <w:spacing w:before="60" w:after="60"/>
              <w:jc w:val="left"/>
            </w:pPr>
            <w:r>
              <w:rPr>
                <w:rFonts w:ascii="Times New Roman" w:hAnsi="Times New Roman"/>
                <w:b/>
                <w:i w:val="0"/>
                <w:color w:val="2D3748"/>
                <w:sz w:val="19"/>
              </w:rPr>
              <w:t>WLASL-300 (Intermediate)</w:t>
            </w:r>
          </w:p>
        </w:tc>
        <w:tc>
          <w:tcPr>
            <w:tcW w:type="dxa" w:w="1584"/>
            <w:shd w:fill="F7FAFC"/>
          </w:tcPr>
          <w:p>
            <w:pPr>
              <w:spacing w:before="60" w:after="60"/>
              <w:jc w:val="center"/>
            </w:pPr>
            <w:r>
              <w:rPr>
                <w:rFonts w:ascii="Times New Roman" w:hAnsi="Times New Roman"/>
                <w:b w:val="0"/>
                <w:i w:val="0"/>
                <w:color w:val="2D3748"/>
                <w:sz w:val="19"/>
              </w:rPr>
              <w:t>300</w:t>
            </w:r>
          </w:p>
        </w:tc>
        <w:tc>
          <w:tcPr>
            <w:tcW w:type="dxa" w:w="1584"/>
            <w:shd w:fill="F7FAFC"/>
          </w:tcPr>
          <w:p>
            <w:pPr>
              <w:spacing w:before="60" w:after="60"/>
              <w:jc w:val="center"/>
            </w:pPr>
            <w:r>
              <w:rPr>
                <w:rFonts w:ascii="Times New Roman" w:hAnsi="Times New Roman"/>
                <w:b w:val="0"/>
                <w:i w:val="0"/>
                <w:color w:val="2D3748"/>
                <w:sz w:val="19"/>
              </w:rPr>
              <w:t>3,822 (70.1%)</w:t>
            </w:r>
          </w:p>
        </w:tc>
        <w:tc>
          <w:tcPr>
            <w:tcW w:type="dxa" w:w="1584"/>
            <w:shd w:fill="F7FAFC"/>
          </w:tcPr>
          <w:p>
            <w:pPr>
              <w:spacing w:before="60" w:after="60"/>
              <w:jc w:val="center"/>
            </w:pPr>
            <w:r>
              <w:rPr>
                <w:rFonts w:ascii="Times New Roman" w:hAnsi="Times New Roman"/>
                <w:b w:val="0"/>
                <w:i w:val="0"/>
                <w:color w:val="2D3748"/>
                <w:sz w:val="19"/>
              </w:rPr>
              <w:t>812 (14.9%)</w:t>
            </w:r>
          </w:p>
        </w:tc>
        <w:tc>
          <w:tcPr>
            <w:tcW w:type="dxa" w:w="1584"/>
            <w:shd w:fill="F7FAFC"/>
          </w:tcPr>
          <w:p>
            <w:pPr>
              <w:spacing w:before="60" w:after="60"/>
              <w:jc w:val="center"/>
            </w:pPr>
            <w:r>
              <w:rPr>
                <w:rFonts w:ascii="Times New Roman" w:hAnsi="Times New Roman"/>
                <w:b w:val="0"/>
                <w:i w:val="0"/>
                <w:color w:val="2D3748"/>
                <w:sz w:val="19"/>
              </w:rPr>
              <w:t>819 (15.0%)</w:t>
            </w:r>
          </w:p>
        </w:tc>
      </w:tr>
      <w:tr>
        <w:tc>
          <w:tcPr>
            <w:tcW w:type="dxa" w:w="2592"/>
            <w:shd w:fill="FFFFFF"/>
          </w:tcPr>
          <w:p>
            <w:pPr>
              <w:spacing w:before="60" w:after="60"/>
              <w:jc w:val="left"/>
            </w:pPr>
            <w:r>
              <w:rPr>
                <w:rFonts w:ascii="Times New Roman" w:hAnsi="Times New Roman"/>
                <w:b/>
                <w:i w:val="0"/>
                <w:color w:val="2D3748"/>
                <w:sz w:val="19"/>
              </w:rPr>
              <w:t>WLASL-2000 (Full Kinematic)</w:t>
            </w:r>
          </w:p>
        </w:tc>
        <w:tc>
          <w:tcPr>
            <w:tcW w:type="dxa" w:w="1584"/>
            <w:shd w:fill="FFFFFF"/>
          </w:tcPr>
          <w:p>
            <w:pPr>
              <w:spacing w:before="60" w:after="60"/>
              <w:jc w:val="center"/>
            </w:pPr>
            <w:r>
              <w:rPr>
                <w:rFonts w:ascii="Times New Roman" w:hAnsi="Times New Roman"/>
                <w:b w:val="0"/>
                <w:i w:val="0"/>
                <w:color w:val="2D3748"/>
                <w:sz w:val="19"/>
              </w:rPr>
              <w:t>2,000</w:t>
            </w:r>
          </w:p>
        </w:tc>
        <w:tc>
          <w:tcPr>
            <w:tcW w:type="dxa" w:w="1584"/>
            <w:shd w:fill="FFFFFF"/>
          </w:tcPr>
          <w:p>
            <w:pPr>
              <w:spacing w:before="60" w:after="60"/>
              <w:jc w:val="center"/>
            </w:pPr>
            <w:r>
              <w:rPr>
                <w:rFonts w:ascii="Times New Roman" w:hAnsi="Times New Roman"/>
                <w:b w:val="0"/>
                <w:i w:val="0"/>
                <w:color w:val="2D3748"/>
                <w:sz w:val="19"/>
              </w:rPr>
              <w:t>14,758 (70.0%)</w:t>
            </w:r>
          </w:p>
        </w:tc>
        <w:tc>
          <w:tcPr>
            <w:tcW w:type="dxa" w:w="1584"/>
            <w:shd w:fill="FFFFFF"/>
          </w:tcPr>
          <w:p>
            <w:pPr>
              <w:spacing w:before="60" w:after="60"/>
              <w:jc w:val="center"/>
            </w:pPr>
            <w:r>
              <w:rPr>
                <w:rFonts w:ascii="Times New Roman" w:hAnsi="Times New Roman"/>
                <w:b w:val="0"/>
                <w:i w:val="0"/>
                <w:color w:val="2D3748"/>
                <w:sz w:val="19"/>
              </w:rPr>
              <w:t>3,162 (15.0%)</w:t>
            </w:r>
          </w:p>
        </w:tc>
        <w:tc>
          <w:tcPr>
            <w:tcW w:type="dxa" w:w="1584"/>
            <w:shd w:fill="FFFFFF"/>
          </w:tcPr>
          <w:p>
            <w:pPr>
              <w:spacing w:before="60" w:after="60"/>
              <w:jc w:val="center"/>
            </w:pPr>
            <w:r>
              <w:rPr>
                <w:rFonts w:ascii="Times New Roman" w:hAnsi="Times New Roman"/>
                <w:b w:val="0"/>
                <w:i w:val="0"/>
                <w:color w:val="2D3748"/>
                <w:sz w:val="19"/>
              </w:rPr>
              <w:t>3,163 (15.0%)</w:t>
            </w:r>
          </w:p>
        </w:tc>
      </w:tr>
    </w:tbl>
    <w:p>
      <w:pPr>
        <w:keepNext/>
        <w:spacing w:before="200" w:after="60"/>
      </w:pPr>
      <w:r>
        <w:rPr>
          <w:rFonts w:ascii="Times New Roman" w:hAnsi="Times New Roman"/>
          <w:b/>
          <w:i w:val="0"/>
          <w:color w:val="2B6CB0"/>
          <w:sz w:val="23"/>
        </w:rPr>
        <w:t>Pre-processing &amp; 225-Point Feature Vector Engineering</w:t>
      </w:r>
    </w:p>
    <w:p>
      <w:pPr>
        <w:spacing w:after="120" w:line="276" w:lineRule="auto"/>
        <w:jc w:val="both"/>
      </w:pPr>
      <w:r>
        <w:rPr>
          <w:rFonts w:ascii="Times New Roman" w:hAnsi="Times New Roman"/>
          <w:b w:val="0"/>
          <w:i w:val="0"/>
          <w:color w:val="2D3748"/>
          <w:sz w:val="22"/>
        </w:rPr>
        <w:t>Raw video frames are sampled at 30 FPS and passed through MediaPipe Holistic to extract 3D Cartesian coordinates (x, y, z). To maximize semantic density while discarding redundant parameters, we extract 75 landmarks across four anatomical regions, producing a 225-dimensional vector per frame:</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2340"/>
        <w:gridCol w:w="2340"/>
        <w:gridCol w:w="2340"/>
        <w:gridCol w:w="2340"/>
      </w:tblGrid>
      <w:tr>
        <w:tc>
          <w:tcPr>
            <w:tcW w:type="dxa" w:w="3168"/>
            <w:shd w:fill="1A365D"/>
          </w:tcPr>
          <w:p>
            <w:pPr>
              <w:spacing w:before="80" w:after="80"/>
              <w:jc w:val="center"/>
            </w:pPr>
            <w:r>
              <w:rPr>
                <w:rFonts w:ascii="Times New Roman" w:hAnsi="Times New Roman"/>
                <w:b/>
                <w:i w:val="0"/>
                <w:color w:val="FFFFFF"/>
                <w:sz w:val="20"/>
              </w:rPr>
              <w:t>Anatomical Region</w:t>
            </w:r>
          </w:p>
        </w:tc>
        <w:tc>
          <w:tcPr>
            <w:tcW w:type="dxa" w:w="1872"/>
            <w:shd w:fill="1A365D"/>
          </w:tcPr>
          <w:p>
            <w:pPr>
              <w:spacing w:before="80" w:after="80"/>
              <w:jc w:val="center"/>
            </w:pPr>
            <w:r>
              <w:rPr>
                <w:rFonts w:ascii="Times New Roman" w:hAnsi="Times New Roman"/>
                <w:b/>
                <w:i w:val="0"/>
                <w:color w:val="FFFFFF"/>
                <w:sz w:val="20"/>
              </w:rPr>
              <w:t>Keypoint Count</w:t>
            </w:r>
          </w:p>
        </w:tc>
        <w:tc>
          <w:tcPr>
            <w:tcW w:type="dxa" w:w="1872"/>
            <w:shd w:fill="1A365D"/>
          </w:tcPr>
          <w:p>
            <w:pPr>
              <w:spacing w:before="80" w:after="80"/>
              <w:jc w:val="center"/>
            </w:pPr>
            <w:r>
              <w:rPr>
                <w:rFonts w:ascii="Times New Roman" w:hAnsi="Times New Roman"/>
                <w:b/>
                <w:i w:val="0"/>
                <w:color w:val="FFFFFF"/>
                <w:sz w:val="20"/>
              </w:rPr>
              <w:t>Coordinates</w:t>
            </w:r>
          </w:p>
        </w:tc>
        <w:tc>
          <w:tcPr>
            <w:tcW w:type="dxa" w:w="2016"/>
            <w:shd w:fill="1A365D"/>
          </w:tcPr>
          <w:p>
            <w:pPr>
              <w:spacing w:before="80" w:after="80"/>
              <w:jc w:val="center"/>
            </w:pPr>
            <w:r>
              <w:rPr>
                <w:rFonts w:ascii="Times New Roman" w:hAnsi="Times New Roman"/>
                <w:b/>
                <w:i w:val="0"/>
                <w:color w:val="FFFFFF"/>
                <w:sz w:val="20"/>
              </w:rPr>
              <w:t>Feature Dimensions</w:t>
            </w:r>
          </w:p>
        </w:tc>
      </w:tr>
      <w:tr>
        <w:tc>
          <w:tcPr>
            <w:tcW w:type="dxa" w:w="3168"/>
            <w:shd w:fill="FFFFFF"/>
          </w:tcPr>
          <w:p>
            <w:pPr>
              <w:spacing w:before="60" w:after="60"/>
              <w:jc w:val="left"/>
            </w:pPr>
            <w:r>
              <w:rPr>
                <w:rFonts w:ascii="Times New Roman" w:hAnsi="Times New Roman"/>
                <w:b/>
                <w:i w:val="0"/>
                <w:color w:val="2D3748"/>
                <w:sz w:val="19"/>
              </w:rPr>
              <w:t>Upper Body Pose Skeleton</w:t>
            </w:r>
          </w:p>
        </w:tc>
        <w:tc>
          <w:tcPr>
            <w:tcW w:type="dxa" w:w="1872"/>
            <w:shd w:fill="FFFFFF"/>
          </w:tcPr>
          <w:p>
            <w:pPr>
              <w:spacing w:before="60" w:after="60"/>
              <w:jc w:val="center"/>
            </w:pPr>
            <w:r>
              <w:rPr>
                <w:rFonts w:ascii="Times New Roman" w:hAnsi="Times New Roman"/>
                <w:b w:val="0"/>
                <w:i w:val="0"/>
                <w:color w:val="2D3748"/>
                <w:sz w:val="19"/>
              </w:rPr>
              <w:t>25 landmarks</w:t>
            </w:r>
          </w:p>
        </w:tc>
        <w:tc>
          <w:tcPr>
            <w:tcW w:type="dxa" w:w="1872"/>
            <w:shd w:fill="FFFFFF"/>
          </w:tcPr>
          <w:p>
            <w:pPr>
              <w:spacing w:before="60" w:after="60"/>
              <w:jc w:val="center"/>
            </w:pPr>
            <w:r>
              <w:rPr>
                <w:rFonts w:ascii="Times New Roman" w:hAnsi="Times New Roman"/>
                <w:b w:val="0"/>
                <w:i w:val="0"/>
                <w:color w:val="2D3748"/>
                <w:sz w:val="19"/>
              </w:rPr>
              <w:t>(x, y, z)</w:t>
            </w:r>
          </w:p>
        </w:tc>
        <w:tc>
          <w:tcPr>
            <w:tcW w:type="dxa" w:w="2016"/>
            <w:shd w:fill="FFFFFF"/>
          </w:tcPr>
          <w:p>
            <w:pPr>
              <w:spacing w:before="60" w:after="60"/>
              <w:jc w:val="center"/>
            </w:pPr>
            <w:r>
              <w:rPr>
                <w:rFonts w:ascii="Times New Roman" w:hAnsi="Times New Roman"/>
                <w:b w:val="0"/>
                <w:i w:val="0"/>
                <w:color w:val="2D3748"/>
                <w:sz w:val="19"/>
              </w:rPr>
              <w:t>75 dimensions</w:t>
            </w:r>
          </w:p>
        </w:tc>
      </w:tr>
      <w:tr>
        <w:tc>
          <w:tcPr>
            <w:tcW w:type="dxa" w:w="3168"/>
            <w:shd w:fill="F7FAFC"/>
          </w:tcPr>
          <w:p>
            <w:pPr>
              <w:spacing w:before="60" w:after="60"/>
              <w:jc w:val="left"/>
            </w:pPr>
            <w:r>
              <w:rPr>
                <w:rFonts w:ascii="Times New Roman" w:hAnsi="Times New Roman"/>
                <w:b/>
                <w:i w:val="0"/>
                <w:color w:val="2D3748"/>
                <w:sz w:val="19"/>
              </w:rPr>
              <w:t>Left Hand Articulation</w:t>
            </w:r>
          </w:p>
        </w:tc>
        <w:tc>
          <w:tcPr>
            <w:tcW w:type="dxa" w:w="1872"/>
            <w:shd w:fill="F7FAFC"/>
          </w:tcPr>
          <w:p>
            <w:pPr>
              <w:spacing w:before="60" w:after="60"/>
              <w:jc w:val="center"/>
            </w:pPr>
            <w:r>
              <w:rPr>
                <w:rFonts w:ascii="Times New Roman" w:hAnsi="Times New Roman"/>
                <w:b w:val="0"/>
                <w:i w:val="0"/>
                <w:color w:val="2D3748"/>
                <w:sz w:val="19"/>
              </w:rPr>
              <w:t>21 landmarks</w:t>
            </w:r>
          </w:p>
        </w:tc>
        <w:tc>
          <w:tcPr>
            <w:tcW w:type="dxa" w:w="1872"/>
            <w:shd w:fill="F7FAFC"/>
          </w:tcPr>
          <w:p>
            <w:pPr>
              <w:spacing w:before="60" w:after="60"/>
              <w:jc w:val="center"/>
            </w:pPr>
            <w:r>
              <w:rPr>
                <w:rFonts w:ascii="Times New Roman" w:hAnsi="Times New Roman"/>
                <w:b w:val="0"/>
                <w:i w:val="0"/>
                <w:color w:val="2D3748"/>
                <w:sz w:val="19"/>
              </w:rPr>
              <w:t>(x, y, z)</w:t>
            </w:r>
          </w:p>
        </w:tc>
        <w:tc>
          <w:tcPr>
            <w:tcW w:type="dxa" w:w="2016"/>
            <w:shd w:fill="F7FAFC"/>
          </w:tcPr>
          <w:p>
            <w:pPr>
              <w:spacing w:before="60" w:after="60"/>
              <w:jc w:val="center"/>
            </w:pPr>
            <w:r>
              <w:rPr>
                <w:rFonts w:ascii="Times New Roman" w:hAnsi="Times New Roman"/>
                <w:b w:val="0"/>
                <w:i w:val="0"/>
                <w:color w:val="2D3748"/>
                <w:sz w:val="19"/>
              </w:rPr>
              <w:t>63 dimensions</w:t>
            </w:r>
          </w:p>
        </w:tc>
      </w:tr>
      <w:tr>
        <w:tc>
          <w:tcPr>
            <w:tcW w:type="dxa" w:w="3168"/>
            <w:shd w:fill="FFFFFF"/>
          </w:tcPr>
          <w:p>
            <w:pPr>
              <w:spacing w:before="60" w:after="60"/>
              <w:jc w:val="left"/>
            </w:pPr>
            <w:r>
              <w:rPr>
                <w:rFonts w:ascii="Times New Roman" w:hAnsi="Times New Roman"/>
                <w:b/>
                <w:i w:val="0"/>
                <w:color w:val="2D3748"/>
                <w:sz w:val="19"/>
              </w:rPr>
              <w:t>Right Hand Articulation</w:t>
            </w:r>
          </w:p>
        </w:tc>
        <w:tc>
          <w:tcPr>
            <w:tcW w:type="dxa" w:w="1872"/>
            <w:shd w:fill="FFFFFF"/>
          </w:tcPr>
          <w:p>
            <w:pPr>
              <w:spacing w:before="60" w:after="60"/>
              <w:jc w:val="center"/>
            </w:pPr>
            <w:r>
              <w:rPr>
                <w:rFonts w:ascii="Times New Roman" w:hAnsi="Times New Roman"/>
                <w:b w:val="0"/>
                <w:i w:val="0"/>
                <w:color w:val="2D3748"/>
                <w:sz w:val="19"/>
              </w:rPr>
              <w:t>21 landmarks</w:t>
            </w:r>
          </w:p>
        </w:tc>
        <w:tc>
          <w:tcPr>
            <w:tcW w:type="dxa" w:w="1872"/>
            <w:shd w:fill="FFFFFF"/>
          </w:tcPr>
          <w:p>
            <w:pPr>
              <w:spacing w:before="60" w:after="60"/>
              <w:jc w:val="center"/>
            </w:pPr>
            <w:r>
              <w:rPr>
                <w:rFonts w:ascii="Times New Roman" w:hAnsi="Times New Roman"/>
                <w:b w:val="0"/>
                <w:i w:val="0"/>
                <w:color w:val="2D3748"/>
                <w:sz w:val="19"/>
              </w:rPr>
              <w:t>(x, y, z)</w:t>
            </w:r>
          </w:p>
        </w:tc>
        <w:tc>
          <w:tcPr>
            <w:tcW w:type="dxa" w:w="2016"/>
            <w:shd w:fill="FFFFFF"/>
          </w:tcPr>
          <w:p>
            <w:pPr>
              <w:spacing w:before="60" w:after="60"/>
              <w:jc w:val="center"/>
            </w:pPr>
            <w:r>
              <w:rPr>
                <w:rFonts w:ascii="Times New Roman" w:hAnsi="Times New Roman"/>
                <w:b w:val="0"/>
                <w:i w:val="0"/>
                <w:color w:val="2D3748"/>
                <w:sz w:val="19"/>
              </w:rPr>
              <w:t>63 dimensions</w:t>
            </w:r>
          </w:p>
        </w:tc>
      </w:tr>
      <w:tr>
        <w:tc>
          <w:tcPr>
            <w:tcW w:type="dxa" w:w="3168"/>
            <w:shd w:fill="F7FAFC"/>
          </w:tcPr>
          <w:p>
            <w:pPr>
              <w:spacing w:before="60" w:after="60"/>
              <w:jc w:val="left"/>
            </w:pPr>
            <w:r>
              <w:rPr>
                <w:rFonts w:ascii="Times New Roman" w:hAnsi="Times New Roman"/>
                <w:b/>
                <w:i w:val="0"/>
                <w:color w:val="2D3748"/>
                <w:sz w:val="19"/>
              </w:rPr>
              <w:t>Lip Non-Manual Contours</w:t>
            </w:r>
          </w:p>
        </w:tc>
        <w:tc>
          <w:tcPr>
            <w:tcW w:type="dxa" w:w="1872"/>
            <w:shd w:fill="F7FAFC"/>
          </w:tcPr>
          <w:p>
            <w:pPr>
              <w:spacing w:before="60" w:after="60"/>
              <w:jc w:val="center"/>
            </w:pPr>
            <w:r>
              <w:rPr>
                <w:rFonts w:ascii="Times New Roman" w:hAnsi="Times New Roman"/>
                <w:b w:val="0"/>
                <w:i w:val="0"/>
                <w:color w:val="2D3748"/>
                <w:sz w:val="19"/>
              </w:rPr>
              <w:t>8 landmarks</w:t>
            </w:r>
          </w:p>
        </w:tc>
        <w:tc>
          <w:tcPr>
            <w:tcW w:type="dxa" w:w="1872"/>
            <w:shd w:fill="F7FAFC"/>
          </w:tcPr>
          <w:p>
            <w:pPr>
              <w:spacing w:before="60" w:after="60"/>
              <w:jc w:val="center"/>
            </w:pPr>
            <w:r>
              <w:rPr>
                <w:rFonts w:ascii="Times New Roman" w:hAnsi="Times New Roman"/>
                <w:b w:val="0"/>
                <w:i w:val="0"/>
                <w:color w:val="2D3748"/>
                <w:sz w:val="19"/>
              </w:rPr>
              <w:t>(x, y, z)</w:t>
            </w:r>
          </w:p>
        </w:tc>
        <w:tc>
          <w:tcPr>
            <w:tcW w:type="dxa" w:w="2016"/>
            <w:shd w:fill="F7FAFC"/>
          </w:tcPr>
          <w:p>
            <w:pPr>
              <w:spacing w:before="60" w:after="60"/>
              <w:jc w:val="center"/>
            </w:pPr>
            <w:r>
              <w:rPr>
                <w:rFonts w:ascii="Times New Roman" w:hAnsi="Times New Roman"/>
                <w:b w:val="0"/>
                <w:i w:val="0"/>
                <w:color w:val="2D3748"/>
                <w:sz w:val="19"/>
              </w:rPr>
              <w:t>24 dimensions</w:t>
            </w:r>
          </w:p>
        </w:tc>
      </w:tr>
      <w:tr>
        <w:tc>
          <w:tcPr>
            <w:tcW w:type="dxa" w:w="3168"/>
            <w:shd w:fill="FFFFFF"/>
          </w:tcPr>
          <w:p>
            <w:pPr>
              <w:spacing w:before="60" w:after="60"/>
              <w:jc w:val="left"/>
            </w:pPr>
            <w:r>
              <w:rPr>
                <w:rFonts w:ascii="Times New Roman" w:hAnsi="Times New Roman"/>
                <w:b/>
                <w:i w:val="0"/>
                <w:color w:val="2D3748"/>
                <w:sz w:val="19"/>
              </w:rPr>
              <w:t>Total Holistic Vector (per frame)</w:t>
            </w:r>
          </w:p>
        </w:tc>
        <w:tc>
          <w:tcPr>
            <w:tcW w:type="dxa" w:w="1872"/>
            <w:shd w:fill="FFFFFF"/>
          </w:tcPr>
          <w:p>
            <w:pPr>
              <w:spacing w:before="60" w:after="60"/>
              <w:jc w:val="center"/>
            </w:pPr>
            <w:r>
              <w:rPr>
                <w:rFonts w:ascii="Times New Roman" w:hAnsi="Times New Roman"/>
                <w:b w:val="0"/>
                <w:i w:val="0"/>
                <w:color w:val="2D3748"/>
                <w:sz w:val="19"/>
              </w:rPr>
              <w:t>75 landmarks</w:t>
            </w:r>
          </w:p>
        </w:tc>
        <w:tc>
          <w:tcPr>
            <w:tcW w:type="dxa" w:w="1872"/>
            <w:shd w:fill="FFFFFF"/>
          </w:tcPr>
          <w:p>
            <w:pPr>
              <w:spacing w:before="60" w:after="60"/>
              <w:jc w:val="center"/>
            </w:pPr>
            <w:r>
              <w:rPr>
                <w:rFonts w:ascii="Times New Roman" w:hAnsi="Times New Roman"/>
                <w:b w:val="0"/>
                <w:i w:val="0"/>
                <w:color w:val="2D3748"/>
                <w:sz w:val="19"/>
              </w:rPr>
              <w:t>(x, y, z)</w:t>
            </w:r>
          </w:p>
        </w:tc>
        <w:tc>
          <w:tcPr>
            <w:tcW w:type="dxa" w:w="2016"/>
            <w:shd w:fill="FFFFFF"/>
          </w:tcPr>
          <w:p>
            <w:pPr>
              <w:spacing w:before="60" w:after="60"/>
              <w:jc w:val="center"/>
            </w:pPr>
            <w:r>
              <w:rPr>
                <w:rFonts w:ascii="Times New Roman" w:hAnsi="Times New Roman"/>
                <w:b w:val="0"/>
                <w:i w:val="0"/>
                <w:color w:val="2D3748"/>
                <w:sz w:val="19"/>
              </w:rPr>
              <w:t>225 dimensions</w:t>
            </w:r>
          </w:p>
        </w:tc>
      </w:tr>
    </w:tbl>
    <w:p>
      <w:pPr>
        <w:spacing w:before="160" w:after="40"/>
        <w:jc w:val="center"/>
      </w:pPr>
      <w:r>
        <w:drawing>
          <wp:inline xmlns:a="http://schemas.openxmlformats.org/drawingml/2006/main" xmlns:pic="http://schemas.openxmlformats.org/drawingml/2006/picture">
            <wp:extent cx="5486400" cy="4262400"/>
            <wp:docPr id="2" name="Picture 2"/>
            <wp:cNvGraphicFramePr>
              <a:graphicFrameLocks noChangeAspect="1"/>
            </wp:cNvGraphicFramePr>
            <a:graphic>
              <a:graphicData uri="http://schemas.openxmlformats.org/drawingml/2006/picture">
                <pic:pic>
                  <pic:nvPicPr>
                    <pic:cNvPr id="0" name="fig4_landmark_feature_map.png"/>
                    <pic:cNvPicPr/>
                  </pic:nvPicPr>
                  <pic:blipFill>
                    <a:blip r:embed="rId10"/>
                    <a:stretch>
                      <a:fillRect/>
                    </a:stretch>
                  </pic:blipFill>
                  <pic:spPr>
                    <a:xfrm>
                      <a:off x="0" y="0"/>
                      <a:ext cx="5486400" cy="4262400"/>
                    </a:xfrm>
                    <a:prstGeom prst="rect"/>
                  </pic:spPr>
                </pic:pic>
              </a:graphicData>
            </a:graphic>
          </wp:inline>
        </w:drawing>
      </w:r>
    </w:p>
    <w:p>
      <w:pPr>
        <w:spacing w:before="40" w:after="160"/>
        <w:jc w:val="center"/>
      </w:pPr>
      <w:r>
        <w:rPr>
          <w:rFonts w:ascii="Times New Roman" w:hAnsi="Times New Roman"/>
          <w:b w:val="0"/>
          <w:i/>
          <w:color w:val="718096"/>
          <w:sz w:val="19"/>
        </w:rPr>
        <w:t>Figure 2: 225-Point Holistic Landmark Feature Map, Origin Centering, and Shoulder Distance Scale Normalization.</w:t>
      </w:r>
    </w:p>
    <w:p>
      <w:pPr>
        <w:spacing w:after="120" w:line="276" w:lineRule="auto"/>
        <w:jc w:val="both"/>
      </w:pPr>
      <w:r>
        <w:rPr>
          <w:rFonts w:ascii="Times New Roman" w:hAnsi="Times New Roman"/>
          <w:b/>
          <w:i w:val="0"/>
          <w:color w:val="2D3748"/>
          <w:sz w:val="22"/>
        </w:rPr>
        <w:t xml:space="preserve">Mathematical Invariance Normalization: </w:t>
      </w:r>
      <w:r>
        <w:rPr>
          <w:rFonts w:ascii="Times New Roman" w:hAnsi="Times New Roman"/>
          <w:b w:val="0"/>
          <w:i w:val="0"/>
          <w:color w:val="2D3748"/>
          <w:sz w:val="22"/>
        </w:rPr>
        <w:t>To render the feature vector completely invariant to user positioning, camera perspective, and morphological scale differences, we apply a three-stage geometric normalization pipeline:</w:t>
      </w:r>
    </w:p>
    <w:p>
      <w:pPr>
        <w:spacing w:after="120" w:line="276" w:lineRule="auto"/>
        <w:jc w:val="both"/>
      </w:pPr>
      <w:r>
        <w:rPr>
          <w:rFonts w:ascii="Times New Roman" w:hAnsi="Times New Roman"/>
          <w:b w:val="0"/>
          <w:i w:val="0"/>
          <w:color w:val="2D3748"/>
          <w:sz w:val="22"/>
        </w:rPr>
        <w:t>1. Origin Centering: All 75 landmarks are translated relative to the nose anchor (landmark 0), ensuring positional invariance:</w:t>
        <w:br/>
        <w:t xml:space="preserve">   x'_i = x_i - x_nose,    y'_i = y_i - y_nose,    z'_i = z_i - z_nose</w:t>
        <w:br/>
        <w:br/>
        <w:t>2. Euclidean Scale Normalization: Coordinates are divided by the Euclidean shoulder span D_shoulder to guarantee scale invariance across signers:</w:t>
        <w:br/>
        <w:t xml:space="preserve">   D_shoulder = sqrt((x_R - x_L)^2 + (y_R - y_L)^2 + (z_R - z_L)^2)</w:t>
        <w:br/>
        <w:t xml:space="preserve">   p''_i = p'_i / (D_shoulder + epsilon), where epsilon = 1e-6</w:t>
        <w:br/>
        <w:br/>
        <w:t>3. Temporal Resampling: To accommodate variable signing speeds and frame drops, landmark trajectories are linearly interpolated along the temporal dimension to a fixed window of T = 60 frames, yielding an invariant tensor of shape (Batch, 60, 225).</w:t>
      </w:r>
    </w:p>
    <w:p>
      <w:pPr>
        <w:keepNext/>
        <w:spacing w:before="200" w:after="60"/>
      </w:pPr>
      <w:r>
        <w:rPr>
          <w:rFonts w:ascii="Times New Roman" w:hAnsi="Times New Roman"/>
          <w:b/>
          <w:i w:val="0"/>
          <w:color w:val="2B6CB0"/>
          <w:sz w:val="23"/>
        </w:rPr>
        <w:t>Machine Learning Algorithms &amp; Model Architectures</w:t>
      </w:r>
    </w:p>
    <w:p>
      <w:pPr>
        <w:spacing w:after="120" w:line="276" w:lineRule="auto"/>
        <w:jc w:val="both"/>
      </w:pPr>
      <w:r>
        <w:rPr>
          <w:rFonts w:ascii="Times New Roman" w:hAnsi="Times New Roman"/>
          <w:b/>
          <w:i w:val="0"/>
          <w:color w:val="2D3748"/>
          <w:sz w:val="22"/>
        </w:rPr>
        <w:t xml:space="preserve">Dual Ensemble Architecture: </w:t>
      </w:r>
      <w:r>
        <w:rPr>
          <w:rFonts w:ascii="Times New Roman" w:hAnsi="Times New Roman"/>
          <w:b w:val="0"/>
          <w:i w:val="0"/>
          <w:color w:val="2D3748"/>
          <w:sz w:val="22"/>
        </w:rPr>
        <w:t>We implement a complementary two-branch neural ensemble combining a Spatial-Temporal Self-Attention Transformer with an Optimized Bidirectional LSTM:</w:t>
      </w:r>
    </w:p>
    <w:p>
      <w:pPr>
        <w:spacing w:after="120" w:line="276" w:lineRule="auto"/>
        <w:jc w:val="both"/>
      </w:pPr>
      <w:r>
        <w:rPr>
          <w:rFonts w:ascii="Times New Roman" w:hAnsi="Times New Roman"/>
          <w:b w:val="0"/>
          <w:i w:val="0"/>
          <w:color w:val="2D3748"/>
          <w:sz w:val="22"/>
        </w:rPr>
        <w:t>• Branch A: Spatial-Temporal Transformer (65% Weight): Employs a linear input projection (225 -&gt; 128), learnable 1D temporal positional encodings, and a Multi-Head Self-Attention (MHSA) block with h = 4 heads (d_k = 32). Scaled dot-product attention computes global frame-to-frame affinities: Attention(Q, K, V) = softmax((QK^T) / sqrt(d_k)) * V. This is followed by Layer Normalization, a Feed-Forward Network with GELU activation, Dropout (0.3), Global Average Pooling 1D, and a 100-class Softmax classifier.</w:t>
        <w:br/>
        <w:br/>
        <w:t>• Branch B: Optimized Bidirectional LSTM (35% Weight): Utilizes two stacked BiLSTM layers with 128 hidden units per direction (256 per layer). Batch Normalization and recurrent dropout (0.4) prevent co-adaptation. A dense projection layer (128 units, ReLU) with L2 weight decay (1e-4) feeds into the 100-class Softmax layer, providing smooth sequential temporal modeling.</w:t>
        <w:br/>
        <w:br/>
        <w:t>• Softmax Probability Fusion: Predictions are combined via a weighted convex combination of Softmax probability vectors:</w:t>
        <w:br/>
        <w:t xml:space="preserve">   P_ensemble = 0.65 * P_Transformer + 0.35 * P_BiLSTM</w:t>
      </w:r>
    </w:p>
    <w:p>
      <w:pPr>
        <w:keepNext/>
        <w:spacing w:before="200" w:after="60"/>
      </w:pPr>
      <w:r>
        <w:rPr>
          <w:rFonts w:ascii="Times New Roman" w:hAnsi="Times New Roman"/>
          <w:b/>
          <w:i w:val="0"/>
          <w:color w:val="2B6CB0"/>
          <w:sz w:val="23"/>
        </w:rPr>
        <w:t>Bidirectional Kinematic Synthesis &amp; NLP Post-Processing</w:t>
      </w:r>
    </w:p>
    <w:p>
      <w:pPr>
        <w:spacing w:after="120" w:line="276" w:lineRule="auto"/>
        <w:jc w:val="both"/>
      </w:pPr>
      <w:r>
        <w:rPr>
          <w:rFonts w:ascii="Times New Roman" w:hAnsi="Times New Roman"/>
          <w:b w:val="0"/>
          <w:i w:val="0"/>
          <w:color w:val="2D3748"/>
          <w:sz w:val="22"/>
        </w:rPr>
        <w:t>For Text-to-Sign synthesis, input text is tokenized, lemmatized, and stripped of non-semantic English stop words while mapping colloquial synonyms across a 100+ entry lexicon (e.g., 'mom' -&gt; 'mother', 'laptop' -&gt; 'computer'). To transition between consecutive isolated signs without visual snapping, we generate 8-frame cubic Hermite ease-in-out transition splines:</w:t>
        <w:br/>
        <w:t xml:space="preserve">   H(t) = (2t^3 - 3t^2 + 1)P_0 + (t^3 - 2t^2 + t)M_0 + (-2t^3 + 3t^2)P_1 + (t^3 - t^2)M_1,  where t in [0, 1]</w:t>
        <w:br/>
        <w:t>Here P_0 and P_1 represent the terminal and initial joint coordinates of adjacent signs, with zero velocity boundary tangents M_0 = M_1 = 0, guaranteeing continuous, jerk-free avatar articulation in Three.js.</w:t>
      </w:r>
    </w:p>
    <w:p>
      <w:pPr>
        <w:keepNext/>
        <w:spacing w:before="280" w:after="80"/>
      </w:pPr>
      <w:r>
        <w:rPr>
          <w:rFonts w:ascii="Times New Roman" w:hAnsi="Times New Roman"/>
          <w:b/>
          <w:i w:val="0"/>
          <w:color w:val="1A365D"/>
          <w:sz w:val="26"/>
        </w:rPr>
        <w:t>7. Results &amp; Discussion</w:t>
      </w:r>
    </w:p>
    <w:p>
      <w:pPr>
        <w:spacing w:after="120" w:line="276" w:lineRule="auto"/>
        <w:jc w:val="both"/>
      </w:pPr>
      <w:r>
        <w:rPr>
          <w:rFonts w:ascii="Times New Roman" w:hAnsi="Times New Roman"/>
          <w:b w:val="0"/>
          <w:i w:val="0"/>
          <w:color w:val="2D3748"/>
          <w:sz w:val="22"/>
        </w:rPr>
        <w:t>All models were trained on the WLASL-100 benchmark using the Adam optimizer (initial learning rate 1e-3, cosine decay schedule, batch size 32) for 50 epochs with Categorical Cross-Entropy loss. Inference latency was benchmarked on an Intel Core i7 CPU @ 2.80GHz without GPU acceleration.</w:t>
      </w:r>
    </w:p>
    <w:p>
      <w:pPr>
        <w:keepNext/>
        <w:spacing w:before="200" w:after="60"/>
      </w:pPr>
      <w:r>
        <w:rPr>
          <w:rFonts w:ascii="Times New Roman" w:hAnsi="Times New Roman"/>
          <w:b/>
          <w:i w:val="0"/>
          <w:color w:val="2B6CB0"/>
          <w:sz w:val="23"/>
        </w:rPr>
        <w:t>Quantitative Model Comparison</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337"/>
        <w:gridCol w:w="1337"/>
        <w:gridCol w:w="1337"/>
        <w:gridCol w:w="1337"/>
        <w:gridCol w:w="1337"/>
        <w:gridCol w:w="1337"/>
        <w:gridCol w:w="1337"/>
      </w:tblGrid>
      <w:tr>
        <w:tc>
          <w:tcPr>
            <w:tcW w:type="dxa" w:w="2592"/>
            <w:shd w:fill="1A365D"/>
          </w:tcPr>
          <w:p>
            <w:pPr>
              <w:spacing w:before="80" w:after="80"/>
              <w:jc w:val="center"/>
            </w:pPr>
            <w:r>
              <w:rPr>
                <w:rFonts w:ascii="Times New Roman" w:hAnsi="Times New Roman"/>
                <w:b/>
                <w:i w:val="0"/>
                <w:color w:val="FFFFFF"/>
                <w:sz w:val="20"/>
              </w:rPr>
              <w:t>Model Architecture</w:t>
            </w:r>
          </w:p>
        </w:tc>
        <w:tc>
          <w:tcPr>
            <w:tcW w:type="dxa" w:w="1152"/>
            <w:shd w:fill="1A365D"/>
          </w:tcPr>
          <w:p>
            <w:pPr>
              <w:spacing w:before="80" w:after="80"/>
              <w:jc w:val="center"/>
            </w:pPr>
            <w:r>
              <w:rPr>
                <w:rFonts w:ascii="Times New Roman" w:hAnsi="Times New Roman"/>
                <w:b/>
                <w:i w:val="0"/>
                <w:color w:val="FFFFFF"/>
                <w:sz w:val="20"/>
              </w:rPr>
              <w:t>Top-1 Acc.</w:t>
            </w:r>
          </w:p>
        </w:tc>
        <w:tc>
          <w:tcPr>
            <w:tcW w:type="dxa" w:w="1152"/>
            <w:shd w:fill="1A365D"/>
          </w:tcPr>
          <w:p>
            <w:pPr>
              <w:spacing w:before="80" w:after="80"/>
              <w:jc w:val="center"/>
            </w:pPr>
            <w:r>
              <w:rPr>
                <w:rFonts w:ascii="Times New Roman" w:hAnsi="Times New Roman"/>
                <w:b/>
                <w:i w:val="0"/>
                <w:color w:val="FFFFFF"/>
                <w:sz w:val="20"/>
              </w:rPr>
              <w:t>Top-5 Acc.</w:t>
            </w:r>
          </w:p>
        </w:tc>
        <w:tc>
          <w:tcPr>
            <w:tcW w:type="dxa" w:w="1008"/>
            <w:shd w:fill="1A365D"/>
          </w:tcPr>
          <w:p>
            <w:pPr>
              <w:spacing w:before="80" w:after="80"/>
              <w:jc w:val="center"/>
            </w:pPr>
            <w:r>
              <w:rPr>
                <w:rFonts w:ascii="Times New Roman" w:hAnsi="Times New Roman"/>
                <w:b/>
                <w:i w:val="0"/>
                <w:color w:val="FFFFFF"/>
                <w:sz w:val="20"/>
              </w:rPr>
              <w:t>Precision</w:t>
            </w:r>
          </w:p>
        </w:tc>
        <w:tc>
          <w:tcPr>
            <w:tcW w:type="dxa" w:w="1008"/>
            <w:shd w:fill="1A365D"/>
          </w:tcPr>
          <w:p>
            <w:pPr>
              <w:spacing w:before="80" w:after="80"/>
              <w:jc w:val="center"/>
            </w:pPr>
            <w:r>
              <w:rPr>
                <w:rFonts w:ascii="Times New Roman" w:hAnsi="Times New Roman"/>
                <w:b/>
                <w:i w:val="0"/>
                <w:color w:val="FFFFFF"/>
                <w:sz w:val="20"/>
              </w:rPr>
              <w:t>Recall</w:t>
            </w:r>
          </w:p>
        </w:tc>
        <w:tc>
          <w:tcPr>
            <w:tcW w:type="dxa" w:w="1152"/>
            <w:shd w:fill="1A365D"/>
          </w:tcPr>
          <w:p>
            <w:pPr>
              <w:spacing w:before="80" w:after="80"/>
              <w:jc w:val="center"/>
            </w:pPr>
            <w:r>
              <w:rPr>
                <w:rFonts w:ascii="Times New Roman" w:hAnsi="Times New Roman"/>
                <w:b/>
                <w:i w:val="0"/>
                <w:color w:val="FFFFFF"/>
                <w:sz w:val="20"/>
              </w:rPr>
              <w:t>Macro F1</w:t>
            </w:r>
          </w:p>
        </w:tc>
        <w:tc>
          <w:tcPr>
            <w:tcW w:type="dxa" w:w="1152"/>
            <w:shd w:fill="1A365D"/>
          </w:tcPr>
          <w:p>
            <w:pPr>
              <w:spacing w:before="80" w:after="80"/>
              <w:jc w:val="center"/>
            </w:pPr>
            <w:r>
              <w:rPr>
                <w:rFonts w:ascii="Times New Roman" w:hAnsi="Times New Roman"/>
                <w:b/>
                <w:i w:val="0"/>
                <w:color w:val="FFFFFF"/>
                <w:sz w:val="20"/>
              </w:rPr>
              <w:t>CPU Latency</w:t>
            </w:r>
          </w:p>
        </w:tc>
      </w:tr>
      <w:tr>
        <w:tc>
          <w:tcPr>
            <w:tcW w:type="dxa" w:w="2592"/>
            <w:shd w:fill="FFFFFF"/>
          </w:tcPr>
          <w:p>
            <w:pPr>
              <w:spacing w:before="60" w:after="60"/>
              <w:jc w:val="left"/>
            </w:pPr>
            <w:r>
              <w:rPr>
                <w:rFonts w:ascii="Times New Roman" w:hAnsi="Times New Roman"/>
                <w:b/>
                <w:i w:val="0"/>
                <w:color w:val="2D3748"/>
                <w:sz w:val="19"/>
              </w:rPr>
              <w:t>Spatial-Temporal Transformer</w:t>
            </w:r>
          </w:p>
        </w:tc>
        <w:tc>
          <w:tcPr>
            <w:tcW w:type="dxa" w:w="1152"/>
            <w:shd w:fill="FFFFFF"/>
          </w:tcPr>
          <w:p>
            <w:pPr>
              <w:spacing w:before="60" w:after="60"/>
              <w:jc w:val="center"/>
            </w:pPr>
            <w:r>
              <w:rPr>
                <w:rFonts w:ascii="Times New Roman" w:hAnsi="Times New Roman"/>
                <w:b w:val="0"/>
                <w:i w:val="0"/>
                <w:color w:val="2D3748"/>
                <w:sz w:val="19"/>
              </w:rPr>
              <w:t>33.22%</w:t>
            </w:r>
          </w:p>
        </w:tc>
        <w:tc>
          <w:tcPr>
            <w:tcW w:type="dxa" w:w="1152"/>
            <w:shd w:fill="FFFFFF"/>
          </w:tcPr>
          <w:p>
            <w:pPr>
              <w:spacing w:before="60" w:after="60"/>
              <w:jc w:val="center"/>
            </w:pPr>
            <w:r>
              <w:rPr>
                <w:rFonts w:ascii="Times New Roman" w:hAnsi="Times New Roman"/>
                <w:b w:val="0"/>
                <w:i w:val="0"/>
                <w:color w:val="2D3748"/>
                <w:sz w:val="19"/>
              </w:rPr>
              <w:t>65.82%</w:t>
            </w:r>
          </w:p>
        </w:tc>
        <w:tc>
          <w:tcPr>
            <w:tcW w:type="dxa" w:w="1008"/>
            <w:shd w:fill="FFFFFF"/>
          </w:tcPr>
          <w:p>
            <w:pPr>
              <w:spacing w:before="60" w:after="60"/>
              <w:jc w:val="center"/>
            </w:pPr>
            <w:r>
              <w:rPr>
                <w:rFonts w:ascii="Times New Roman" w:hAnsi="Times New Roman"/>
                <w:b w:val="0"/>
                <w:i w:val="0"/>
                <w:color w:val="2D3748"/>
                <w:sz w:val="19"/>
              </w:rPr>
              <w:t>0.328</w:t>
            </w:r>
          </w:p>
        </w:tc>
        <w:tc>
          <w:tcPr>
            <w:tcW w:type="dxa" w:w="1008"/>
            <w:shd w:fill="FFFFFF"/>
          </w:tcPr>
          <w:p>
            <w:pPr>
              <w:spacing w:before="60" w:after="60"/>
              <w:jc w:val="center"/>
            </w:pPr>
            <w:r>
              <w:rPr>
                <w:rFonts w:ascii="Times New Roman" w:hAnsi="Times New Roman"/>
                <w:b w:val="0"/>
                <w:i w:val="0"/>
                <w:color w:val="2D3748"/>
                <w:sz w:val="19"/>
              </w:rPr>
              <w:t>0.332</w:t>
            </w:r>
          </w:p>
        </w:tc>
        <w:tc>
          <w:tcPr>
            <w:tcW w:type="dxa" w:w="1152"/>
            <w:shd w:fill="FFFFFF"/>
          </w:tcPr>
          <w:p>
            <w:pPr>
              <w:spacing w:before="60" w:after="60"/>
              <w:jc w:val="center"/>
            </w:pPr>
            <w:r>
              <w:rPr>
                <w:rFonts w:ascii="Times New Roman" w:hAnsi="Times New Roman"/>
                <w:b w:val="0"/>
                <w:i w:val="0"/>
                <w:color w:val="2D3748"/>
                <w:sz w:val="19"/>
              </w:rPr>
              <w:t>0.321</w:t>
            </w:r>
          </w:p>
        </w:tc>
        <w:tc>
          <w:tcPr>
            <w:tcW w:type="dxa" w:w="1152"/>
            <w:shd w:fill="FFFFFF"/>
          </w:tcPr>
          <w:p>
            <w:pPr>
              <w:spacing w:before="60" w:after="60"/>
              <w:jc w:val="center"/>
            </w:pPr>
            <w:r>
              <w:rPr>
                <w:rFonts w:ascii="Times New Roman" w:hAnsi="Times New Roman"/>
                <w:b w:val="0"/>
                <w:i w:val="0"/>
                <w:color w:val="2D3748"/>
                <w:sz w:val="19"/>
              </w:rPr>
              <w:t>46.2 ms</w:t>
            </w:r>
          </w:p>
        </w:tc>
      </w:tr>
      <w:tr>
        <w:tc>
          <w:tcPr>
            <w:tcW w:type="dxa" w:w="2592"/>
            <w:shd w:fill="F7FAFC"/>
          </w:tcPr>
          <w:p>
            <w:pPr>
              <w:spacing w:before="60" w:after="60"/>
              <w:jc w:val="left"/>
            </w:pPr>
            <w:r>
              <w:rPr>
                <w:rFonts w:ascii="Times New Roman" w:hAnsi="Times New Roman"/>
                <w:b/>
                <w:i w:val="0"/>
                <w:color w:val="2D3748"/>
                <w:sz w:val="19"/>
              </w:rPr>
              <w:t>Optimized Bidirectional LSTM</w:t>
            </w:r>
          </w:p>
        </w:tc>
        <w:tc>
          <w:tcPr>
            <w:tcW w:type="dxa" w:w="1152"/>
            <w:shd w:fill="F7FAFC"/>
          </w:tcPr>
          <w:p>
            <w:pPr>
              <w:spacing w:before="60" w:after="60"/>
              <w:jc w:val="center"/>
            </w:pPr>
            <w:r>
              <w:rPr>
                <w:rFonts w:ascii="Times New Roman" w:hAnsi="Times New Roman"/>
                <w:b w:val="0"/>
                <w:i w:val="0"/>
                <w:color w:val="2D3748"/>
                <w:sz w:val="19"/>
              </w:rPr>
              <w:t>31.01%</w:t>
            </w:r>
          </w:p>
        </w:tc>
        <w:tc>
          <w:tcPr>
            <w:tcW w:type="dxa" w:w="1152"/>
            <w:shd w:fill="F7FAFC"/>
          </w:tcPr>
          <w:p>
            <w:pPr>
              <w:spacing w:before="60" w:after="60"/>
              <w:jc w:val="center"/>
            </w:pPr>
            <w:r>
              <w:rPr>
                <w:rFonts w:ascii="Times New Roman" w:hAnsi="Times New Roman"/>
                <w:b w:val="0"/>
                <w:i w:val="0"/>
                <w:color w:val="2D3748"/>
                <w:sz w:val="19"/>
              </w:rPr>
              <w:t>62.97%</w:t>
            </w:r>
          </w:p>
        </w:tc>
        <w:tc>
          <w:tcPr>
            <w:tcW w:type="dxa" w:w="1008"/>
            <w:shd w:fill="F7FAFC"/>
          </w:tcPr>
          <w:p>
            <w:pPr>
              <w:spacing w:before="60" w:after="60"/>
              <w:jc w:val="center"/>
            </w:pPr>
            <w:r>
              <w:rPr>
                <w:rFonts w:ascii="Times New Roman" w:hAnsi="Times New Roman"/>
                <w:b w:val="0"/>
                <w:i w:val="0"/>
                <w:color w:val="2D3748"/>
                <w:sz w:val="19"/>
              </w:rPr>
              <w:t>0.305</w:t>
            </w:r>
          </w:p>
        </w:tc>
        <w:tc>
          <w:tcPr>
            <w:tcW w:type="dxa" w:w="1008"/>
            <w:shd w:fill="F7FAFC"/>
          </w:tcPr>
          <w:p>
            <w:pPr>
              <w:spacing w:before="60" w:after="60"/>
              <w:jc w:val="center"/>
            </w:pPr>
            <w:r>
              <w:rPr>
                <w:rFonts w:ascii="Times New Roman" w:hAnsi="Times New Roman"/>
                <w:b w:val="0"/>
                <w:i w:val="0"/>
                <w:color w:val="2D3748"/>
                <w:sz w:val="19"/>
              </w:rPr>
              <w:t>0.310</w:t>
            </w:r>
          </w:p>
        </w:tc>
        <w:tc>
          <w:tcPr>
            <w:tcW w:type="dxa" w:w="1152"/>
            <w:shd w:fill="F7FAFC"/>
          </w:tcPr>
          <w:p>
            <w:pPr>
              <w:spacing w:before="60" w:after="60"/>
              <w:jc w:val="center"/>
            </w:pPr>
            <w:r>
              <w:rPr>
                <w:rFonts w:ascii="Times New Roman" w:hAnsi="Times New Roman"/>
                <w:b w:val="0"/>
                <w:i w:val="0"/>
                <w:color w:val="2D3748"/>
                <w:sz w:val="19"/>
              </w:rPr>
              <w:t>0.301</w:t>
            </w:r>
          </w:p>
        </w:tc>
        <w:tc>
          <w:tcPr>
            <w:tcW w:type="dxa" w:w="1152"/>
            <w:shd w:fill="F7FAFC"/>
          </w:tcPr>
          <w:p>
            <w:pPr>
              <w:spacing w:before="60" w:after="60"/>
              <w:jc w:val="center"/>
            </w:pPr>
            <w:r>
              <w:rPr>
                <w:rFonts w:ascii="Times New Roman" w:hAnsi="Times New Roman"/>
                <w:b w:val="0"/>
                <w:i w:val="0"/>
                <w:color w:val="2D3748"/>
                <w:sz w:val="19"/>
              </w:rPr>
              <w:t>38.1 ms</w:t>
            </w:r>
          </w:p>
        </w:tc>
      </w:tr>
      <w:tr>
        <w:tc>
          <w:tcPr>
            <w:tcW w:type="dxa" w:w="2592"/>
            <w:shd w:fill="FFFFFF"/>
          </w:tcPr>
          <w:p>
            <w:pPr>
              <w:spacing w:before="60" w:after="60"/>
              <w:jc w:val="left"/>
            </w:pPr>
            <w:r>
              <w:rPr>
                <w:rFonts w:ascii="Times New Roman" w:hAnsi="Times New Roman"/>
                <w:b/>
                <w:i w:val="0"/>
                <w:color w:val="2D3748"/>
                <w:sz w:val="19"/>
              </w:rPr>
              <w:t>Proposed Dual Ensemble (OmniSign 3D)</w:t>
            </w:r>
          </w:p>
        </w:tc>
        <w:tc>
          <w:tcPr>
            <w:tcW w:type="dxa" w:w="1152"/>
            <w:shd w:fill="FFFFFF"/>
          </w:tcPr>
          <w:p>
            <w:pPr>
              <w:spacing w:before="60" w:after="60"/>
              <w:jc w:val="center"/>
            </w:pPr>
            <w:r>
              <w:rPr>
                <w:rFonts w:ascii="Times New Roman" w:hAnsi="Times New Roman"/>
                <w:b w:val="0"/>
                <w:i w:val="0"/>
                <w:color w:val="2D3748"/>
                <w:sz w:val="19"/>
              </w:rPr>
              <w:t>34.88%</w:t>
            </w:r>
          </w:p>
        </w:tc>
        <w:tc>
          <w:tcPr>
            <w:tcW w:type="dxa" w:w="1152"/>
            <w:shd w:fill="FFFFFF"/>
          </w:tcPr>
          <w:p>
            <w:pPr>
              <w:spacing w:before="60" w:after="60"/>
              <w:jc w:val="center"/>
            </w:pPr>
            <w:r>
              <w:rPr>
                <w:rFonts w:ascii="Times New Roman" w:hAnsi="Times New Roman"/>
                <w:b w:val="0"/>
                <w:i w:val="0"/>
                <w:color w:val="2D3748"/>
                <w:sz w:val="19"/>
              </w:rPr>
              <w:t>67.83%</w:t>
            </w:r>
          </w:p>
        </w:tc>
        <w:tc>
          <w:tcPr>
            <w:tcW w:type="dxa" w:w="1008"/>
            <w:shd w:fill="FFFFFF"/>
          </w:tcPr>
          <w:p>
            <w:pPr>
              <w:spacing w:before="60" w:after="60"/>
              <w:jc w:val="center"/>
            </w:pPr>
            <w:r>
              <w:rPr>
                <w:rFonts w:ascii="Times New Roman" w:hAnsi="Times New Roman"/>
                <w:b w:val="0"/>
                <w:i w:val="0"/>
                <w:color w:val="2D3748"/>
                <w:sz w:val="19"/>
              </w:rPr>
              <w:t>0.345</w:t>
            </w:r>
          </w:p>
        </w:tc>
        <w:tc>
          <w:tcPr>
            <w:tcW w:type="dxa" w:w="1008"/>
            <w:shd w:fill="FFFFFF"/>
          </w:tcPr>
          <w:p>
            <w:pPr>
              <w:spacing w:before="60" w:after="60"/>
              <w:jc w:val="center"/>
            </w:pPr>
            <w:r>
              <w:rPr>
                <w:rFonts w:ascii="Times New Roman" w:hAnsi="Times New Roman"/>
                <w:b w:val="0"/>
                <w:i w:val="0"/>
                <w:color w:val="2D3748"/>
                <w:sz w:val="19"/>
              </w:rPr>
              <w:t>0.349</w:t>
            </w:r>
          </w:p>
        </w:tc>
        <w:tc>
          <w:tcPr>
            <w:tcW w:type="dxa" w:w="1152"/>
            <w:shd w:fill="FFFFFF"/>
          </w:tcPr>
          <w:p>
            <w:pPr>
              <w:spacing w:before="60" w:after="60"/>
              <w:jc w:val="center"/>
            </w:pPr>
            <w:r>
              <w:rPr>
                <w:rFonts w:ascii="Times New Roman" w:hAnsi="Times New Roman"/>
                <w:b w:val="0"/>
                <w:i w:val="0"/>
                <w:color w:val="2D3748"/>
                <w:sz w:val="19"/>
              </w:rPr>
              <w:t>0.341</w:t>
            </w:r>
          </w:p>
        </w:tc>
        <w:tc>
          <w:tcPr>
            <w:tcW w:type="dxa" w:w="1152"/>
            <w:shd w:fill="FFFFFF"/>
          </w:tcPr>
          <w:p>
            <w:pPr>
              <w:spacing w:before="60" w:after="60"/>
              <w:jc w:val="center"/>
            </w:pPr>
            <w:r>
              <w:rPr>
                <w:rFonts w:ascii="Times New Roman" w:hAnsi="Times New Roman"/>
                <w:b w:val="0"/>
                <w:i w:val="0"/>
                <w:color w:val="2D3748"/>
                <w:sz w:val="19"/>
              </w:rPr>
              <w:t>78.4 ms</w:t>
            </w:r>
          </w:p>
        </w:tc>
      </w:tr>
      <w:tr>
        <w:tc>
          <w:tcPr>
            <w:tcW w:type="dxa" w:w="2592"/>
            <w:shd w:fill="F7FAFC"/>
          </w:tcPr>
          <w:p>
            <w:pPr>
              <w:spacing w:before="60" w:after="60"/>
              <w:jc w:val="left"/>
            </w:pPr>
            <w:r>
              <w:rPr>
                <w:rFonts w:ascii="Times New Roman" w:hAnsi="Times New Roman"/>
                <w:b/>
                <w:i w:val="0"/>
                <w:color w:val="2D3748"/>
                <w:sz w:val="19"/>
              </w:rPr>
              <w:t>I3D Baseline (Li et al. [1])</w:t>
            </w:r>
          </w:p>
        </w:tc>
        <w:tc>
          <w:tcPr>
            <w:tcW w:type="dxa" w:w="1152"/>
            <w:shd w:fill="F7FAFC"/>
          </w:tcPr>
          <w:p>
            <w:pPr>
              <w:spacing w:before="60" w:after="60"/>
              <w:jc w:val="center"/>
            </w:pPr>
            <w:r>
              <w:rPr>
                <w:rFonts w:ascii="Times New Roman" w:hAnsi="Times New Roman"/>
                <w:b w:val="0"/>
                <w:i w:val="0"/>
                <w:color w:val="2D3748"/>
                <w:sz w:val="19"/>
              </w:rPr>
              <w:t>32.48%</w:t>
            </w:r>
          </w:p>
        </w:tc>
        <w:tc>
          <w:tcPr>
            <w:tcW w:type="dxa" w:w="1152"/>
            <w:shd w:fill="F7FAFC"/>
          </w:tcPr>
          <w:p>
            <w:pPr>
              <w:spacing w:before="60" w:after="60"/>
              <w:jc w:val="center"/>
            </w:pPr>
            <w:r>
              <w:rPr>
                <w:rFonts w:ascii="Times New Roman" w:hAnsi="Times New Roman"/>
                <w:b w:val="0"/>
                <w:i w:val="0"/>
                <w:color w:val="2D3748"/>
                <w:sz w:val="19"/>
              </w:rPr>
              <w:t>57.34%</w:t>
            </w:r>
          </w:p>
        </w:tc>
        <w:tc>
          <w:tcPr>
            <w:tcW w:type="dxa" w:w="1008"/>
            <w:shd w:fill="F7FAFC"/>
          </w:tcPr>
          <w:p>
            <w:pPr>
              <w:spacing w:before="60" w:after="60"/>
              <w:jc w:val="center"/>
            </w:pPr>
            <w:r>
              <w:rPr>
                <w:rFonts w:ascii="Times New Roman" w:hAnsi="Times New Roman"/>
                <w:b w:val="0"/>
                <w:i w:val="0"/>
                <w:color w:val="2D3748"/>
                <w:sz w:val="19"/>
              </w:rPr>
              <w:t>—</w:t>
            </w:r>
          </w:p>
        </w:tc>
        <w:tc>
          <w:tcPr>
            <w:tcW w:type="dxa" w:w="1008"/>
            <w:shd w:fill="F7FAFC"/>
          </w:tcPr>
          <w:p>
            <w:pPr>
              <w:spacing w:before="60" w:after="60"/>
              <w:jc w:val="center"/>
            </w:pPr>
            <w:r>
              <w:rPr>
                <w:rFonts w:ascii="Times New Roman" w:hAnsi="Times New Roman"/>
                <w:b w:val="0"/>
                <w:i w:val="0"/>
                <w:color w:val="2D3748"/>
                <w:sz w:val="19"/>
              </w:rPr>
              <w:t>—</w:t>
            </w:r>
          </w:p>
        </w:tc>
        <w:tc>
          <w:tcPr>
            <w:tcW w:type="dxa" w:w="1152"/>
            <w:shd w:fill="F7FAFC"/>
          </w:tcPr>
          <w:p>
            <w:pPr>
              <w:spacing w:before="60" w:after="60"/>
              <w:jc w:val="center"/>
            </w:pPr>
            <w:r>
              <w:rPr>
                <w:rFonts w:ascii="Times New Roman" w:hAnsi="Times New Roman"/>
                <w:b w:val="0"/>
                <w:i w:val="0"/>
                <w:color w:val="2D3748"/>
                <w:sz w:val="19"/>
              </w:rPr>
              <w:t>—</w:t>
            </w:r>
          </w:p>
        </w:tc>
        <w:tc>
          <w:tcPr>
            <w:tcW w:type="dxa" w:w="1152"/>
            <w:shd w:fill="F7FAFC"/>
          </w:tcPr>
          <w:p>
            <w:pPr>
              <w:spacing w:before="60" w:after="60"/>
              <w:jc w:val="center"/>
            </w:pPr>
            <w:r>
              <w:rPr>
                <w:rFonts w:ascii="Times New Roman" w:hAnsi="Times New Roman"/>
                <w:b w:val="0"/>
                <w:i w:val="0"/>
                <w:color w:val="2D3748"/>
                <w:sz w:val="19"/>
              </w:rPr>
              <w:t>265.0 ms</w:t>
            </w:r>
          </w:p>
        </w:tc>
      </w:tr>
      <w:tr>
        <w:tc>
          <w:tcPr>
            <w:tcW w:type="dxa" w:w="2592"/>
            <w:shd w:fill="FFFFFF"/>
          </w:tcPr>
          <w:p>
            <w:pPr>
              <w:spacing w:before="60" w:after="60"/>
              <w:jc w:val="left"/>
            </w:pPr>
            <w:r>
              <w:rPr>
                <w:rFonts w:ascii="Times New Roman" w:hAnsi="Times New Roman"/>
                <w:b/>
                <w:i w:val="0"/>
                <w:color w:val="2D3748"/>
                <w:sz w:val="19"/>
              </w:rPr>
              <w:t>TGCN Baseline (Li et al. [1])</w:t>
            </w:r>
          </w:p>
        </w:tc>
        <w:tc>
          <w:tcPr>
            <w:tcW w:type="dxa" w:w="1152"/>
            <w:shd w:fill="FFFFFF"/>
          </w:tcPr>
          <w:p>
            <w:pPr>
              <w:spacing w:before="60" w:after="60"/>
              <w:jc w:val="center"/>
            </w:pPr>
            <w:r>
              <w:rPr>
                <w:rFonts w:ascii="Times New Roman" w:hAnsi="Times New Roman"/>
                <w:b w:val="0"/>
                <w:i w:val="0"/>
                <w:color w:val="2D3748"/>
                <w:sz w:val="19"/>
              </w:rPr>
              <w:t>22.38%</w:t>
            </w:r>
          </w:p>
        </w:tc>
        <w:tc>
          <w:tcPr>
            <w:tcW w:type="dxa" w:w="1152"/>
            <w:shd w:fill="FFFFFF"/>
          </w:tcPr>
          <w:p>
            <w:pPr>
              <w:spacing w:before="60" w:after="60"/>
              <w:jc w:val="center"/>
            </w:pPr>
            <w:r>
              <w:rPr>
                <w:rFonts w:ascii="Times New Roman" w:hAnsi="Times New Roman"/>
                <w:b w:val="0"/>
                <w:i w:val="0"/>
                <w:color w:val="2D3748"/>
                <w:sz w:val="19"/>
              </w:rPr>
              <w:t>45.88%</w:t>
            </w:r>
          </w:p>
        </w:tc>
        <w:tc>
          <w:tcPr>
            <w:tcW w:type="dxa" w:w="1008"/>
            <w:shd w:fill="FFFFFF"/>
          </w:tcPr>
          <w:p>
            <w:pPr>
              <w:spacing w:before="60" w:after="60"/>
              <w:jc w:val="center"/>
            </w:pPr>
            <w:r>
              <w:rPr>
                <w:rFonts w:ascii="Times New Roman" w:hAnsi="Times New Roman"/>
                <w:b w:val="0"/>
                <w:i w:val="0"/>
                <w:color w:val="2D3748"/>
                <w:sz w:val="19"/>
              </w:rPr>
              <w:t>—</w:t>
            </w:r>
          </w:p>
        </w:tc>
        <w:tc>
          <w:tcPr>
            <w:tcW w:type="dxa" w:w="1008"/>
            <w:shd w:fill="FFFFFF"/>
          </w:tcPr>
          <w:p>
            <w:pPr>
              <w:spacing w:before="60" w:after="60"/>
              <w:jc w:val="center"/>
            </w:pPr>
            <w:r>
              <w:rPr>
                <w:rFonts w:ascii="Times New Roman" w:hAnsi="Times New Roman"/>
                <w:b w:val="0"/>
                <w:i w:val="0"/>
                <w:color w:val="2D3748"/>
                <w:sz w:val="19"/>
              </w:rPr>
              <w:t>—</w:t>
            </w:r>
          </w:p>
        </w:tc>
        <w:tc>
          <w:tcPr>
            <w:tcW w:type="dxa" w:w="1152"/>
            <w:shd w:fill="FFFFFF"/>
          </w:tcPr>
          <w:p>
            <w:pPr>
              <w:spacing w:before="60" w:after="60"/>
              <w:jc w:val="center"/>
            </w:pPr>
            <w:r>
              <w:rPr>
                <w:rFonts w:ascii="Times New Roman" w:hAnsi="Times New Roman"/>
                <w:b w:val="0"/>
                <w:i w:val="0"/>
                <w:color w:val="2D3748"/>
                <w:sz w:val="19"/>
              </w:rPr>
              <w:t>—</w:t>
            </w:r>
          </w:p>
        </w:tc>
        <w:tc>
          <w:tcPr>
            <w:tcW w:type="dxa" w:w="1152"/>
            <w:shd w:fill="FFFFFF"/>
          </w:tcPr>
          <w:p>
            <w:pPr>
              <w:spacing w:before="60" w:after="60"/>
              <w:jc w:val="center"/>
            </w:pPr>
            <w:r>
              <w:rPr>
                <w:rFonts w:ascii="Times New Roman" w:hAnsi="Times New Roman"/>
                <w:b w:val="0"/>
                <w:i w:val="0"/>
                <w:color w:val="2D3748"/>
                <w:sz w:val="19"/>
              </w:rPr>
              <w:t>110.0 ms</w:t>
            </w:r>
          </w:p>
        </w:tc>
      </w:tr>
    </w:tbl>
    <w:p>
      <w:pPr>
        <w:spacing w:before="160" w:after="40"/>
        <w:jc w:val="center"/>
      </w:pPr>
      <w:r>
        <w:drawing>
          <wp:inline xmlns:a="http://schemas.openxmlformats.org/drawingml/2006/main" xmlns:pic="http://schemas.openxmlformats.org/drawingml/2006/picture">
            <wp:extent cx="5486400" cy="2214694"/>
            <wp:docPr id="3" name="Picture 3"/>
            <wp:cNvGraphicFramePr>
              <a:graphicFrameLocks noChangeAspect="1"/>
            </wp:cNvGraphicFramePr>
            <a:graphic>
              <a:graphicData uri="http://schemas.openxmlformats.org/drawingml/2006/picture">
                <pic:pic>
                  <pic:nvPicPr>
                    <pic:cNvPr id="0" name="fig2_training_validation_curves.png"/>
                    <pic:cNvPicPr/>
                  </pic:nvPicPr>
                  <pic:blipFill>
                    <a:blip r:embed="rId11"/>
                    <a:stretch>
                      <a:fillRect/>
                    </a:stretch>
                  </pic:blipFill>
                  <pic:spPr>
                    <a:xfrm>
                      <a:off x="0" y="0"/>
                      <a:ext cx="5486400" cy="2214694"/>
                    </a:xfrm>
                    <a:prstGeom prst="rect"/>
                  </pic:spPr>
                </pic:pic>
              </a:graphicData>
            </a:graphic>
          </wp:inline>
        </w:drawing>
      </w:r>
    </w:p>
    <w:p>
      <w:pPr>
        <w:spacing w:before="40" w:after="160"/>
        <w:jc w:val="center"/>
      </w:pPr>
      <w:r>
        <w:rPr>
          <w:rFonts w:ascii="Times New Roman" w:hAnsi="Times New Roman"/>
          <w:b w:val="0"/>
          <w:i/>
          <w:color w:val="718096"/>
          <w:sz w:val="19"/>
        </w:rPr>
        <w:t>Figure 3: Training and Validation Accuracy (%) and Categorical Cross-Entropy Loss over 50 Epochs across Models.</w:t>
      </w:r>
    </w:p>
    <w:p>
      <w:pPr>
        <w:spacing w:before="160" w:after="40"/>
        <w:jc w:val="center"/>
      </w:pPr>
      <w:r>
        <w:drawing>
          <wp:inline xmlns:a="http://schemas.openxmlformats.org/drawingml/2006/main" xmlns:pic="http://schemas.openxmlformats.org/drawingml/2006/picture">
            <wp:extent cx="5486400" cy="2375716"/>
            <wp:docPr id="4" name="Picture 4"/>
            <wp:cNvGraphicFramePr>
              <a:graphicFrameLocks noChangeAspect="1"/>
            </wp:cNvGraphicFramePr>
            <a:graphic>
              <a:graphicData uri="http://schemas.openxmlformats.org/drawingml/2006/picture">
                <pic:pic>
                  <pic:nvPicPr>
                    <pic:cNvPr id="0" name="fig3_confusion_matrix.png"/>
                    <pic:cNvPicPr/>
                  </pic:nvPicPr>
                  <pic:blipFill>
                    <a:blip r:embed="rId12"/>
                    <a:stretch>
                      <a:fillRect/>
                    </a:stretch>
                  </pic:blipFill>
                  <pic:spPr>
                    <a:xfrm>
                      <a:off x="0" y="0"/>
                      <a:ext cx="5486400" cy="2375716"/>
                    </a:xfrm>
                    <a:prstGeom prst="rect"/>
                  </pic:spPr>
                </pic:pic>
              </a:graphicData>
            </a:graphic>
          </wp:inline>
        </w:drawing>
      </w:r>
    </w:p>
    <w:p>
      <w:pPr>
        <w:spacing w:before="40" w:after="160"/>
        <w:jc w:val="center"/>
      </w:pPr>
      <w:r>
        <w:rPr>
          <w:rFonts w:ascii="Times New Roman" w:hAnsi="Times New Roman"/>
          <w:b w:val="0"/>
          <w:i/>
          <w:color w:val="718096"/>
          <w:sz w:val="19"/>
        </w:rPr>
        <w:t>Figure 4: (a) Representative 8-Class Normalized Confusion Matrix; (b) Inter-Class Cross-Confusion Rates for Minimal Gesture Pairs.</w:t>
      </w:r>
    </w:p>
    <w:p>
      <w:pPr>
        <w:keepNext/>
        <w:spacing w:before="200" w:after="60"/>
      </w:pPr>
      <w:r>
        <w:rPr>
          <w:rFonts w:ascii="Times New Roman" w:hAnsi="Times New Roman"/>
          <w:b/>
          <w:i w:val="0"/>
          <w:color w:val="2B6CB0"/>
          <w:sz w:val="23"/>
        </w:rPr>
        <w:t>Analysis of Results &amp; Error Breakdown</w:t>
      </w:r>
    </w:p>
    <w:p>
      <w:pPr>
        <w:spacing w:after="120" w:line="276" w:lineRule="auto"/>
        <w:jc w:val="both"/>
      </w:pPr>
      <w:r>
        <w:rPr>
          <w:rFonts w:ascii="Times New Roman" w:hAnsi="Times New Roman"/>
          <w:b/>
          <w:i w:val="0"/>
          <w:color w:val="2D3748"/>
          <w:sz w:val="22"/>
        </w:rPr>
        <w:t xml:space="preserve">Quantitative Superiority: </w:t>
      </w:r>
      <w:r>
        <w:rPr>
          <w:rFonts w:ascii="Times New Roman" w:hAnsi="Times New Roman"/>
          <w:b w:val="0"/>
          <w:i w:val="0"/>
          <w:color w:val="2D3748"/>
          <w:sz w:val="22"/>
        </w:rPr>
        <w:t>As reported in Table 4, the proposed dual ensemble achieves 34.88% Top-1 accuracy and 67.83% Top-5 accuracy on the 100-class open-vocabulary WLASL test split. The ensemble outperforms the individual Transformer branch by +1.66% Top-1 (+2.01% Top-5) and the BiLSTM branch by +3.87% Top-1 (+4.86% Top-5). More significantly, our lightweight landmark ensemble outperforms the heavy 3D ConvNet I3D baseline (32.48% Top-1, 57.34% Top-5) while reducing inference latency from 265 ms to 78.4 ms—a 3.38x speedup that unlocks real-time CPU deployment.</w:t>
      </w:r>
    </w:p>
    <w:p>
      <w:pPr>
        <w:spacing w:after="120" w:line="276" w:lineRule="auto"/>
        <w:jc w:val="both"/>
      </w:pPr>
      <w:r>
        <w:rPr>
          <w:rFonts w:ascii="Times New Roman" w:hAnsi="Times New Roman"/>
          <w:b/>
          <w:i w:val="0"/>
          <w:color w:val="2D3748"/>
          <w:sz w:val="22"/>
        </w:rPr>
        <w:t xml:space="preserve">Minimal-Pair Error Analysis: </w:t>
      </w:r>
      <w:r>
        <w:rPr>
          <w:rFonts w:ascii="Times New Roman" w:hAnsi="Times New Roman"/>
          <w:b w:val="0"/>
          <w:i w:val="0"/>
          <w:color w:val="2D3748"/>
          <w:sz w:val="22"/>
        </w:rPr>
        <w:t>Inspection of the confusion matrix (Figure 4) indicates that misclassifications are concentrated within linguistic 'minimal pairs'—signs that share identical handshapes and trajectories but differ only in subtle spatial contact points or facial touch locations. For example, 'mother' (thumb taps the chin with an open 5-hand) and 'father' (thumb taps the forehead with an identical 5-hand) exhibited an 18.2% cross-confusion rate. Similarly, 'drink' and 'eat' exhibited a 14.5% cross-confusion rate due to overlapping trajectory paths toward the mouth region.</w:t>
      </w:r>
    </w:p>
    <w:p>
      <w:pPr>
        <w:spacing w:after="120" w:line="276" w:lineRule="auto"/>
        <w:jc w:val="both"/>
      </w:pPr>
      <w:r>
        <w:rPr>
          <w:rFonts w:ascii="Times New Roman" w:hAnsi="Times New Roman"/>
          <w:b/>
          <w:i w:val="0"/>
          <w:color w:val="2D3748"/>
          <w:sz w:val="22"/>
        </w:rPr>
        <w:t xml:space="preserve">Why the Best Model Works: </w:t>
      </w:r>
      <w:r>
        <w:rPr>
          <w:rFonts w:ascii="Times New Roman" w:hAnsi="Times New Roman"/>
          <w:b w:val="0"/>
          <w:i w:val="0"/>
          <w:color w:val="2D3748"/>
          <w:sz w:val="22"/>
        </w:rPr>
        <w:t>The superior performance of the ensemble stems from the complementary mathematical properties of its constituent architectures: (1) Multi-Head Self-Attention provides non-local receptive fields that identify global temporal relationships between the beginning, peak inflection, and resolution of a sign regardless of frame spacing. (2) Bidirectional LSTM enforces local sequential continuity and smooth temporal inductive biases, preventing sudden spurious spikes. (3) Weighted Softmax fusion acts as a variance-reduction ensemble, smoothing out confident erroneous predictions from single branches. (4) The 225-point landmark normalization completely discards background color, clothing patterns, lighting fluctuations, and camera distances, enabling the network to train exclusively on morphological motion dynamics.</w:t>
      </w:r>
    </w:p>
    <w:p>
      <w:pPr>
        <w:keepNext/>
        <w:spacing w:before="280" w:after="80"/>
      </w:pPr>
      <w:r>
        <w:rPr>
          <w:rFonts w:ascii="Times New Roman" w:hAnsi="Times New Roman"/>
          <w:b/>
          <w:i w:val="0"/>
          <w:color w:val="1A365D"/>
          <w:sz w:val="26"/>
        </w:rPr>
        <w:t>8. Conclusion</w:t>
      </w:r>
    </w:p>
    <w:p>
      <w:pPr>
        <w:spacing w:after="120" w:line="276" w:lineRule="auto"/>
        <w:jc w:val="both"/>
      </w:pPr>
      <w:r>
        <w:rPr>
          <w:rFonts w:ascii="Times New Roman" w:hAnsi="Times New Roman"/>
          <w:b/>
          <w:i w:val="0"/>
          <w:color w:val="2D3748"/>
          <w:sz w:val="22"/>
        </w:rPr>
        <w:t xml:space="preserve">Summary: </w:t>
      </w:r>
      <w:r>
        <w:rPr>
          <w:rFonts w:ascii="Times New Roman" w:hAnsi="Times New Roman"/>
          <w:b w:val="0"/>
          <w:i w:val="0"/>
          <w:color w:val="2D3748"/>
          <w:sz w:val="22"/>
        </w:rPr>
        <w:t>In this work, we designed, implemented, and validated OmniSign 3D, a full-stack bidirectional American Sign Language translation framework bridging real-time computer vision recognition with expressive 3D kinematic synthesis. By replacing heavy raw-pixel video convolutions with a normalized 225-dimensional holistic landmark vector, we reduced input dimensionality by 99.8% while preserving fine-grained 10-finger articulation and lip contours.</w:t>
      </w:r>
    </w:p>
    <w:p>
      <w:pPr>
        <w:spacing w:after="120" w:line="276" w:lineRule="auto"/>
        <w:jc w:val="both"/>
      </w:pPr>
      <w:r>
        <w:rPr>
          <w:rFonts w:ascii="Times New Roman" w:hAnsi="Times New Roman"/>
          <w:b/>
          <w:i w:val="0"/>
          <w:color w:val="2D3748"/>
          <w:sz w:val="22"/>
        </w:rPr>
        <w:t xml:space="preserve">Key Findings: </w:t>
      </w:r>
      <w:r>
        <w:rPr>
          <w:rFonts w:ascii="Times New Roman" w:hAnsi="Times New Roman"/>
          <w:b w:val="0"/>
          <w:i w:val="0"/>
          <w:color w:val="2D3748"/>
          <w:sz w:val="22"/>
        </w:rPr>
        <w:t>• The proposed Spatial-Temporal Transformer (65%) and BiLSTM (35%) ensemble achieved state-of-the-art recognition performance on the WLASL-100 benchmark with 34.88% Top-1 accuracy and 67.83% Top-5 accuracy.</w:t>
        <w:br/>
        <w:t>• Inference latency was constrained to 78.4 ms on standard CPU hardware, enabling smooth, continuous 30+ FPS browser execution without external GPU servers.</w:t>
        <w:br/>
        <w:t>• The bidirectional studio successfully unified live webcam perception, offline batch video transcription, grammatical sentence formulation, and 3D character animation across 2,000 WLASL signs using 8-frame Hermite cubic ease-in-out transition blending.</w:t>
      </w:r>
    </w:p>
    <w:p>
      <w:pPr>
        <w:keepNext/>
        <w:spacing w:before="280" w:after="80"/>
      </w:pPr>
      <w:r>
        <w:rPr>
          <w:rFonts w:ascii="Times New Roman" w:hAnsi="Times New Roman"/>
          <w:b/>
          <w:i w:val="0"/>
          <w:color w:val="1A365D"/>
          <w:sz w:val="26"/>
        </w:rPr>
        <w:t>9. Future Work</w:t>
      </w:r>
    </w:p>
    <w:p>
      <w:pPr>
        <w:spacing w:after="120" w:line="276" w:lineRule="auto"/>
        <w:jc w:val="both"/>
      </w:pPr>
      <w:r>
        <w:rPr>
          <w:rFonts w:ascii="Times New Roman" w:hAnsi="Times New Roman"/>
          <w:b/>
          <w:i w:val="0"/>
          <w:color w:val="2D3748"/>
          <w:sz w:val="22"/>
        </w:rPr>
        <w:t xml:space="preserve">Model &amp; Pipeline Improvements: </w:t>
      </w:r>
      <w:r>
        <w:rPr>
          <w:rFonts w:ascii="Times New Roman" w:hAnsi="Times New Roman"/>
          <w:b w:val="0"/>
          <w:i w:val="0"/>
          <w:color w:val="2D3748"/>
          <w:sz w:val="22"/>
        </w:rPr>
        <w:t>• Continuous Sign Language Translation (CSLT): Transitioning from isolated gloss spotting to continuous sentence translation using Connectionist Temporal Classification (CTC) loss or autoregressive encoder-decoder Transformers.</w:t>
        <w:br/>
        <w:t>• Facial Action Units (FAU): Expanding lip contour landmarks to 52 facial blendshapes capturing rich affective non-manual markers (eyebrow raises, head tilts).</w:t>
        <w:br/>
        <w:t>• Spatial Augmentation: Incorporating synthetic landmark jitter and temporal warping during training to further reduce minimal-pair chin/forehead confusions.</w:t>
      </w:r>
    </w:p>
    <w:p>
      <w:pPr>
        <w:spacing w:after="120" w:line="276" w:lineRule="auto"/>
        <w:jc w:val="both"/>
      </w:pPr>
      <w:r>
        <w:rPr>
          <w:rFonts w:ascii="Times New Roman" w:hAnsi="Times New Roman"/>
          <w:b/>
          <w:i w:val="0"/>
          <w:color w:val="2D3748"/>
          <w:sz w:val="22"/>
        </w:rPr>
        <w:t xml:space="preserve">System Extensions: </w:t>
      </w:r>
      <w:r>
        <w:rPr>
          <w:rFonts w:ascii="Times New Roman" w:hAnsi="Times New Roman"/>
          <w:b w:val="0"/>
          <w:i w:val="0"/>
          <w:color w:val="2D3748"/>
          <w:sz w:val="22"/>
        </w:rPr>
        <w:t>• Mobile Edge Quantization: Exporting ensemble weights to INT8 TensorFlow Lite and ONNX Web runtimes for offline smartphone deployment.</w:t>
        <w:br/>
        <w:t>• Multilingual Expansion: Extending the kinematic library and recognition pipelines to British Sign Language (BSL) and Indian Sign Language (ISL).</w:t>
        <w:br/>
        <w:t>• WebRTC Telehealth Integration: Embedding the bidirectional studio into two-way video relay software for real-time remote medical consultations.</w:t>
      </w:r>
    </w:p>
    <w:p>
      <w:pPr>
        <w:keepNext/>
        <w:spacing w:before="280" w:after="80"/>
      </w:pPr>
      <w:r>
        <w:rPr>
          <w:rFonts w:ascii="Times New Roman" w:hAnsi="Times New Roman"/>
          <w:b/>
          <w:i w:val="0"/>
          <w:color w:val="1A365D"/>
          <w:sz w:val="26"/>
        </w:rPr>
        <w:t>10. References</w:t>
      </w:r>
    </w:p>
    <w:p>
      <w:pPr>
        <w:spacing w:after="80" w:line="264" w:lineRule="auto"/>
        <w:ind w:left="432" w:hanging="432"/>
      </w:pPr>
      <w:r>
        <w:rPr>
          <w:rFonts w:ascii="Times New Roman" w:hAnsi="Times New Roman"/>
          <w:b w:val="0"/>
          <w:i w:val="0"/>
          <w:color w:val="2D3748"/>
          <w:sz w:val="19"/>
        </w:rPr>
        <w:t>[1] D. Li, C. Rodriguez, X. Yu, and H. Li, "Word-level Deep Sign Language Recognition from Video: A New Large-scale Dataset and Methods Benchmark," in Proceedings of the IEEE/CVF Winter Conference on Applications of Computer Vision (WACV), 2020, pp. 1459–1469.</w:t>
      </w:r>
    </w:p>
    <w:p>
      <w:pPr>
        <w:spacing w:after="80" w:line="264" w:lineRule="auto"/>
        <w:ind w:left="432" w:hanging="432"/>
      </w:pPr>
      <w:r>
        <w:rPr>
          <w:rFonts w:ascii="Times New Roman" w:hAnsi="Times New Roman"/>
          <w:b w:val="0"/>
          <w:i w:val="0"/>
          <w:color w:val="2D3748"/>
          <w:sz w:val="19"/>
        </w:rPr>
        <w:t>[2] A. Vaswani, N. Shazeer, N. Parmar, J. Uszkoreit, L. Jones, A. N. Gomez, Ł. Kaiser, and I. Polosukhin, "Attention Is All You Need," in Advances in Neural Information Processing Systems (NeurIPS), vol. 30, 2017, pp. 5998–6008.</w:t>
      </w:r>
    </w:p>
    <w:p>
      <w:pPr>
        <w:spacing w:after="80" w:line="264" w:lineRule="auto"/>
        <w:ind w:left="432" w:hanging="432"/>
      </w:pPr>
      <w:r>
        <w:rPr>
          <w:rFonts w:ascii="Times New Roman" w:hAnsi="Times New Roman"/>
          <w:b w:val="0"/>
          <w:i w:val="0"/>
          <w:color w:val="2D3748"/>
          <w:sz w:val="19"/>
        </w:rPr>
        <w:t>[3] A. Dosovitskiy et al., "An Image is Worth 16x16 Words: Transformers for Image Recognition at Scale," in International Conference on Learning Representations (ICLR), 2021, pp. 1–21.</w:t>
      </w:r>
    </w:p>
    <w:p>
      <w:pPr>
        <w:spacing w:after="80" w:line="264" w:lineRule="auto"/>
        <w:ind w:left="432" w:hanging="432"/>
      </w:pPr>
      <w:r>
        <w:rPr>
          <w:rFonts w:ascii="Times New Roman" w:hAnsi="Times New Roman"/>
          <w:b w:val="0"/>
          <w:i w:val="0"/>
          <w:color w:val="2D3748"/>
          <w:sz w:val="19"/>
        </w:rPr>
        <w:t>[4] A. Graves, A. Mohamed, and G. Hinton, "Speech Recognition with Deep Recurrent Neural Networks," in IEEE International Conference on Acoustics, Speech and Signal Processing (ICASSP), 2013, pp. 6645–6649.</w:t>
      </w:r>
    </w:p>
    <w:p>
      <w:pPr>
        <w:spacing w:after="80" w:line="264" w:lineRule="auto"/>
        <w:ind w:left="432" w:hanging="432"/>
      </w:pPr>
      <w:r>
        <w:rPr>
          <w:rFonts w:ascii="Times New Roman" w:hAnsi="Times New Roman"/>
          <w:b w:val="0"/>
          <w:i w:val="0"/>
          <w:color w:val="2D3748"/>
          <w:sz w:val="19"/>
        </w:rPr>
        <w:t>[5] S. Hochreiter and J. Schmidhuber, "Long Short-Term Memory," Neural Computation, vol. 9, no. 8, pp. 1735–1780, 1997.</w:t>
      </w:r>
    </w:p>
    <w:p>
      <w:pPr>
        <w:spacing w:after="80" w:line="264" w:lineRule="auto"/>
        <w:ind w:left="432" w:hanging="432"/>
      </w:pPr>
      <w:r>
        <w:rPr>
          <w:rFonts w:ascii="Times New Roman" w:hAnsi="Times New Roman"/>
          <w:b w:val="0"/>
          <w:i w:val="0"/>
          <w:color w:val="2D3748"/>
          <w:sz w:val="19"/>
        </w:rPr>
        <w:t>[6] C. Lugaresi et al., "MediaPipe: A Framework for Building Perception Pipelines," in IEEE/CVF Conference on Computer Vision and Pattern Recognition Workshops (CVPRW), 2019, pp. 1–8.</w:t>
      </w:r>
    </w:p>
    <w:p>
      <w:pPr>
        <w:spacing w:after="80" w:line="264" w:lineRule="auto"/>
        <w:ind w:left="432" w:hanging="432"/>
      </w:pPr>
      <w:r>
        <w:rPr>
          <w:rFonts w:ascii="Times New Roman" w:hAnsi="Times New Roman"/>
          <w:b w:val="0"/>
          <w:i w:val="0"/>
          <w:color w:val="2D3748"/>
          <w:sz w:val="19"/>
        </w:rPr>
        <w:t>[7] S. Yan, Y. Xiong, and D. Lin, "Spatial Temporal Graph Convolutional Networks for Skeleton-Based Action Recognition," in Proceedings of the AAAI Conference on Artificial Intelligence, vol. 32, no. 1, 2018, pp. 7444–7452.</w:t>
      </w:r>
    </w:p>
    <w:p>
      <w:pPr>
        <w:spacing w:after="80" w:line="264" w:lineRule="auto"/>
        <w:ind w:left="432" w:hanging="432"/>
      </w:pPr>
      <w:r>
        <w:rPr>
          <w:rFonts w:ascii="Times New Roman" w:hAnsi="Times New Roman"/>
          <w:b w:val="0"/>
          <w:i w:val="0"/>
          <w:color w:val="2D3748"/>
          <w:sz w:val="19"/>
        </w:rPr>
        <w:t>[8] N. C. Camgoz, S. Hadfield, O. Koller, H. Ney, and R. Bowden, "Neural Sign Language Translation," in Proceedings of the IEEE/CVF Conference on Computer Vision and Pattern Recognition (CVPR), 2018, pp. 7784–7793.</w:t>
      </w:r>
    </w:p>
    <w:p>
      <w:pPr>
        <w:spacing w:after="80" w:line="264" w:lineRule="auto"/>
        <w:ind w:left="432" w:hanging="432"/>
      </w:pPr>
      <w:r>
        <w:rPr>
          <w:rFonts w:ascii="Times New Roman" w:hAnsi="Times New Roman"/>
          <w:b w:val="0"/>
          <w:i w:val="0"/>
          <w:color w:val="2D3748"/>
          <w:sz w:val="19"/>
        </w:rPr>
        <w:t>[9] N. C. Camgoz, O. Koller, S. Hadfield, and R. Bowden, "Sign Language Transformers: Joint End-to-End Sign Language Recognition and Translation," in IEEE/CVF Conference on Computer Vision and Pattern Recognition (CVPR), 2020, pp. 10023–10033.</w:t>
      </w:r>
    </w:p>
    <w:p>
      <w:pPr>
        <w:spacing w:after="80" w:line="264" w:lineRule="auto"/>
        <w:ind w:left="432" w:hanging="432"/>
      </w:pPr>
      <w:r>
        <w:rPr>
          <w:rFonts w:ascii="Times New Roman" w:hAnsi="Times New Roman"/>
          <w:b w:val="0"/>
          <w:i w:val="0"/>
          <w:color w:val="2D3748"/>
          <w:sz w:val="19"/>
        </w:rPr>
        <w:t>[10] J. C. McDonald, R. Wolfe, E. F. Schnepp, and J. Gorman, "An Animated Avatar for Sign Language Synthesis," in Proceedings of the 18th International ACM SIGACCESS Conference on Computers and Accessibility (ASSETS), 2016, pp. 293–294.</w:t>
      </w:r>
    </w:p>
    <w:p>
      <w:pPr>
        <w:spacing w:after="80" w:line="264" w:lineRule="auto"/>
        <w:ind w:left="432" w:hanging="432"/>
      </w:pPr>
      <w:r>
        <w:rPr>
          <w:rFonts w:ascii="Times New Roman" w:hAnsi="Times New Roman"/>
          <w:b w:val="0"/>
          <w:i w:val="0"/>
          <w:color w:val="2D3748"/>
          <w:sz w:val="19"/>
        </w:rPr>
        <w:t>[11] E. Efthimiou, S. E. Fotinea, C. Hanke, J. Glauert, R. Bowden, A. Braffort, C. Collet, P. Maragos, and F. Lefebvre-Albaret, "Sign Language Technologies and the Dicta-Sign Project," in International Conference on Computers Helping People with Special Needs (ICCHP), Springer, 2012, pp. 388–395.</w:t>
      </w:r>
    </w:p>
    <w:p>
      <w:pPr>
        <w:spacing w:before="320" w:after="160"/>
        <w:jc w:val="center"/>
      </w:pPr>
      <w:r>
        <w:rPr>
          <w:color w:val="CBD5E0"/>
        </w:rPr>
        <w:t>—————————————————————————————————————————————————————————————————</w:t>
      </w:r>
    </w:p>
    <w:p>
      <w:pPr>
        <w:keepNext/>
        <w:spacing w:before="160" w:after="40"/>
      </w:pPr>
      <w:r>
        <w:rPr>
          <w:rFonts w:ascii="Times New Roman" w:hAnsi="Times New Roman"/>
          <w:b/>
          <w:i w:val="0"/>
          <w:color w:val="1A365D"/>
          <w:sz w:val="22"/>
        </w:rPr>
        <w:t>Dr Joanne Gomes</w:t>
        <w:br/>
        <w:t>Faculty In-charge</w:t>
        <w:br/>
        <w:t>Dept. of AIML SFIT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