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AB1AB5" w14:textId="77777777" w:rsidR="00FC154D" w:rsidRPr="00FC154D" w:rsidRDefault="00FC154D" w:rsidP="001C4C63">
      <w:pPr>
        <w:ind w:left="-450" w:right="-540"/>
        <w:rPr>
          <w:b/>
          <w:sz w:val="20"/>
          <w:szCs w:val="20"/>
        </w:rPr>
      </w:pPr>
      <w:r w:rsidRPr="00FC154D">
        <w:rPr>
          <w:b/>
          <w:sz w:val="20"/>
          <w:szCs w:val="20"/>
        </w:rPr>
        <w:t>ABSTRACT</w:t>
      </w:r>
    </w:p>
    <w:p w14:paraId="5D2C684B" w14:textId="77777777" w:rsidR="00FC154D" w:rsidRDefault="00FC154D" w:rsidP="001C4C63">
      <w:pPr>
        <w:ind w:left="-450" w:right="-540"/>
        <w:rPr>
          <w:sz w:val="20"/>
          <w:szCs w:val="20"/>
        </w:rPr>
      </w:pPr>
      <w:r w:rsidRPr="00FC154D">
        <w:rPr>
          <w:sz w:val="20"/>
          <w:szCs w:val="20"/>
        </w:rPr>
        <w:t>Comorbidities of obesity were ranked by risk ratio, using the MeSH descriptors associated with articles in the PubMed corpus.</w:t>
      </w:r>
    </w:p>
    <w:p w14:paraId="0BA9FD96" w14:textId="77777777" w:rsidR="00FC154D" w:rsidRPr="00FC154D" w:rsidRDefault="00FC154D" w:rsidP="001C4C63">
      <w:pPr>
        <w:ind w:left="-450" w:right="-540"/>
        <w:rPr>
          <w:sz w:val="20"/>
          <w:szCs w:val="20"/>
        </w:rPr>
      </w:pPr>
    </w:p>
    <w:p w14:paraId="13720C08" w14:textId="77777777" w:rsidR="00FC154D" w:rsidRPr="00FC154D" w:rsidRDefault="00FC154D" w:rsidP="001C4C63">
      <w:pPr>
        <w:ind w:left="-450" w:right="-540"/>
        <w:rPr>
          <w:b/>
          <w:sz w:val="20"/>
          <w:szCs w:val="20"/>
        </w:rPr>
      </w:pPr>
      <w:r w:rsidRPr="00FC154D">
        <w:rPr>
          <w:b/>
          <w:sz w:val="20"/>
          <w:szCs w:val="20"/>
        </w:rPr>
        <w:t>METHODOLOGY SUMMARY</w:t>
      </w:r>
    </w:p>
    <w:p w14:paraId="19444CA6" w14:textId="000131A5" w:rsidR="00FC154D" w:rsidRPr="00FC154D" w:rsidRDefault="00FC154D" w:rsidP="001C4C63">
      <w:pPr>
        <w:ind w:left="-450" w:right="-540"/>
        <w:rPr>
          <w:sz w:val="20"/>
          <w:szCs w:val="20"/>
        </w:rPr>
      </w:pPr>
      <w:r w:rsidRPr="00FC154D">
        <w:rPr>
          <w:sz w:val="20"/>
          <w:szCs w:val="20"/>
        </w:rPr>
        <w:t>Potential comorbid conditions were gleaned from the MeSH 2015 vocabulary file. Those MeSH descriptors whose semantic types were 'Disease or Syndrome' (T047) or T047's children ('Mental or Behavioral Dysfunction', T048; and 'Neoplastic Process', T191) were extracted using a preprocessor and written to an output</w:t>
      </w:r>
      <w:r w:rsidR="00110E2F">
        <w:rPr>
          <w:sz w:val="20"/>
          <w:szCs w:val="20"/>
        </w:rPr>
        <w:t xml:space="preserve"> file (see MeSHPruner.java and</w:t>
      </w:r>
      <w:r w:rsidR="00110E2F" w:rsidRPr="00FC154D">
        <w:rPr>
          <w:sz w:val="20"/>
          <w:szCs w:val="20"/>
        </w:rPr>
        <w:t xml:space="preserve"> </w:t>
      </w:r>
      <w:proofErr w:type="spellStart"/>
      <w:r w:rsidRPr="00FC154D">
        <w:rPr>
          <w:sz w:val="20"/>
          <w:szCs w:val="20"/>
        </w:rPr>
        <w:t>src</w:t>
      </w:r>
      <w:proofErr w:type="spellEnd"/>
      <w:r w:rsidRPr="00FC154D">
        <w:rPr>
          <w:sz w:val="20"/>
          <w:szCs w:val="20"/>
        </w:rPr>
        <w:t>/main/resources/MeSH_Disease_Or_Syndrome.xml ; note that the output file does not conform to the MeSH 2015 DTD since it was transformed using XSLT into a more manageable format.) This preprocessing identified 3,679 diseases or syndromes.</w:t>
      </w:r>
    </w:p>
    <w:p w14:paraId="6C3D498E" w14:textId="77777777" w:rsidR="00FC154D" w:rsidRPr="00FC154D" w:rsidRDefault="00FC154D" w:rsidP="001C4C63">
      <w:pPr>
        <w:ind w:left="-450" w:right="-540"/>
        <w:rPr>
          <w:sz w:val="20"/>
          <w:szCs w:val="20"/>
        </w:rPr>
      </w:pPr>
    </w:p>
    <w:p w14:paraId="063BB0D8" w14:textId="77777777" w:rsidR="00FC154D" w:rsidRPr="00FC154D" w:rsidRDefault="00FC154D" w:rsidP="001C4C63">
      <w:pPr>
        <w:ind w:left="-450" w:right="-540"/>
        <w:rPr>
          <w:sz w:val="20"/>
          <w:szCs w:val="20"/>
        </w:rPr>
      </w:pPr>
      <w:r w:rsidRPr="00FC154D">
        <w:rPr>
          <w:sz w:val="20"/>
          <w:szCs w:val="20"/>
        </w:rPr>
        <w:t xml:space="preserve">A risk ratio for the presence of each comorbid condition was calculated. A risk ratio is the ratio of the probability of an event occurring in the presence of an influencing factor to the probability of an event not occurring, given the influence of the same factor. Determining these probabilities requires four counts, which were determined using the following four </w:t>
      </w:r>
      <w:proofErr w:type="spellStart"/>
      <w:r w:rsidRPr="00FC154D">
        <w:rPr>
          <w:sz w:val="20"/>
          <w:szCs w:val="20"/>
        </w:rPr>
        <w:t>Entrez</w:t>
      </w:r>
      <w:proofErr w:type="spellEnd"/>
      <w:r w:rsidRPr="00FC154D">
        <w:rPr>
          <w:sz w:val="20"/>
          <w:szCs w:val="20"/>
        </w:rPr>
        <w:t xml:space="preserve"> queries:</w:t>
      </w:r>
    </w:p>
    <w:p w14:paraId="3AFC0372" w14:textId="77777777" w:rsidR="00FC154D" w:rsidRPr="00FC154D" w:rsidRDefault="00FC154D" w:rsidP="001C4C63">
      <w:pPr>
        <w:ind w:left="-450" w:right="-540"/>
        <w:rPr>
          <w:sz w:val="20"/>
          <w:szCs w:val="20"/>
        </w:rPr>
      </w:pPr>
    </w:p>
    <w:p w14:paraId="711CEFFF" w14:textId="77777777" w:rsidR="00FC154D" w:rsidRPr="00FC154D" w:rsidRDefault="00FC154D" w:rsidP="001C4C63">
      <w:pPr>
        <w:ind w:left="-450" w:right="-540"/>
        <w:rPr>
          <w:sz w:val="20"/>
          <w:szCs w:val="20"/>
        </w:rPr>
      </w:pPr>
      <w:r w:rsidRPr="00FC154D">
        <w:rPr>
          <w:sz w:val="20"/>
          <w:szCs w:val="20"/>
        </w:rPr>
        <w:t>a. Obesity AND comorbid condition (both conditions are present);</w:t>
      </w:r>
    </w:p>
    <w:p w14:paraId="7E3003B1" w14:textId="77777777" w:rsidR="00FC154D" w:rsidRPr="00FC154D" w:rsidRDefault="00FC154D" w:rsidP="001C4C63">
      <w:pPr>
        <w:ind w:left="-450" w:right="-540"/>
        <w:rPr>
          <w:sz w:val="20"/>
          <w:szCs w:val="20"/>
        </w:rPr>
      </w:pPr>
      <w:r w:rsidRPr="00FC154D">
        <w:rPr>
          <w:sz w:val="20"/>
          <w:szCs w:val="20"/>
        </w:rPr>
        <w:t>b. Obesity NOT comorbid condition (only obesity is present;</w:t>
      </w:r>
    </w:p>
    <w:p w14:paraId="130A9976" w14:textId="77777777" w:rsidR="00FC154D" w:rsidRPr="00FC154D" w:rsidRDefault="00FC154D" w:rsidP="001C4C63">
      <w:pPr>
        <w:ind w:left="-450" w:right="-540"/>
        <w:rPr>
          <w:sz w:val="20"/>
          <w:szCs w:val="20"/>
        </w:rPr>
      </w:pPr>
      <w:r w:rsidRPr="00FC154D">
        <w:rPr>
          <w:sz w:val="20"/>
          <w:szCs w:val="20"/>
        </w:rPr>
        <w:t>c. Comorbid condition NOT obesity (only the comorbid condition is present); and</w:t>
      </w:r>
    </w:p>
    <w:p w14:paraId="18ADF699" w14:textId="77777777" w:rsidR="00FC154D" w:rsidRPr="00FC154D" w:rsidRDefault="00FC154D" w:rsidP="001C4C63">
      <w:pPr>
        <w:ind w:left="-450" w:right="-540"/>
        <w:rPr>
          <w:sz w:val="20"/>
          <w:szCs w:val="20"/>
        </w:rPr>
      </w:pPr>
      <w:r w:rsidRPr="00FC154D">
        <w:rPr>
          <w:sz w:val="20"/>
          <w:szCs w:val="20"/>
        </w:rPr>
        <w:t>d. The total number of documents in the PubMed corpus, minus the count from query 'a' (i.e., neither condition is present)</w:t>
      </w:r>
    </w:p>
    <w:p w14:paraId="64D9FDEF" w14:textId="77777777" w:rsidR="00FC154D" w:rsidRPr="00FC154D" w:rsidRDefault="00FC154D" w:rsidP="001C4C63">
      <w:pPr>
        <w:ind w:left="-450" w:right="-540"/>
        <w:rPr>
          <w:sz w:val="20"/>
          <w:szCs w:val="20"/>
        </w:rPr>
      </w:pPr>
    </w:p>
    <w:p w14:paraId="19EF9610" w14:textId="77777777" w:rsidR="00FC154D" w:rsidRPr="00FC154D" w:rsidRDefault="00FC154D" w:rsidP="001C4C63">
      <w:pPr>
        <w:ind w:left="-450" w:right="-540"/>
        <w:rPr>
          <w:sz w:val="20"/>
          <w:szCs w:val="20"/>
        </w:rPr>
      </w:pPr>
      <w:r w:rsidRPr="00FC154D">
        <w:rPr>
          <w:sz w:val="20"/>
          <w:szCs w:val="20"/>
        </w:rPr>
        <w:t>These counts yield the risk ratio via the following expression:</w:t>
      </w:r>
      <w:r>
        <w:rPr>
          <w:sz w:val="20"/>
          <w:szCs w:val="20"/>
        </w:rPr>
        <w:t xml:space="preserve"> (symbols refer to the </w:t>
      </w:r>
      <w:proofErr w:type="spellStart"/>
      <w:r>
        <w:rPr>
          <w:sz w:val="20"/>
          <w:szCs w:val="20"/>
        </w:rPr>
        <w:t>Entrez</w:t>
      </w:r>
      <w:proofErr w:type="spellEnd"/>
      <w:r>
        <w:rPr>
          <w:sz w:val="20"/>
          <w:szCs w:val="20"/>
        </w:rPr>
        <w:t xml:space="preserve"> queries defined above)</w:t>
      </w:r>
    </w:p>
    <w:p w14:paraId="175CAE4B" w14:textId="77777777" w:rsidR="00FC154D" w:rsidRPr="00FC154D" w:rsidRDefault="00FC154D" w:rsidP="001C4C63">
      <w:pPr>
        <w:ind w:left="-450" w:right="-540"/>
        <w:rPr>
          <w:sz w:val="20"/>
          <w:szCs w:val="20"/>
        </w:rPr>
      </w:pPr>
    </w:p>
    <w:p w14:paraId="59973BDA" w14:textId="77777777" w:rsidR="00FC154D" w:rsidRPr="00FC154D" w:rsidRDefault="00FC154D" w:rsidP="001C4C63">
      <w:pPr>
        <w:ind w:left="-450" w:right="-540"/>
        <w:rPr>
          <w:rFonts w:ascii="Lucida Sans" w:hAnsi="Lucida Sans"/>
          <w:sz w:val="20"/>
          <w:szCs w:val="20"/>
        </w:rPr>
      </w:pPr>
      <w:r w:rsidRPr="00FC154D">
        <w:rPr>
          <w:sz w:val="20"/>
          <w:szCs w:val="20"/>
        </w:rPr>
        <w:tab/>
      </w:r>
      <w:r w:rsidRPr="00FC154D">
        <w:rPr>
          <w:rFonts w:ascii="Lucida Sans" w:hAnsi="Lucida Sans"/>
          <w:sz w:val="20"/>
          <w:szCs w:val="20"/>
        </w:rPr>
        <w:t>RR = a/(a + b) / c/(c + d)</w:t>
      </w:r>
    </w:p>
    <w:p w14:paraId="19DFF469" w14:textId="77777777" w:rsidR="00FC154D" w:rsidRPr="00FC154D" w:rsidRDefault="00FC154D" w:rsidP="001C4C63">
      <w:pPr>
        <w:ind w:left="-450" w:right="-540"/>
        <w:rPr>
          <w:sz w:val="20"/>
          <w:szCs w:val="20"/>
        </w:rPr>
      </w:pPr>
    </w:p>
    <w:p w14:paraId="3FB02E4C" w14:textId="77777777" w:rsidR="00FC154D" w:rsidRDefault="00FC154D" w:rsidP="001C4C63">
      <w:pPr>
        <w:ind w:left="-450" w:right="-540"/>
        <w:rPr>
          <w:sz w:val="20"/>
          <w:szCs w:val="20"/>
        </w:rPr>
      </w:pPr>
      <w:r w:rsidRPr="00FC154D">
        <w:rPr>
          <w:sz w:val="20"/>
          <w:szCs w:val="20"/>
        </w:rPr>
        <w:t xml:space="preserve">The denominator of this equation is often called the "control group". In our analysis this control group contains all the PubMed articles that did not have the "obesity" descriptor in their major heading; i.e., it contains those articles in which obesity was not a major topic. </w:t>
      </w:r>
    </w:p>
    <w:p w14:paraId="64ECDE64" w14:textId="77777777" w:rsidR="00FC154D" w:rsidRPr="00FC154D" w:rsidRDefault="00FC154D" w:rsidP="001C4C63">
      <w:pPr>
        <w:ind w:left="-450" w:right="-540"/>
        <w:rPr>
          <w:sz w:val="20"/>
          <w:szCs w:val="20"/>
        </w:rPr>
      </w:pPr>
    </w:p>
    <w:p w14:paraId="6E1C98CA" w14:textId="77777777" w:rsidR="00FC154D" w:rsidRPr="00FC154D" w:rsidRDefault="00FC154D" w:rsidP="001C4C63">
      <w:pPr>
        <w:ind w:left="-450" w:right="-540"/>
        <w:rPr>
          <w:b/>
          <w:sz w:val="20"/>
          <w:szCs w:val="20"/>
        </w:rPr>
      </w:pPr>
      <w:r w:rsidRPr="00FC154D">
        <w:rPr>
          <w:b/>
          <w:sz w:val="20"/>
          <w:szCs w:val="20"/>
        </w:rPr>
        <w:t>DISCUSSION</w:t>
      </w:r>
    </w:p>
    <w:p w14:paraId="5A1E5DE4" w14:textId="5E2A1FA9" w:rsidR="00FC154D" w:rsidRPr="00FC154D" w:rsidRDefault="00FC154D" w:rsidP="001C4C63">
      <w:pPr>
        <w:ind w:left="-450" w:right="-540"/>
        <w:rPr>
          <w:sz w:val="20"/>
          <w:szCs w:val="20"/>
        </w:rPr>
      </w:pPr>
      <w:r w:rsidRPr="00FC154D">
        <w:rPr>
          <w:sz w:val="20"/>
          <w:szCs w:val="20"/>
        </w:rPr>
        <w:t>In the PubMed corpus, those articles that discussed obesity nearly always also discussed nutritional disorders. Of the twelve descriptors with the largest risk ratio, eight discuss nutrition or glucose metabolism</w:t>
      </w:r>
      <w:r>
        <w:rPr>
          <w:sz w:val="20"/>
          <w:szCs w:val="20"/>
        </w:rPr>
        <w:t xml:space="preserve"> and</w:t>
      </w:r>
      <w:r w:rsidRPr="00FC154D">
        <w:rPr>
          <w:sz w:val="20"/>
          <w:szCs w:val="20"/>
        </w:rPr>
        <w:t xml:space="preserve"> another refer</w:t>
      </w:r>
      <w:r w:rsidR="007E5607">
        <w:rPr>
          <w:sz w:val="20"/>
          <w:szCs w:val="20"/>
        </w:rPr>
        <w:t>s</w:t>
      </w:r>
      <w:r w:rsidRPr="00FC154D">
        <w:rPr>
          <w:sz w:val="20"/>
          <w:szCs w:val="20"/>
        </w:rPr>
        <w:t xml:space="preserve"> to </w:t>
      </w:r>
      <w:r w:rsidR="007E5607">
        <w:rPr>
          <w:sz w:val="20"/>
          <w:szCs w:val="20"/>
        </w:rPr>
        <w:t>a congenital disorder</w:t>
      </w:r>
      <w:r w:rsidRPr="00FC154D">
        <w:rPr>
          <w:sz w:val="20"/>
          <w:szCs w:val="20"/>
        </w:rPr>
        <w:t xml:space="preserve"> that affect metabolism. In other words, writers contributing to the journals sourced by PubMed overwhelmingly believe obesity is </w:t>
      </w:r>
      <w:r>
        <w:rPr>
          <w:sz w:val="20"/>
          <w:szCs w:val="20"/>
        </w:rPr>
        <w:t>associated with</w:t>
      </w:r>
      <w:r w:rsidRPr="00FC154D">
        <w:rPr>
          <w:sz w:val="20"/>
          <w:szCs w:val="20"/>
        </w:rPr>
        <w:t xml:space="preserve"> </w:t>
      </w:r>
      <w:r w:rsidR="00D0293A">
        <w:rPr>
          <w:sz w:val="20"/>
          <w:szCs w:val="20"/>
        </w:rPr>
        <w:t>metabolism</w:t>
      </w:r>
      <w:r w:rsidRPr="00FC154D">
        <w:rPr>
          <w:sz w:val="20"/>
          <w:szCs w:val="20"/>
        </w:rPr>
        <w:t>.</w:t>
      </w:r>
    </w:p>
    <w:p w14:paraId="5A04CBDE" w14:textId="77777777" w:rsidR="00FC154D" w:rsidRDefault="00FC154D" w:rsidP="001C4C63">
      <w:pPr>
        <w:ind w:left="-450" w:right="-540"/>
        <w:rPr>
          <w:sz w:val="20"/>
          <w:szCs w:val="20"/>
        </w:rPr>
      </w:pPr>
    </w:p>
    <w:tbl>
      <w:tblPr>
        <w:tblW w:w="7680" w:type="dxa"/>
        <w:tblInd w:w="1278" w:type="dxa"/>
        <w:tblLook w:val="04A0" w:firstRow="1" w:lastRow="0" w:firstColumn="1" w:lastColumn="0" w:noHBand="0" w:noVBand="1"/>
      </w:tblPr>
      <w:tblGrid>
        <w:gridCol w:w="6400"/>
        <w:gridCol w:w="1280"/>
      </w:tblGrid>
      <w:tr w:rsidR="00457B92" w:rsidRPr="00457B92" w14:paraId="7D86FE86" w14:textId="77777777" w:rsidTr="00E0312F">
        <w:trPr>
          <w:trHeight w:val="300"/>
        </w:trPr>
        <w:tc>
          <w:tcPr>
            <w:tcW w:w="6400" w:type="dxa"/>
            <w:tcBorders>
              <w:top w:val="nil"/>
              <w:left w:val="nil"/>
              <w:bottom w:val="single" w:sz="4" w:space="0" w:color="auto"/>
              <w:right w:val="nil"/>
            </w:tcBorders>
            <w:shd w:val="clear" w:color="auto" w:fill="auto"/>
            <w:noWrap/>
            <w:vAlign w:val="bottom"/>
            <w:hideMark/>
          </w:tcPr>
          <w:p w14:paraId="24E2B375" w14:textId="77777777" w:rsidR="00457B92" w:rsidRPr="00457B92" w:rsidRDefault="00457B92" w:rsidP="00457B92">
            <w:pPr>
              <w:rPr>
                <w:rFonts w:ascii="Calibri" w:eastAsia="Times New Roman" w:hAnsi="Calibri" w:cs="Times New Roman"/>
                <w:b/>
                <w:bCs/>
                <w:color w:val="000000"/>
                <w:sz w:val="20"/>
                <w:szCs w:val="20"/>
              </w:rPr>
            </w:pPr>
            <w:r w:rsidRPr="00457B92">
              <w:rPr>
                <w:rFonts w:ascii="Calibri" w:eastAsia="Times New Roman" w:hAnsi="Calibri" w:cs="Times New Roman"/>
                <w:b/>
                <w:bCs/>
                <w:color w:val="000000"/>
                <w:sz w:val="20"/>
                <w:szCs w:val="20"/>
              </w:rPr>
              <w:t>Descriptor</w:t>
            </w:r>
          </w:p>
        </w:tc>
        <w:tc>
          <w:tcPr>
            <w:tcW w:w="1280" w:type="dxa"/>
            <w:tcBorders>
              <w:top w:val="nil"/>
              <w:left w:val="nil"/>
              <w:bottom w:val="single" w:sz="4" w:space="0" w:color="auto"/>
              <w:right w:val="nil"/>
            </w:tcBorders>
            <w:shd w:val="clear" w:color="auto" w:fill="auto"/>
            <w:noWrap/>
            <w:vAlign w:val="bottom"/>
            <w:hideMark/>
          </w:tcPr>
          <w:p w14:paraId="1A1A499E" w14:textId="77777777" w:rsidR="00457B92" w:rsidRPr="00457B92" w:rsidRDefault="00457B92" w:rsidP="00457B92">
            <w:pPr>
              <w:jc w:val="right"/>
              <w:rPr>
                <w:rFonts w:ascii="Calibri" w:eastAsia="Times New Roman" w:hAnsi="Calibri" w:cs="Times New Roman"/>
                <w:b/>
                <w:bCs/>
                <w:color w:val="000000"/>
                <w:sz w:val="20"/>
                <w:szCs w:val="20"/>
              </w:rPr>
            </w:pPr>
            <w:r w:rsidRPr="00457B92">
              <w:rPr>
                <w:rFonts w:ascii="Calibri" w:eastAsia="Times New Roman" w:hAnsi="Calibri" w:cs="Times New Roman"/>
                <w:b/>
                <w:bCs/>
                <w:color w:val="000000"/>
                <w:sz w:val="20"/>
                <w:szCs w:val="20"/>
              </w:rPr>
              <w:t>Risk Ratio</w:t>
            </w:r>
          </w:p>
        </w:tc>
      </w:tr>
      <w:tr w:rsidR="00457B92" w:rsidRPr="00457B92" w14:paraId="567CB2DA" w14:textId="77777777" w:rsidTr="00E0312F">
        <w:trPr>
          <w:trHeight w:val="300"/>
        </w:trPr>
        <w:tc>
          <w:tcPr>
            <w:tcW w:w="6400" w:type="dxa"/>
            <w:tcBorders>
              <w:top w:val="single" w:sz="4" w:space="0" w:color="auto"/>
              <w:left w:val="nil"/>
              <w:bottom w:val="nil"/>
              <w:right w:val="nil"/>
            </w:tcBorders>
            <w:shd w:val="clear" w:color="auto" w:fill="auto"/>
            <w:noWrap/>
            <w:vAlign w:val="bottom"/>
            <w:hideMark/>
          </w:tcPr>
          <w:p w14:paraId="3EDF4980" w14:textId="77777777" w:rsidR="00457B92" w:rsidRPr="00457B92" w:rsidRDefault="00457B92" w:rsidP="00457B92">
            <w:pPr>
              <w:rPr>
                <w:rFonts w:ascii="Calibri" w:eastAsia="Times New Roman" w:hAnsi="Calibri" w:cs="Times New Roman"/>
                <w:color w:val="000000"/>
                <w:sz w:val="20"/>
                <w:szCs w:val="20"/>
              </w:rPr>
            </w:pPr>
            <w:proofErr w:type="spellStart"/>
            <w:r w:rsidRPr="00457B92">
              <w:rPr>
                <w:rFonts w:ascii="Calibri" w:eastAsia="Times New Roman" w:hAnsi="Calibri" w:cs="Times New Roman"/>
                <w:color w:val="000000"/>
                <w:sz w:val="20"/>
                <w:szCs w:val="20"/>
              </w:rPr>
              <w:t>Overnutrition</w:t>
            </w:r>
            <w:proofErr w:type="spellEnd"/>
          </w:p>
        </w:tc>
        <w:tc>
          <w:tcPr>
            <w:tcW w:w="1280" w:type="dxa"/>
            <w:tcBorders>
              <w:top w:val="single" w:sz="4" w:space="0" w:color="auto"/>
              <w:left w:val="nil"/>
              <w:bottom w:val="nil"/>
              <w:right w:val="nil"/>
            </w:tcBorders>
            <w:shd w:val="clear" w:color="auto" w:fill="auto"/>
            <w:noWrap/>
            <w:vAlign w:val="bottom"/>
            <w:hideMark/>
          </w:tcPr>
          <w:p w14:paraId="2A71454F"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264937.09</w:t>
            </w:r>
          </w:p>
        </w:tc>
      </w:tr>
      <w:tr w:rsidR="00457B92" w:rsidRPr="00457B92" w14:paraId="17563B3C" w14:textId="77777777" w:rsidTr="00E0312F">
        <w:trPr>
          <w:trHeight w:val="300"/>
        </w:trPr>
        <w:tc>
          <w:tcPr>
            <w:tcW w:w="6400" w:type="dxa"/>
            <w:tcBorders>
              <w:top w:val="nil"/>
              <w:left w:val="nil"/>
              <w:bottom w:val="nil"/>
              <w:right w:val="nil"/>
            </w:tcBorders>
            <w:shd w:val="clear" w:color="auto" w:fill="auto"/>
            <w:noWrap/>
            <w:vAlign w:val="bottom"/>
            <w:hideMark/>
          </w:tcPr>
          <w:p w14:paraId="08E63628" w14:textId="77777777" w:rsidR="00457B92" w:rsidRPr="00457B92" w:rsidRDefault="00457B92" w:rsidP="00457B92">
            <w:pPr>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Nutrition Disorders</w:t>
            </w:r>
          </w:p>
        </w:tc>
        <w:tc>
          <w:tcPr>
            <w:tcW w:w="1280" w:type="dxa"/>
            <w:tcBorders>
              <w:top w:val="nil"/>
              <w:left w:val="nil"/>
              <w:bottom w:val="nil"/>
              <w:right w:val="nil"/>
            </w:tcBorders>
            <w:shd w:val="clear" w:color="auto" w:fill="auto"/>
            <w:noWrap/>
            <w:vAlign w:val="bottom"/>
            <w:hideMark/>
          </w:tcPr>
          <w:p w14:paraId="478368BF"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1018.03</w:t>
            </w:r>
          </w:p>
        </w:tc>
      </w:tr>
      <w:tr w:rsidR="00457B92" w:rsidRPr="00457B92" w14:paraId="543E6351" w14:textId="77777777" w:rsidTr="00E0312F">
        <w:trPr>
          <w:trHeight w:val="300"/>
        </w:trPr>
        <w:tc>
          <w:tcPr>
            <w:tcW w:w="6400" w:type="dxa"/>
            <w:tcBorders>
              <w:top w:val="nil"/>
              <w:left w:val="nil"/>
              <w:bottom w:val="nil"/>
              <w:right w:val="nil"/>
            </w:tcBorders>
            <w:shd w:val="clear" w:color="auto" w:fill="auto"/>
            <w:noWrap/>
            <w:vAlign w:val="bottom"/>
            <w:hideMark/>
          </w:tcPr>
          <w:p w14:paraId="622B2A16" w14:textId="77777777" w:rsidR="00457B92" w:rsidRPr="00457B92" w:rsidRDefault="00457B92" w:rsidP="00457B92">
            <w:pPr>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Binge-Eating Disorder</w:t>
            </w:r>
          </w:p>
        </w:tc>
        <w:tc>
          <w:tcPr>
            <w:tcW w:w="1280" w:type="dxa"/>
            <w:tcBorders>
              <w:top w:val="nil"/>
              <w:left w:val="nil"/>
              <w:bottom w:val="nil"/>
              <w:right w:val="nil"/>
            </w:tcBorders>
            <w:shd w:val="clear" w:color="auto" w:fill="auto"/>
            <w:noWrap/>
            <w:vAlign w:val="bottom"/>
            <w:hideMark/>
          </w:tcPr>
          <w:p w14:paraId="2CE47A8E"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228.17</w:t>
            </w:r>
          </w:p>
        </w:tc>
      </w:tr>
      <w:tr w:rsidR="00457B92" w:rsidRPr="00457B92" w14:paraId="3745BC9E" w14:textId="77777777" w:rsidTr="00E0312F">
        <w:trPr>
          <w:trHeight w:val="300"/>
        </w:trPr>
        <w:tc>
          <w:tcPr>
            <w:tcW w:w="6400" w:type="dxa"/>
            <w:tcBorders>
              <w:top w:val="nil"/>
              <w:left w:val="nil"/>
              <w:bottom w:val="nil"/>
              <w:right w:val="nil"/>
            </w:tcBorders>
            <w:shd w:val="clear" w:color="auto" w:fill="auto"/>
            <w:noWrap/>
            <w:vAlign w:val="bottom"/>
            <w:hideMark/>
          </w:tcPr>
          <w:p w14:paraId="7874EA12" w14:textId="77777777" w:rsidR="00457B92" w:rsidRPr="00457B92" w:rsidRDefault="00457B92" w:rsidP="00457B92">
            <w:pPr>
              <w:rPr>
                <w:rFonts w:ascii="Calibri" w:eastAsia="Times New Roman" w:hAnsi="Calibri" w:cs="Times New Roman"/>
                <w:color w:val="000000"/>
                <w:sz w:val="20"/>
                <w:szCs w:val="20"/>
              </w:rPr>
            </w:pPr>
            <w:proofErr w:type="spellStart"/>
            <w:r w:rsidRPr="00457B92">
              <w:rPr>
                <w:rFonts w:ascii="Calibri" w:eastAsia="Times New Roman" w:hAnsi="Calibri" w:cs="Times New Roman"/>
                <w:color w:val="000000"/>
                <w:sz w:val="20"/>
                <w:szCs w:val="20"/>
              </w:rPr>
              <w:t>Angelman</w:t>
            </w:r>
            <w:proofErr w:type="spellEnd"/>
            <w:r w:rsidRPr="00457B92">
              <w:rPr>
                <w:rFonts w:ascii="Calibri" w:eastAsia="Times New Roman" w:hAnsi="Calibri" w:cs="Times New Roman"/>
                <w:color w:val="000000"/>
                <w:sz w:val="20"/>
                <w:szCs w:val="20"/>
              </w:rPr>
              <w:t xml:space="preserve"> Syndrome</w:t>
            </w:r>
          </w:p>
        </w:tc>
        <w:tc>
          <w:tcPr>
            <w:tcW w:w="1280" w:type="dxa"/>
            <w:tcBorders>
              <w:top w:val="nil"/>
              <w:left w:val="nil"/>
              <w:bottom w:val="nil"/>
              <w:right w:val="nil"/>
            </w:tcBorders>
            <w:shd w:val="clear" w:color="auto" w:fill="auto"/>
            <w:noWrap/>
            <w:vAlign w:val="bottom"/>
            <w:hideMark/>
          </w:tcPr>
          <w:p w14:paraId="1F811D17"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138.14</w:t>
            </w:r>
          </w:p>
        </w:tc>
      </w:tr>
      <w:tr w:rsidR="00457B92" w:rsidRPr="00457B92" w14:paraId="5E5F89BA" w14:textId="77777777" w:rsidTr="00E0312F">
        <w:trPr>
          <w:trHeight w:val="300"/>
        </w:trPr>
        <w:tc>
          <w:tcPr>
            <w:tcW w:w="6400" w:type="dxa"/>
            <w:tcBorders>
              <w:top w:val="nil"/>
              <w:left w:val="nil"/>
              <w:bottom w:val="nil"/>
              <w:right w:val="nil"/>
            </w:tcBorders>
            <w:shd w:val="clear" w:color="auto" w:fill="auto"/>
            <w:noWrap/>
            <w:vAlign w:val="bottom"/>
            <w:hideMark/>
          </w:tcPr>
          <w:p w14:paraId="0961DB42" w14:textId="77777777" w:rsidR="00457B92" w:rsidRPr="00457B92" w:rsidRDefault="00457B92" w:rsidP="00457B92">
            <w:pPr>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Nutritional and Metabolic Diseases</w:t>
            </w:r>
          </w:p>
        </w:tc>
        <w:tc>
          <w:tcPr>
            <w:tcW w:w="1280" w:type="dxa"/>
            <w:tcBorders>
              <w:top w:val="nil"/>
              <w:left w:val="nil"/>
              <w:bottom w:val="nil"/>
              <w:right w:val="nil"/>
            </w:tcBorders>
            <w:shd w:val="clear" w:color="auto" w:fill="auto"/>
            <w:noWrap/>
            <w:vAlign w:val="bottom"/>
            <w:hideMark/>
          </w:tcPr>
          <w:p w14:paraId="37414778"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98.77</w:t>
            </w:r>
          </w:p>
        </w:tc>
      </w:tr>
      <w:tr w:rsidR="00457B92" w:rsidRPr="00457B92" w14:paraId="413FCBC2" w14:textId="77777777" w:rsidTr="00E0312F">
        <w:trPr>
          <w:trHeight w:val="300"/>
        </w:trPr>
        <w:tc>
          <w:tcPr>
            <w:tcW w:w="6400" w:type="dxa"/>
            <w:tcBorders>
              <w:top w:val="nil"/>
              <w:left w:val="nil"/>
              <w:bottom w:val="nil"/>
              <w:right w:val="nil"/>
            </w:tcBorders>
            <w:shd w:val="clear" w:color="auto" w:fill="auto"/>
            <w:noWrap/>
            <w:vAlign w:val="bottom"/>
            <w:hideMark/>
          </w:tcPr>
          <w:p w14:paraId="12339B2F" w14:textId="77777777" w:rsidR="00457B92" w:rsidRPr="00457B92" w:rsidRDefault="00457B92" w:rsidP="00457B92">
            <w:pPr>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WAGR Syndrome</w:t>
            </w:r>
          </w:p>
        </w:tc>
        <w:tc>
          <w:tcPr>
            <w:tcW w:w="1280" w:type="dxa"/>
            <w:tcBorders>
              <w:top w:val="nil"/>
              <w:left w:val="nil"/>
              <w:bottom w:val="nil"/>
              <w:right w:val="nil"/>
            </w:tcBorders>
            <w:shd w:val="clear" w:color="auto" w:fill="auto"/>
            <w:noWrap/>
            <w:vAlign w:val="bottom"/>
            <w:hideMark/>
          </w:tcPr>
          <w:p w14:paraId="359F745C"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92.16</w:t>
            </w:r>
          </w:p>
        </w:tc>
      </w:tr>
      <w:tr w:rsidR="00457B92" w:rsidRPr="00457B92" w14:paraId="56DB7A07" w14:textId="77777777" w:rsidTr="00E0312F">
        <w:trPr>
          <w:trHeight w:val="300"/>
        </w:trPr>
        <w:tc>
          <w:tcPr>
            <w:tcW w:w="6400" w:type="dxa"/>
            <w:tcBorders>
              <w:top w:val="nil"/>
              <w:left w:val="nil"/>
              <w:bottom w:val="nil"/>
              <w:right w:val="nil"/>
            </w:tcBorders>
            <w:shd w:val="clear" w:color="auto" w:fill="auto"/>
            <w:noWrap/>
            <w:vAlign w:val="bottom"/>
            <w:hideMark/>
          </w:tcPr>
          <w:p w14:paraId="47789F41" w14:textId="77777777" w:rsidR="00457B92" w:rsidRPr="00457B92" w:rsidRDefault="00457B92" w:rsidP="00457B92">
            <w:pPr>
              <w:rPr>
                <w:rFonts w:ascii="Calibri" w:eastAsia="Times New Roman" w:hAnsi="Calibri" w:cs="Times New Roman"/>
                <w:color w:val="000000"/>
                <w:sz w:val="20"/>
                <w:szCs w:val="20"/>
              </w:rPr>
            </w:pPr>
            <w:proofErr w:type="spellStart"/>
            <w:r w:rsidRPr="00457B92">
              <w:rPr>
                <w:rFonts w:ascii="Calibri" w:eastAsia="Times New Roman" w:hAnsi="Calibri" w:cs="Times New Roman"/>
                <w:color w:val="000000"/>
                <w:sz w:val="20"/>
                <w:szCs w:val="20"/>
              </w:rPr>
              <w:t>Hyperinsulinism</w:t>
            </w:r>
            <w:proofErr w:type="spellEnd"/>
          </w:p>
        </w:tc>
        <w:tc>
          <w:tcPr>
            <w:tcW w:w="1280" w:type="dxa"/>
            <w:tcBorders>
              <w:top w:val="nil"/>
              <w:left w:val="nil"/>
              <w:bottom w:val="nil"/>
              <w:right w:val="nil"/>
            </w:tcBorders>
            <w:shd w:val="clear" w:color="auto" w:fill="auto"/>
            <w:noWrap/>
            <w:vAlign w:val="bottom"/>
            <w:hideMark/>
          </w:tcPr>
          <w:p w14:paraId="1F9FF735"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91.67</w:t>
            </w:r>
          </w:p>
        </w:tc>
      </w:tr>
      <w:tr w:rsidR="00457B92" w:rsidRPr="00457B92" w14:paraId="6777D4C1" w14:textId="77777777" w:rsidTr="00E0312F">
        <w:trPr>
          <w:trHeight w:val="300"/>
        </w:trPr>
        <w:tc>
          <w:tcPr>
            <w:tcW w:w="6400" w:type="dxa"/>
            <w:tcBorders>
              <w:top w:val="nil"/>
              <w:left w:val="nil"/>
              <w:bottom w:val="nil"/>
              <w:right w:val="nil"/>
            </w:tcBorders>
            <w:shd w:val="clear" w:color="auto" w:fill="auto"/>
            <w:noWrap/>
            <w:vAlign w:val="bottom"/>
            <w:hideMark/>
          </w:tcPr>
          <w:p w14:paraId="3CE54D36" w14:textId="77777777" w:rsidR="00457B92" w:rsidRPr="00457B92" w:rsidRDefault="00457B92" w:rsidP="00457B92">
            <w:pPr>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Metabolic Syndrome X</w:t>
            </w:r>
          </w:p>
        </w:tc>
        <w:tc>
          <w:tcPr>
            <w:tcW w:w="1280" w:type="dxa"/>
            <w:tcBorders>
              <w:top w:val="nil"/>
              <w:left w:val="nil"/>
              <w:bottom w:val="nil"/>
              <w:right w:val="nil"/>
            </w:tcBorders>
            <w:shd w:val="clear" w:color="auto" w:fill="auto"/>
            <w:noWrap/>
            <w:vAlign w:val="bottom"/>
            <w:hideMark/>
          </w:tcPr>
          <w:p w14:paraId="66A1C7B8"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81.54</w:t>
            </w:r>
          </w:p>
        </w:tc>
      </w:tr>
      <w:tr w:rsidR="00457B92" w:rsidRPr="00457B92" w14:paraId="71542D4B" w14:textId="77777777" w:rsidTr="00E0312F">
        <w:trPr>
          <w:trHeight w:val="300"/>
        </w:trPr>
        <w:tc>
          <w:tcPr>
            <w:tcW w:w="6400" w:type="dxa"/>
            <w:tcBorders>
              <w:top w:val="nil"/>
              <w:left w:val="nil"/>
              <w:bottom w:val="nil"/>
              <w:right w:val="nil"/>
            </w:tcBorders>
            <w:shd w:val="clear" w:color="auto" w:fill="auto"/>
            <w:noWrap/>
            <w:vAlign w:val="bottom"/>
            <w:hideMark/>
          </w:tcPr>
          <w:p w14:paraId="7B29D410" w14:textId="77777777" w:rsidR="00457B92" w:rsidRPr="00457B92" w:rsidRDefault="00457B92" w:rsidP="00457B92">
            <w:pPr>
              <w:rPr>
                <w:rFonts w:ascii="Calibri" w:eastAsia="Times New Roman" w:hAnsi="Calibri" w:cs="Times New Roman"/>
                <w:color w:val="000000"/>
                <w:sz w:val="20"/>
                <w:szCs w:val="20"/>
              </w:rPr>
            </w:pPr>
            <w:proofErr w:type="spellStart"/>
            <w:r w:rsidRPr="00457B92">
              <w:rPr>
                <w:rFonts w:ascii="Calibri" w:eastAsia="Times New Roman" w:hAnsi="Calibri" w:cs="Times New Roman"/>
                <w:color w:val="000000"/>
                <w:sz w:val="20"/>
                <w:szCs w:val="20"/>
              </w:rPr>
              <w:t>Acanthosis</w:t>
            </w:r>
            <w:proofErr w:type="spellEnd"/>
            <w:r w:rsidRPr="00457B92">
              <w:rPr>
                <w:rFonts w:ascii="Calibri" w:eastAsia="Times New Roman" w:hAnsi="Calibri" w:cs="Times New Roman"/>
                <w:color w:val="000000"/>
                <w:sz w:val="20"/>
                <w:szCs w:val="20"/>
              </w:rPr>
              <w:t xml:space="preserve"> </w:t>
            </w:r>
            <w:proofErr w:type="spellStart"/>
            <w:r w:rsidRPr="00457B92">
              <w:rPr>
                <w:rFonts w:ascii="Calibri" w:eastAsia="Times New Roman" w:hAnsi="Calibri" w:cs="Times New Roman"/>
                <w:color w:val="000000"/>
                <w:sz w:val="20"/>
                <w:szCs w:val="20"/>
              </w:rPr>
              <w:t>Nigricans</w:t>
            </w:r>
            <w:proofErr w:type="spellEnd"/>
          </w:p>
        </w:tc>
        <w:tc>
          <w:tcPr>
            <w:tcW w:w="1280" w:type="dxa"/>
            <w:tcBorders>
              <w:top w:val="nil"/>
              <w:left w:val="nil"/>
              <w:bottom w:val="nil"/>
              <w:right w:val="nil"/>
            </w:tcBorders>
            <w:shd w:val="clear" w:color="auto" w:fill="auto"/>
            <w:noWrap/>
            <w:vAlign w:val="bottom"/>
            <w:hideMark/>
          </w:tcPr>
          <w:p w14:paraId="7C6CB477"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80.55</w:t>
            </w:r>
          </w:p>
        </w:tc>
      </w:tr>
      <w:tr w:rsidR="00457B92" w:rsidRPr="00457B92" w14:paraId="046F694C" w14:textId="77777777" w:rsidTr="00E0312F">
        <w:trPr>
          <w:trHeight w:val="300"/>
        </w:trPr>
        <w:tc>
          <w:tcPr>
            <w:tcW w:w="6400" w:type="dxa"/>
            <w:tcBorders>
              <w:top w:val="nil"/>
              <w:left w:val="nil"/>
              <w:bottom w:val="nil"/>
              <w:right w:val="nil"/>
            </w:tcBorders>
            <w:shd w:val="clear" w:color="auto" w:fill="auto"/>
            <w:noWrap/>
            <w:vAlign w:val="bottom"/>
            <w:hideMark/>
          </w:tcPr>
          <w:p w14:paraId="455A94F3" w14:textId="77777777" w:rsidR="00457B92" w:rsidRPr="00457B92" w:rsidRDefault="00457B92" w:rsidP="00457B92">
            <w:pPr>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Laurence-Moon Syndrome</w:t>
            </w:r>
          </w:p>
        </w:tc>
        <w:tc>
          <w:tcPr>
            <w:tcW w:w="1280" w:type="dxa"/>
            <w:tcBorders>
              <w:top w:val="nil"/>
              <w:left w:val="nil"/>
              <w:bottom w:val="nil"/>
              <w:right w:val="nil"/>
            </w:tcBorders>
            <w:shd w:val="clear" w:color="auto" w:fill="auto"/>
            <w:noWrap/>
            <w:vAlign w:val="bottom"/>
            <w:hideMark/>
          </w:tcPr>
          <w:p w14:paraId="6C834EB5"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71.04</w:t>
            </w:r>
          </w:p>
        </w:tc>
      </w:tr>
      <w:tr w:rsidR="00457B92" w:rsidRPr="00457B92" w14:paraId="511DE549" w14:textId="77777777" w:rsidTr="00E0312F">
        <w:trPr>
          <w:trHeight w:val="300"/>
        </w:trPr>
        <w:tc>
          <w:tcPr>
            <w:tcW w:w="6400" w:type="dxa"/>
            <w:tcBorders>
              <w:top w:val="nil"/>
              <w:left w:val="nil"/>
              <w:bottom w:val="nil"/>
              <w:right w:val="nil"/>
            </w:tcBorders>
            <w:shd w:val="clear" w:color="auto" w:fill="auto"/>
            <w:noWrap/>
            <w:vAlign w:val="bottom"/>
            <w:hideMark/>
          </w:tcPr>
          <w:p w14:paraId="41274B12" w14:textId="77777777" w:rsidR="00457B92" w:rsidRPr="00457B92" w:rsidRDefault="00457B92" w:rsidP="00457B92">
            <w:pPr>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Child Nutrition Disorders</w:t>
            </w:r>
          </w:p>
        </w:tc>
        <w:tc>
          <w:tcPr>
            <w:tcW w:w="1280" w:type="dxa"/>
            <w:tcBorders>
              <w:top w:val="nil"/>
              <w:left w:val="nil"/>
              <w:bottom w:val="nil"/>
              <w:right w:val="nil"/>
            </w:tcBorders>
            <w:shd w:val="clear" w:color="auto" w:fill="auto"/>
            <w:noWrap/>
            <w:vAlign w:val="bottom"/>
            <w:hideMark/>
          </w:tcPr>
          <w:p w14:paraId="7BA702A8"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65.84</w:t>
            </w:r>
          </w:p>
        </w:tc>
      </w:tr>
      <w:tr w:rsidR="00457B92" w:rsidRPr="00457B92" w14:paraId="45C107BC" w14:textId="77777777" w:rsidTr="00E0312F">
        <w:trPr>
          <w:trHeight w:val="300"/>
        </w:trPr>
        <w:tc>
          <w:tcPr>
            <w:tcW w:w="6400" w:type="dxa"/>
            <w:tcBorders>
              <w:top w:val="nil"/>
              <w:left w:val="nil"/>
              <w:bottom w:val="nil"/>
              <w:right w:val="nil"/>
            </w:tcBorders>
            <w:shd w:val="clear" w:color="auto" w:fill="auto"/>
            <w:noWrap/>
            <w:vAlign w:val="bottom"/>
            <w:hideMark/>
          </w:tcPr>
          <w:p w14:paraId="02F1FDE9" w14:textId="77777777" w:rsidR="00457B92" w:rsidRPr="00457B92" w:rsidRDefault="00457B92" w:rsidP="00457B92">
            <w:pPr>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Glucose Intolerance</w:t>
            </w:r>
          </w:p>
        </w:tc>
        <w:tc>
          <w:tcPr>
            <w:tcW w:w="1280" w:type="dxa"/>
            <w:tcBorders>
              <w:top w:val="nil"/>
              <w:left w:val="nil"/>
              <w:bottom w:val="nil"/>
              <w:right w:val="nil"/>
            </w:tcBorders>
            <w:shd w:val="clear" w:color="auto" w:fill="auto"/>
            <w:noWrap/>
            <w:vAlign w:val="bottom"/>
            <w:hideMark/>
          </w:tcPr>
          <w:p w14:paraId="5C87186D"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56.61</w:t>
            </w:r>
          </w:p>
        </w:tc>
      </w:tr>
    </w:tbl>
    <w:p w14:paraId="5BB13211" w14:textId="77777777" w:rsidR="00457B92" w:rsidRPr="00FC154D" w:rsidRDefault="00457B92" w:rsidP="001C4C63">
      <w:pPr>
        <w:ind w:left="-450" w:right="-540"/>
        <w:rPr>
          <w:sz w:val="20"/>
          <w:szCs w:val="20"/>
        </w:rPr>
      </w:pPr>
    </w:p>
    <w:p w14:paraId="050DEDE7" w14:textId="19DCBC6E" w:rsidR="005C7FEE" w:rsidRDefault="000D4EA4" w:rsidP="00192DD6">
      <w:pPr>
        <w:ind w:left="-450" w:right="-540"/>
        <w:rPr>
          <w:sz w:val="20"/>
          <w:szCs w:val="20"/>
        </w:rPr>
      </w:pPr>
      <w:r>
        <w:rPr>
          <w:sz w:val="20"/>
          <w:szCs w:val="20"/>
        </w:rPr>
        <w:t>In this analysis</w:t>
      </w:r>
      <w:bookmarkStart w:id="0" w:name="_GoBack"/>
      <w:bookmarkEnd w:id="0"/>
      <w:r w:rsidR="00FC154D">
        <w:rPr>
          <w:sz w:val="20"/>
          <w:szCs w:val="20"/>
        </w:rPr>
        <w:t xml:space="preserve"> there is no way to determine which disease is primary</w:t>
      </w:r>
      <w:r w:rsidR="00192DD6">
        <w:rPr>
          <w:sz w:val="20"/>
          <w:szCs w:val="20"/>
        </w:rPr>
        <w:t>. I</w:t>
      </w:r>
      <w:r w:rsidR="00FC154D">
        <w:rPr>
          <w:sz w:val="20"/>
          <w:szCs w:val="20"/>
        </w:rPr>
        <w:t xml:space="preserve">s disease A comorbid with disease B or the other way around? For a more concrete example, </w:t>
      </w:r>
      <w:r w:rsidR="005C7FEE">
        <w:rPr>
          <w:sz w:val="20"/>
          <w:szCs w:val="20"/>
        </w:rPr>
        <w:t>consider ‘</w:t>
      </w:r>
      <w:proofErr w:type="spellStart"/>
      <w:r w:rsidR="005C7FEE">
        <w:rPr>
          <w:sz w:val="20"/>
          <w:szCs w:val="20"/>
        </w:rPr>
        <w:t>overnutrition</w:t>
      </w:r>
      <w:proofErr w:type="spellEnd"/>
      <w:r w:rsidR="005C7FEE">
        <w:rPr>
          <w:sz w:val="20"/>
          <w:szCs w:val="20"/>
        </w:rPr>
        <w:t>’: when this analysis is run using this MeSH descriptor you find type two diabetes mentioned 35 times more often, compared to the control group.</w:t>
      </w:r>
      <w:r w:rsidR="00FC154D">
        <w:rPr>
          <w:sz w:val="20"/>
          <w:szCs w:val="20"/>
        </w:rPr>
        <w:t xml:space="preserve"> </w:t>
      </w:r>
      <w:r w:rsidR="005C7FEE">
        <w:rPr>
          <w:sz w:val="20"/>
          <w:szCs w:val="20"/>
        </w:rPr>
        <w:t xml:space="preserve">But is diabetes comorbid with </w:t>
      </w:r>
      <w:proofErr w:type="spellStart"/>
      <w:r w:rsidR="005C7FEE">
        <w:rPr>
          <w:sz w:val="20"/>
          <w:szCs w:val="20"/>
        </w:rPr>
        <w:t>overnutrition</w:t>
      </w:r>
      <w:proofErr w:type="spellEnd"/>
      <w:r w:rsidR="005C7FEE">
        <w:rPr>
          <w:sz w:val="20"/>
          <w:szCs w:val="20"/>
        </w:rPr>
        <w:t xml:space="preserve">? Or are these articles discussing </w:t>
      </w:r>
      <w:proofErr w:type="spellStart"/>
      <w:r w:rsidR="005C7FEE">
        <w:rPr>
          <w:sz w:val="20"/>
          <w:szCs w:val="20"/>
        </w:rPr>
        <w:t>overnutrition</w:t>
      </w:r>
      <w:proofErr w:type="spellEnd"/>
      <w:r w:rsidR="005C7FEE">
        <w:rPr>
          <w:sz w:val="20"/>
          <w:szCs w:val="20"/>
        </w:rPr>
        <w:t xml:space="preserve"> as a comorbid condition of diabetes? Without this information the data is subject to the biases of the person </w:t>
      </w:r>
      <w:r w:rsidR="001C4C63">
        <w:rPr>
          <w:sz w:val="20"/>
          <w:szCs w:val="20"/>
        </w:rPr>
        <w:t>reading it</w:t>
      </w:r>
      <w:r w:rsidR="005C7FEE">
        <w:rPr>
          <w:sz w:val="20"/>
          <w:szCs w:val="20"/>
        </w:rPr>
        <w:t>.</w:t>
      </w:r>
    </w:p>
    <w:p w14:paraId="659EF0DB" w14:textId="77777777" w:rsidR="00EE4E09" w:rsidRDefault="00EE4E09" w:rsidP="00192DD6">
      <w:pPr>
        <w:ind w:left="-450" w:right="-540"/>
        <w:rPr>
          <w:sz w:val="20"/>
          <w:szCs w:val="20"/>
        </w:rPr>
      </w:pPr>
    </w:p>
    <w:p w14:paraId="1D8ADBDA" w14:textId="7320E8F3" w:rsidR="00EE4E09" w:rsidRPr="00EE4E09" w:rsidRDefault="00EE4E09" w:rsidP="00192DD6">
      <w:pPr>
        <w:ind w:left="-450" w:right="-540"/>
        <w:rPr>
          <w:b/>
          <w:sz w:val="20"/>
          <w:szCs w:val="20"/>
        </w:rPr>
      </w:pPr>
      <w:r w:rsidRPr="00EE4E09">
        <w:rPr>
          <w:b/>
          <w:sz w:val="20"/>
          <w:szCs w:val="20"/>
        </w:rPr>
        <w:t>Joseph Rose, Nov. 2015</w:t>
      </w:r>
    </w:p>
    <w:sectPr w:rsidR="00EE4E09" w:rsidRPr="00EE4E09" w:rsidSect="00A448B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Sans">
    <w:panose1 w:val="020B0602030504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54D"/>
    <w:rsid w:val="000D4EA4"/>
    <w:rsid w:val="00110E2F"/>
    <w:rsid w:val="00192DD6"/>
    <w:rsid w:val="001C4C63"/>
    <w:rsid w:val="00457B92"/>
    <w:rsid w:val="005C7FEE"/>
    <w:rsid w:val="007E5607"/>
    <w:rsid w:val="00A448BB"/>
    <w:rsid w:val="00BD7A62"/>
    <w:rsid w:val="00D0293A"/>
    <w:rsid w:val="00E0312F"/>
    <w:rsid w:val="00EE4E09"/>
    <w:rsid w:val="00FC15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C53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054219">
      <w:bodyDiv w:val="1"/>
      <w:marLeft w:val="0"/>
      <w:marRight w:val="0"/>
      <w:marTop w:val="0"/>
      <w:marBottom w:val="0"/>
      <w:divBdr>
        <w:top w:val="none" w:sz="0" w:space="0" w:color="auto"/>
        <w:left w:val="none" w:sz="0" w:space="0" w:color="auto"/>
        <w:bottom w:val="none" w:sz="0" w:space="0" w:color="auto"/>
        <w:right w:val="none" w:sz="0" w:space="0" w:color="auto"/>
      </w:divBdr>
    </w:div>
    <w:div w:id="2103409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483</Words>
  <Characters>2758</Characters>
  <Application>Microsoft Macintosh Word</Application>
  <DocSecurity>0</DocSecurity>
  <Lines>22</Lines>
  <Paragraphs>6</Paragraphs>
  <ScaleCrop>false</ScaleCrop>
  <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c:creator>
  <cp:keywords/>
  <dc:description/>
  <cp:lastModifiedBy>JR</cp:lastModifiedBy>
  <cp:revision>9</cp:revision>
  <dcterms:created xsi:type="dcterms:W3CDTF">2015-11-24T03:47:00Z</dcterms:created>
  <dcterms:modified xsi:type="dcterms:W3CDTF">2015-11-24T04:36:00Z</dcterms:modified>
</cp:coreProperties>
</file>