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r>
    </w:p>
    <w:p>
      <w:pPr>
        <w:pStyle w:val="Heading1"/>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Recheche von Gemini</w:t>
      </w:r>
      <w:r>
        <w:rPr>
          <w:rFonts w:ascii="Google Sans;sans-serif" w:hAnsi="Google Sans;sans-serif"/>
          <w:color w:val="1B1C1D"/>
        </w:rPr>
        <w:t>: Elektromagnetische Charakterisierung und Optimierung von FDM-3D-Druckpolymeren für 60-GHz-Radomanwendungen</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Dieser Bericht liefert eine erschöpfende, datengestützte Analyse der kritischen Zusammenhänge zwischen den Fertigungsparametern des Schmelzschichtverfahrens (Fused Deposition Modeling, FDM) und den elektromagnetischen Eigenschaften von Polylactid (PLA), Acrylnitril-Butadien-Styrol (ABS) und Polyethylenterephthalatglycol (PETG) bei Millimeterwellenfrequenzen (60 GHz). Ziel ist es, präskriptive Ingenieurrichtlinien zur Gewährleistung der Leistungsfähigkeit von Radomen und Gehäusen für hochpräzise 60-GHz-Radarsysteme zu formulieren.</w:t>
      </w:r>
    </w:p>
    <w:p>
      <w:pPr>
        <w:pStyle w:val="HorizontaleLinie"/>
        <w:bidi w:val="0"/>
        <w:jc w:val="left"/>
        <w:rPr/>
      </w:pPr>
      <w:r>
        <w:rPr/>
      </w:r>
    </w:p>
    <w:p>
      <w:pPr>
        <w:pStyle w:val="Heading2"/>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1. Zusammenfassung: Optimierte FDM-Materialauswahl für 60-GHz-Radarsysteme</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Integration von 60-GHz-Radarsensoren, die eine hohe Präzision und geringen Stromverbrauch bieten </w:t>
      </w:r>
      <w:r>
        <w:rPr>
          <w:rFonts w:ascii="Google Sans Text;sans-serif" w:hAnsi="Google Sans Text;sans-serif"/>
          <w:color w:val="444746"/>
          <w:sz w:val="24"/>
          <w:shd w:fill="auto" w:val="clear"/>
        </w:rPr>
        <w:t>1</w:t>
      </w:r>
      <w:r>
        <w:rPr>
          <w:rFonts w:ascii="Google Sans Text;sans-serif" w:hAnsi="Google Sans Text;sans-serif"/>
          <w:color w:val="1B1C1D"/>
        </w:rPr>
        <w:t>, erfordert eine strikte Kontrolle der dielektrischen Eigenschaften des schützenden Gehäusematerials (Radom).</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1.1. Leistungsanforderung bei 60 GHz</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Das primäre Designziel für ein 60-GHz-Radom ist die Maximierung des Radar Link Gains (RLG) durch Minimierung der Reflexions- und Absorptionsverluste. Dies erfordert die Auswahl von Materialien mit einer stabilen, niedrigen Relativen Permittivität (</w:t>
      </w:r>
      <w:r>
        <w:rPr>
          <w:rFonts w:ascii="Google Sans Text;sans-serif" w:hAnsi="Google Sans Text;sans-serif"/>
          <w:color w:val="1B1C1D"/>
        </w:rPr>
        <w:t>$\epsilon_r &lt; 4$</w:t>
      </w:r>
      <w:r>
        <w:rPr>
          <w:rFonts w:ascii="Google Sans Text;sans-serif" w:hAnsi="Google Sans Text;sans-serif"/>
          <w:color w:val="1B1C1D"/>
        </w:rPr>
        <w:t>) und einem minimalen Verlustfaktor (</w:t>
      </w:r>
      <w:r>
        <w:rPr>
          <w:rFonts w:ascii="Google Sans Text;sans-serif" w:hAnsi="Google Sans Text;sans-serif"/>
          <w:color w:val="1B1C1D"/>
        </w:rPr>
        <w:t>$\tan \delta$</w:t>
      </w:r>
      <w:r>
        <w:rPr>
          <w:rFonts w:ascii="Google Sans Text;sans-serif" w:hAnsi="Google Sans Text;sans-serif"/>
          <w:color w:val="1B1C1D"/>
        </w:rPr>
        <w:t>).</w:t>
      </w:r>
      <w:r>
        <w:rPr>
          <w:rFonts w:ascii="Google Sans Text;sans-serif" w:hAnsi="Google Sans Text;sans-serif"/>
          <w:color w:val="444746"/>
          <w:sz w:val="24"/>
          <w:shd w:fill="auto" w:val="clear"/>
        </w:rPr>
        <w:t>2</w:t>
      </w:r>
      <w:r>
        <w:rPr>
          <w:rFonts w:ascii="Google Sans Text;sans-serif" w:hAnsi="Google Sans Text;sans-serif"/>
          <w:color w:val="1B1C1D"/>
        </w:rPr>
        <w:t xml:space="preserve"> FDM-Polymere wie PLA und ABS sind grundsätzlich geeignete Kandidaten, ihre elektromagnetische Konsistenz hängt jedoch kritisch von der strikten Kontrolle der additiven Fertigungsparameter ab.</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1.2. Die Notwendigkeit der Fülldichte zur Gewährleistung der Konsistenz</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FDM-Fertigung erzeugt inhärent Kompositstrukturen aus Polymer und Luft. Die Variabilität des internen Luftvolumens, definiert durch die </w:t>
      </w:r>
      <w:r>
        <w:rPr>
          <w:rFonts w:ascii="Google Sans Text;sans-serif" w:hAnsi="Google Sans Text;sans-serif"/>
          <w:i/>
          <w:color w:val="1B1C1D"/>
        </w:rPr>
        <w:t>Fülldichte</w:t>
      </w:r>
      <w:r>
        <w:rPr>
          <w:rFonts w:ascii="Google Sans Text;sans-serif" w:hAnsi="Google Sans Text;sans-serif"/>
          <w:color w:val="1B1C1D"/>
        </w:rPr>
        <w:t xml:space="preserve"> (Infill Density), ist der dominierende Faktor, der die effektive Permittivität (</w:t>
      </w:r>
      <w:r>
        <w:rPr>
          <w:rFonts w:ascii="Google Sans Text;sans-serif" w:hAnsi="Google Sans Text;sans-serif"/>
          <w:color w:val="1B1C1D"/>
        </w:rPr>
        <w:t>$\epsilon_r$</w:t>
      </w:r>
      <w:r>
        <w:rPr>
          <w:rFonts w:ascii="Google Sans Text;sans-serif" w:hAnsi="Google Sans Text;sans-serif"/>
          <w:color w:val="1B1C1D"/>
        </w:rPr>
        <w:t>) des Endprodukts bestimmt.</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Um eine zuverlässige Hochfrequenzleistung und Vorhersagbarkeit zu erzielen, muss eine </w:t>
      </w:r>
      <w:r>
        <w:rPr>
          <w:rFonts w:ascii="Google Sans Text;sans-serif" w:hAnsi="Google Sans Text;sans-serif"/>
          <w:b/>
          <w:color w:val="1B1C1D"/>
        </w:rPr>
        <w:t>100-prozentige Fülldichte</w:t>
      </w:r>
      <w:r>
        <w:rPr>
          <w:rFonts w:ascii="Google Sans Text;sans-serif" w:hAnsi="Google Sans Text;sans-serif"/>
          <w:color w:val="1B1C1D"/>
        </w:rPr>
        <w:t xml:space="preserve"> spezifiziert werden. Geringere Fülldichten führen zu signifikanten, geometrieabhängigen Permittivitätsschwankungen, die in technischen Anwendungen nicht tolerierbar sind. Quantitative Analysen belegen, dass die </w:t>
      </w:r>
      <w:r>
        <w:rPr>
          <w:rFonts w:ascii="Google Sans Text;sans-serif" w:hAnsi="Google Sans Text;sans-serif"/>
          <w:color w:val="1B1C1D"/>
        </w:rPr>
        <w:t>$\epsilon_r$</w:t>
      </w:r>
      <w:r>
        <w:rPr>
          <w:rFonts w:ascii="Google Sans Text;sans-serif" w:hAnsi="Google Sans Text;sans-serif"/>
          <w:color w:val="1B1C1D"/>
        </w:rPr>
        <w:t xml:space="preserve"> von PLA in Abhängigkeit von Fülldichte und Muster um bis zu </w:t>
      </w:r>
      <w:r>
        <w:rPr>
          <w:rFonts w:ascii="Google Sans Text;sans-serif" w:hAnsi="Google Sans Text;sans-serif"/>
          <w:color w:val="1B1C1D"/>
        </w:rPr>
        <w:t>$36,83\%$</w:t>
      </w:r>
      <w:r>
        <w:rPr>
          <w:rFonts w:ascii="Google Sans Text;sans-serif" w:hAnsi="Google Sans Text;sans-serif"/>
          <w:color w:val="1B1C1D"/>
        </w:rPr>
        <w:t xml:space="preserve"> variiert (von 1,7778 bis 2,8141), während die </w:t>
      </w:r>
      <w:r>
        <w:rPr>
          <w:rFonts w:ascii="Google Sans Text;sans-serif" w:hAnsi="Google Sans Text;sans-serif"/>
          <w:color w:val="1B1C1D"/>
        </w:rPr>
        <w:t>$\epsilon_r$</w:t>
      </w:r>
      <w:r>
        <w:rPr>
          <w:rFonts w:ascii="Google Sans Text;sans-serif" w:hAnsi="Google Sans Text;sans-serif"/>
          <w:color w:val="1B1C1D"/>
        </w:rPr>
        <w:t xml:space="preserve"> von ABS um bis zu </w:t>
      </w:r>
      <w:r>
        <w:rPr>
          <w:rFonts w:ascii="Google Sans Text;sans-serif" w:hAnsi="Google Sans Text;sans-serif"/>
          <w:color w:val="1B1C1D"/>
        </w:rPr>
        <w:t>$26,71\%$</w:t>
      </w:r>
      <w:r>
        <w:rPr>
          <w:rFonts w:ascii="Google Sans Text;sans-serif" w:hAnsi="Google Sans Text;sans-serif"/>
          <w:color w:val="1B1C1D"/>
        </w:rPr>
        <w:t xml:space="preserve"> variiert (von 2,1979 bis 2,9989).</w:t>
      </w:r>
      <w:r>
        <w:rPr>
          <w:rFonts w:ascii="Google Sans Text;sans-serif" w:hAnsi="Google Sans Text;sans-serif"/>
          <w:color w:val="444746"/>
          <w:sz w:val="24"/>
          <w:shd w:fill="auto" w:val="clear"/>
        </w:rPr>
        <w:t>4</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1.3. Kritische Umweltsensitivität</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Die Absorption von Feuchtigkeit stellt die größte Bedrohung für die RLG-Integrität dar. Wasser besitzt bei 60 GHz eine extrem hohe Relative Permittivität (</w:t>
      </w:r>
      <w:r>
        <w:rPr>
          <w:rFonts w:ascii="Google Sans Text;sans-serif" w:hAnsi="Google Sans Text;sans-serif"/>
          <w:color w:val="1B1C1D"/>
        </w:rPr>
        <w:t>$\epsilon_r = 11,1$</w:t>
      </w:r>
      <w:r>
        <w:rPr>
          <w:rFonts w:ascii="Google Sans Text;sans-serif" w:hAnsi="Google Sans Text;sans-serif"/>
          <w:color w:val="1B1C1D"/>
        </w:rPr>
        <w:t>) und einen hohen Verlustfaktor (</w:t>
      </w:r>
      <w:r>
        <w:rPr>
          <w:rFonts w:ascii="Google Sans Text;sans-serif" w:hAnsi="Google Sans Text;sans-serif"/>
          <w:color w:val="1B1C1D"/>
        </w:rPr>
        <w:t>$\gamma = 0,28$</w:t>
      </w:r>
      <w:r>
        <w:rPr>
          <w:rFonts w:ascii="Google Sans Text;sans-serif" w:hAnsi="Google Sans Text;sans-serif"/>
          <w:color w:val="1B1C1D"/>
        </w:rPr>
        <w:t xml:space="preserve"> mit Luftgrenze).</w:t>
      </w:r>
      <w:r>
        <w:rPr>
          <w:rFonts w:ascii="Google Sans Text;sans-serif" w:hAnsi="Google Sans Text;sans-serif"/>
          <w:color w:val="444746"/>
          <w:sz w:val="24"/>
          <w:shd w:fill="auto" w:val="clear"/>
        </w:rPr>
        <w:t>3</w:t>
      </w:r>
      <w:r>
        <w:rPr>
          <w:rFonts w:ascii="Google Sans Text;sans-serif" w:hAnsi="Google Sans Text;sans-serif"/>
          <w:color w:val="1B1C1D"/>
        </w:rPr>
        <w:t xml:space="preserve"> Die Aufnahme von Wasser in das Radom erhöht daher den effektiven </w:t>
      </w:r>
      <w:r>
        <w:rPr>
          <w:rFonts w:ascii="Google Sans Text;sans-serif" w:hAnsi="Google Sans Text;sans-serif"/>
          <w:color w:val="1B1C1D"/>
        </w:rPr>
        <w:t>$\tan \delta$</w:t>
      </w:r>
      <w:r>
        <w:rPr>
          <w:rFonts w:ascii="Google Sans Text;sans-serif" w:hAnsi="Google Sans Text;sans-serif"/>
          <w:color w:val="1B1C1D"/>
        </w:rPr>
        <w:t xml:space="preserve"> des Kompositmaterials drastisch und führt zu einer schweren Signalabsorption.</w:t>
      </w:r>
      <w:r>
        <w:rPr>
          <w:rFonts w:ascii="Google Sans Text;sans-serif" w:hAnsi="Google Sans Text;sans-serif"/>
          <w:color w:val="444746"/>
          <w:sz w:val="24"/>
          <w:shd w:fill="auto" w:val="clear"/>
        </w:rPr>
        <w:t>5</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breite Spanne der in kommerziellen Datenblättern angegebenen Permittivität für Materialien wie ABS (2,5 bis 4,0) </w:t>
      </w:r>
      <w:r>
        <w:rPr>
          <w:rFonts w:ascii="Google Sans Text;sans-serif" w:hAnsi="Google Sans Text;sans-serif"/>
          <w:color w:val="444746"/>
          <w:sz w:val="24"/>
          <w:shd w:fill="auto" w:val="clear"/>
        </w:rPr>
        <w:t>3</w:t>
      </w:r>
      <w:r>
        <w:rPr>
          <w:rFonts w:ascii="Google Sans Text;sans-serif" w:hAnsi="Google Sans Text;sans-serif"/>
          <w:color w:val="1B1C1D"/>
        </w:rPr>
        <w:t xml:space="preserve"> ist nicht eine inhärente Eigenschaft des reinen Polymers, sondern eine direkte Folge der unkontrollierten Porosität, die durch unterschiedliche FDM-Fülldichten entsteht. Durch die Festlegung einer </w:t>
      </w:r>
      <w:r>
        <w:rPr>
          <w:rFonts w:ascii="Google Sans Text;sans-serif" w:hAnsi="Google Sans Text;sans-serif"/>
          <w:color w:val="1B1C1D"/>
        </w:rPr>
        <w:t>$100$</w:t>
      </w:r>
      <w:r>
        <w:rPr>
          <w:rFonts w:ascii="Google Sans Text;sans-serif" w:hAnsi="Google Sans Text;sans-serif"/>
          <w:color w:val="1B1C1D"/>
        </w:rPr>
        <w:t xml:space="preserve">-prozentigen Fülldichte konvergieren die </w:t>
      </w:r>
      <w:r>
        <w:rPr>
          <w:rFonts w:ascii="Google Sans Text;sans-serif" w:hAnsi="Google Sans Text;sans-serif"/>
          <w:color w:val="1B1C1D"/>
        </w:rPr>
        <w:t>$\epsilon_r$</w:t>
      </w:r>
      <w:r>
        <w:rPr>
          <w:rFonts w:ascii="Google Sans Text;sans-serif" w:hAnsi="Google Sans Text;sans-serif"/>
          <w:color w:val="1B1C1D"/>
        </w:rPr>
        <w:t>-Werte von PLA (</w:t>
      </w:r>
      <w:r>
        <w:rPr>
          <w:rFonts w:ascii="Google Sans Text;sans-serif" w:hAnsi="Google Sans Text;sans-serif"/>
          <w:color w:val="1B1C1D"/>
        </w:rPr>
        <w:t>$\approx 2,81$</w:t>
      </w:r>
      <w:r>
        <w:rPr>
          <w:rFonts w:ascii="Google Sans Text;sans-serif" w:hAnsi="Google Sans Text;sans-serif"/>
          <w:color w:val="1B1C1D"/>
        </w:rPr>
        <w:t>) und ABS (</w:t>
      </w:r>
      <w:r>
        <w:rPr>
          <w:rFonts w:ascii="Google Sans Text;sans-serif" w:hAnsi="Google Sans Text;sans-serif"/>
          <w:color w:val="1B1C1D"/>
        </w:rPr>
        <w:t>$\approx 3,0$</w:t>
      </w:r>
      <w:r>
        <w:rPr>
          <w:rFonts w:ascii="Google Sans Text;sans-serif" w:hAnsi="Google Sans Text;sans-serif"/>
          <w:color w:val="1B1C1D"/>
        </w:rPr>
        <w:t>) zu einem stabilen, vorhersagbaren Wert, was eine zuverlässige Berechnung der kritischen Radomabmessungen ermöglicht.</w:t>
      </w:r>
    </w:p>
    <w:p>
      <w:pPr>
        <w:pStyle w:val="HorizontaleLinie"/>
        <w:bidi w:val="0"/>
        <w:jc w:val="left"/>
        <w:rPr/>
      </w:pPr>
      <w:r>
        <w:rPr/>
      </w:r>
    </w:p>
    <w:p>
      <w:pPr>
        <w:pStyle w:val="Heading2"/>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2. Theoretischer Rahmen: Millimeterwellen-Interaktion mit dielektrischen Gehäusen</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Dieser Abschnitt erläutert die elektromagnetischen Grundlagen, die die Radomleistung bei 60 GHz steuern, und leitet die notwendigen Materialeigenschaften ab.</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2.1. Wellenlängen-Beschränkungen und optimale Dicke</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Bei der Betriebsfrequenz von 60 GHz beträgt die freie Wellenlänge (</w:t>
      </w:r>
      <w:r>
        <w:rPr>
          <w:rFonts w:ascii="Google Sans Text;sans-serif" w:hAnsi="Google Sans Text;sans-serif"/>
          <w:color w:val="1B1C1D"/>
        </w:rPr>
        <w:t>$\lambda_0$</w:t>
      </w:r>
      <w:r>
        <w:rPr>
          <w:rFonts w:ascii="Google Sans Text;sans-serif" w:hAnsi="Google Sans Text;sans-serif"/>
          <w:color w:val="1B1C1D"/>
        </w:rPr>
        <w:t xml:space="preserve">) ungefähr </w:t>
      </w:r>
      <w:r>
        <w:rPr>
          <w:rFonts w:ascii="Google Sans Text;sans-serif" w:hAnsi="Google Sans Text;sans-serif"/>
          <w:color w:val="1B1C1D"/>
        </w:rPr>
        <w:t>$5 \text{ mm}$</w:t>
      </w:r>
      <w:r>
        <w:rPr>
          <w:rFonts w:ascii="Google Sans Text;sans-serif" w:hAnsi="Google Sans Text;sans-serif"/>
          <w:color w:val="1B1C1D"/>
        </w:rPr>
        <w:t>.</w:t>
      </w:r>
      <w:r>
        <w:rPr>
          <w:rFonts w:ascii="Google Sans Text;sans-serif" w:hAnsi="Google Sans Text;sans-serif"/>
          <w:color w:val="444746"/>
          <w:sz w:val="24"/>
          <w:shd w:fill="auto" w:val="clear"/>
        </w:rPr>
        <w:t>7</w:t>
      </w:r>
      <w:r>
        <w:rPr>
          <w:rFonts w:ascii="Google Sans Text;sans-serif" w:hAnsi="Google Sans Text;sans-serif"/>
          <w:color w:val="1B1C1D"/>
        </w:rPr>
        <w:t xml:space="preserve"> Diese kurze Wellenlänge bedingt, dass die erforderlichen physikalischen Merkmale und die Toleranzen in der Fertigung sehr gering sein müssen.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Für eine optimale Radomleistung, die Reflexionen minimiert, muss die Materialdicke </w:t>
      </w:r>
      <w:r>
        <w:rPr>
          <w:rFonts w:ascii="Google Sans Text;sans-serif" w:hAnsi="Google Sans Text;sans-serif"/>
          <w:color w:val="1B1C1D"/>
        </w:rPr>
        <w:t>$d$</w:t>
      </w:r>
      <w:r>
        <w:rPr>
          <w:rFonts w:ascii="Google Sans Text;sans-serif" w:hAnsi="Google Sans Text;sans-serif"/>
          <w:color w:val="1B1C1D"/>
        </w:rPr>
        <w:t xml:space="preserve"> idealerweise ein ganzzahliges Vielfaches der halben Wellenlänge innerhalb des Materials (</w:t>
      </w:r>
      <w:r>
        <w:rPr>
          <w:rFonts w:ascii="Google Sans Text;sans-serif" w:hAnsi="Google Sans Text;sans-serif"/>
          <w:color w:val="1B1C1D"/>
        </w:rPr>
        <w:t>$\lambda_m/2$</w:t>
      </w:r>
      <w:r>
        <w:rPr>
          <w:rFonts w:ascii="Google Sans Text;sans-serif" w:hAnsi="Google Sans Text;sans-serif"/>
          <w:color w:val="1B1C1D"/>
        </w:rPr>
        <w:t xml:space="preserve">) betragen. Die innermaterielle Wellenlänge </w:t>
      </w:r>
      <w:r>
        <w:rPr>
          <w:rFonts w:ascii="Google Sans Text;sans-serif" w:hAnsi="Google Sans Text;sans-serif"/>
          <w:color w:val="1B1C1D"/>
        </w:rPr>
        <w:t>$\lambda_m$</w:t>
      </w:r>
      <w:r>
        <w:rPr>
          <w:rFonts w:ascii="Google Sans Text;sans-serif" w:hAnsi="Google Sans Text;sans-serif"/>
          <w:color w:val="1B1C1D"/>
        </w:rPr>
        <w:t xml:space="preserve"> berechnet sich gemäß der Beziehung </w:t>
      </w:r>
      <w:r>
        <w:rPr>
          <w:rFonts w:ascii="Google Sans Text;sans-serif" w:hAnsi="Google Sans Text;sans-serif"/>
          <w:color w:val="1B1C1D"/>
        </w:rPr>
        <w:t>$\lambda_m = \lambda_0 / \sqrt{\epsilon_r}$</w:t>
      </w:r>
      <w:r>
        <w:rPr>
          <w:rFonts w:ascii="Google Sans Text;sans-serif" w:hAnsi="Google Sans Text;sans-serif"/>
          <w:color w:val="1B1C1D"/>
        </w:rPr>
        <w:t>. Die genaue Kenntnis der Permittivität (</w:t>
      </w:r>
      <w:r>
        <w:rPr>
          <w:rFonts w:ascii="Google Sans Text;sans-serif" w:hAnsi="Google Sans Text;sans-serif"/>
          <w:color w:val="1B1C1D"/>
        </w:rPr>
        <w:t>$\epsilon_r$</w:t>
      </w:r>
      <w:r>
        <w:rPr>
          <w:rFonts w:ascii="Google Sans Text;sans-serif" w:hAnsi="Google Sans Text;sans-serif"/>
          <w:color w:val="1B1C1D"/>
        </w:rPr>
        <w:t xml:space="preserve">) des tatsächlich gedruckten Materials ist daher zwingend erforderlich, um die Radomdicke </w:t>
      </w:r>
      <w:r>
        <w:rPr>
          <w:rFonts w:ascii="Google Sans Text;sans-serif" w:hAnsi="Google Sans Text;sans-serif"/>
          <w:color w:val="1B1C1D"/>
        </w:rPr>
        <w:t>$d$</w:t>
      </w:r>
      <w:r>
        <w:rPr>
          <w:rFonts w:ascii="Google Sans Text;sans-serif" w:hAnsi="Google Sans Text;sans-serif"/>
          <w:color w:val="1B1C1D"/>
        </w:rPr>
        <w:t xml:space="preserve"> korrekt zu dimensionieren.</w:t>
      </w:r>
      <w:r>
        <w:rPr>
          <w:rFonts w:ascii="Google Sans Text;sans-serif" w:hAnsi="Google Sans Text;sans-serif"/>
          <w:color w:val="444746"/>
          <w:sz w:val="24"/>
          <w:shd w:fill="auto" w:val="clear"/>
        </w:rPr>
        <w:t>7</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2.2. Mechanismen der RLG-Degradation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Gesamtempfindlichkeit des Radarsystems wird durch den RLG bestimmt. Das Radom mindert den RLG durch drei Hauptmechanismen </w:t>
      </w:r>
      <w:r>
        <w:rPr>
          <w:rFonts w:ascii="Google Sans Text;sans-serif" w:hAnsi="Google Sans Text;sans-serif"/>
          <w:color w:val="444746"/>
          <w:sz w:val="24"/>
          <w:shd w:fill="auto" w:val="clear"/>
        </w:rPr>
        <w:t>2</w:t>
      </w:r>
      <w:r>
        <w:rPr>
          <w:rFonts w:ascii="Google Sans Text;sans-serif" w:hAnsi="Google Sans Text;sans-serif"/>
          <w:color w:val="1B1C1D"/>
        </w:rPr>
        <w:t>:</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Reflexions- und Brechungsverlust:</w:t>
      </w:r>
      <w:r>
        <w:rPr>
          <w:rFonts w:ascii="Google Sans Text;sans-serif" w:hAnsi="Google Sans Text;sans-serif"/>
          <w:color w:val="1B1C1D"/>
        </w:rPr>
        <w:t xml:space="preserve"> Dieser entsteht durch Impedanzfehlanpassungen an der Grenzschicht zwischen Luft und Polymer. Er hängt direkt von der Differenz der Permittivität zwischen den Medien ab.</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Dielektrischer Verlust (Absorption):</w:t>
      </w:r>
      <w:r>
        <w:rPr>
          <w:rFonts w:ascii="Google Sans Text;sans-serif" w:hAnsi="Google Sans Text;sans-serif"/>
          <w:color w:val="1B1C1D"/>
        </w:rPr>
        <w:t xml:space="preserve"> Die Energie wird im Material in Wärme umgewandelt. Dieser Verlust wird direkt durch den Verlustfaktor (</w:t>
      </w:r>
      <w:r>
        <w:rPr>
          <w:rFonts w:ascii="Google Sans Text;sans-serif" w:hAnsi="Google Sans Text;sans-serif"/>
          <w:color w:val="1B1C1D"/>
        </w:rPr>
        <w:t>$\tan \delta$</w:t>
      </w:r>
      <w:r>
        <w:rPr>
          <w:rFonts w:ascii="Google Sans Text;sans-serif" w:hAnsi="Google Sans Text;sans-serif"/>
          <w:color w:val="1B1C1D"/>
        </w:rPr>
        <w:t>) bestimmt.</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Verschiebung der Antennenresonanzfrequenz:</w:t>
      </w:r>
      <w:r>
        <w:rPr>
          <w:rFonts w:ascii="Google Sans Text;sans-serif" w:hAnsi="Google Sans Text;sans-serif"/>
          <w:color w:val="1B1C1D"/>
        </w:rPr>
        <w:t xml:space="preserve"> Die Anwesenheit des Dielektrikums in unmittelbarer Nähe des Sensors verändert die elektrische Größe der Antenne. Dies verschiebt den Punkt des maximalen Gewinns weg von der Betriebsfrequenz.</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Dieser RLG-Verlust in Abhängigkeit von Dicke und </w:t>
      </w:r>
      <w:r>
        <w:rPr>
          <w:rFonts w:ascii="Google Sans Text;sans-serif" w:hAnsi="Google Sans Text;sans-serif"/>
          <w:color w:val="1B1C1D"/>
        </w:rPr>
        <w:t>$\epsilon_r$</w:t>
      </w:r>
      <w:r>
        <w:rPr>
          <w:rFonts w:ascii="Google Sans Text;sans-serif" w:hAnsi="Google Sans Text;sans-serif"/>
          <w:color w:val="1B1C1D"/>
        </w:rPr>
        <w:t xml:space="preserve"> ist </w:t>
      </w:r>
      <w:r>
        <w:rPr>
          <w:rFonts w:ascii="Google Sans Text;sans-serif" w:hAnsi="Google Sans Text;sans-serif"/>
          <w:i/>
          <w:color w:val="1B1C1D"/>
        </w:rPr>
        <w:t>nicht-monoton</w:t>
      </w:r>
      <w:r>
        <w:rPr>
          <w:rFonts w:ascii="Google Sans Text;sans-serif" w:hAnsi="Google Sans Text;sans-serif"/>
          <w:color w:val="1B1C1D"/>
        </w:rPr>
        <w:t>.</w:t>
      </w:r>
      <w:r>
        <w:rPr>
          <w:rFonts w:ascii="Google Sans Text;sans-serif" w:hAnsi="Google Sans Text;sans-serif"/>
          <w:color w:val="444746"/>
          <w:sz w:val="24"/>
          <w:shd w:fill="auto" w:val="clear"/>
        </w:rPr>
        <w:t>2</w:t>
      </w:r>
      <w:r>
        <w:rPr>
          <w:rFonts w:ascii="Google Sans Text;sans-serif" w:hAnsi="Google Sans Text;sans-serif"/>
          <w:color w:val="1B1C1D"/>
        </w:rPr>
        <w:t xml:space="preserve"> Das bedeutet, dass kleine Abweichungen in der Radomdicke oder der Permittivität, die durch unkontrollierte FDM-Prozesse entstehen, dazu führen können, dass die elektrische Dicke des Radoms von einem Transmissionsmaximum zu einem Reflexionsmaximum verschoben wird, was die Systemleistung signifikant beeinträchtigt.</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2.3. Vergleichende dielektrische Grundeigenschaften bei 60 GHz</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Ein Vergleich der dielektrischen Eigenschaften von Standardmaterialien bei 60 GHz legt Referenzwerte fest, denen FDM-Polymere nacheifern müssen. Polypropylen (PP) und Polyethylen (PE) gelten als Benchmark-Materialien mit niedriger Permittivität und geringen Verlusten.</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Vergleichende Dielektrische Eigenschaften ausgewählter Materialien bei 60 GHz</w:t>
      </w:r>
    </w:p>
    <w:tbl>
      <w:tblPr>
        <w:tblW w:w="9638" w:type="dxa"/>
        <w:jc w:val="left"/>
        <w:tblInd w:w="0" w:type="dxa"/>
        <w:tblLayout w:type="fixed"/>
        <w:tblCellMar>
          <w:top w:w="120" w:type="dxa"/>
          <w:left w:w="180" w:type="dxa"/>
          <w:bottom w:w="120" w:type="dxa"/>
          <w:right w:w="180" w:type="dxa"/>
        </w:tblCellMar>
      </w:tblPr>
      <w:tblGrid>
        <w:gridCol w:w="1860"/>
        <w:gridCol w:w="4087"/>
        <w:gridCol w:w="3691"/>
      </w:tblGrid>
      <w:tr>
        <w:trPr>
          <w:tblHeader w:val="true"/>
        </w:trPr>
        <w:tc>
          <w:tcPr>
            <w:tcW w:w="1860"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Material</w:t>
            </w:r>
          </w:p>
        </w:tc>
        <w:tc>
          <w:tcPr>
            <w:tcW w:w="4087"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Realer Permittivitätsanteil (Re(ϵr​) @ 60 GHz)</w:t>
            </w:r>
          </w:p>
        </w:tc>
        <w:tc>
          <w:tcPr>
            <w:tcW w:w="369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Dämpfungsfaktor an der Luftgrenze (γ)</w:t>
            </w:r>
          </w:p>
        </w:tc>
      </w:tr>
      <w:tr>
        <w:trPr/>
        <w:tc>
          <w:tcPr>
            <w:tcW w:w="1860"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Polypropylen (PP)</w:t>
            </w:r>
          </w:p>
        </w:tc>
        <w:tc>
          <w:tcPr>
            <w:tcW w:w="4087"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2,2</w:t>
            </w:r>
          </w:p>
        </w:tc>
        <w:tc>
          <w:tcPr>
            <w:tcW w:w="369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0,038</w:t>
            </w:r>
          </w:p>
        </w:tc>
      </w:tr>
      <w:tr>
        <w:trPr/>
        <w:tc>
          <w:tcPr>
            <w:tcW w:w="1860"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Polyethylen (PE)</w:t>
            </w:r>
          </w:p>
        </w:tc>
        <w:tc>
          <w:tcPr>
            <w:tcW w:w="4087"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2,3</w:t>
            </w:r>
          </w:p>
        </w:tc>
        <w:tc>
          <w:tcPr>
            <w:tcW w:w="369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0,042</w:t>
            </w:r>
          </w:p>
        </w:tc>
      </w:tr>
      <w:tr>
        <w:trPr/>
        <w:tc>
          <w:tcPr>
            <w:tcW w:w="1860"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Polycarbonat</w:t>
            </w:r>
          </w:p>
        </w:tc>
        <w:tc>
          <w:tcPr>
            <w:tcW w:w="4087"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2,75</w:t>
            </w:r>
          </w:p>
        </w:tc>
        <w:tc>
          <w:tcPr>
            <w:tcW w:w="369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0,06</w:t>
            </w:r>
          </w:p>
        </w:tc>
      </w:tr>
      <w:tr>
        <w:trPr/>
        <w:tc>
          <w:tcPr>
            <w:tcW w:w="1860"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ABS (Bereich)</w:t>
            </w:r>
          </w:p>
        </w:tc>
        <w:tc>
          <w:tcPr>
            <w:tcW w:w="4087"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2,5 – 4,0</w:t>
            </w:r>
          </w:p>
        </w:tc>
        <w:tc>
          <w:tcPr>
            <w:tcW w:w="369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0,05 – 0,11</w:t>
            </w:r>
          </w:p>
        </w:tc>
      </w:tr>
      <w:tr>
        <w:trPr/>
        <w:tc>
          <w:tcPr>
            <w:tcW w:w="1860"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Wasser</w:t>
            </w:r>
          </w:p>
        </w:tc>
        <w:tc>
          <w:tcPr>
            <w:tcW w:w="4087"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11,1</w:t>
            </w:r>
          </w:p>
        </w:tc>
        <w:tc>
          <w:tcPr>
            <w:tcW w:w="369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0,28</w:t>
            </w:r>
          </w:p>
        </w:tc>
      </w:tr>
      <w:tr>
        <w:trPr/>
        <w:tc>
          <w:tcPr>
            <w:tcW w:w="1860"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Menschliche Haut</w:t>
            </w:r>
          </w:p>
        </w:tc>
        <w:tc>
          <w:tcPr>
            <w:tcW w:w="4087"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8</w:t>
            </w:r>
          </w:p>
        </w:tc>
        <w:tc>
          <w:tcPr>
            <w:tcW w:w="369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left="0" w:right="0"/>
              <w:jc w:val="left"/>
              <w:rPr>
                <w:rFonts w:ascii="Google Sans Text;sans-serif" w:hAnsi="Google Sans Text;sans-serif"/>
                <w:color w:val="1B1C1D"/>
              </w:rPr>
            </w:pPr>
            <w:r>
              <w:rPr>
                <w:rFonts w:ascii="Google Sans Text;sans-serif" w:hAnsi="Google Sans Text;sans-serif"/>
                <w:color w:val="1B1C1D"/>
              </w:rPr>
              <w:t>0,22</w:t>
            </w:r>
          </w:p>
        </w:tc>
      </w:tr>
    </w:tbl>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Quelle: </w:t>
      </w:r>
      <w:r>
        <w:rPr>
          <w:rFonts w:ascii="Google Sans Text;sans-serif" w:hAnsi="Google Sans Text;sans-serif"/>
          <w:color w:val="444746"/>
          <w:sz w:val="24"/>
          <w:shd w:fill="auto" w:val="clear"/>
        </w:rPr>
        <w:t>3</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Das Ziel der Materialauswahl muss es sein, FDM-Materialien zu verwenden, deren kontrollierte Eigenschaften, wie z. B. PLA mit </w:t>
      </w:r>
      <w:r>
        <w:rPr>
          <w:rFonts w:ascii="Google Sans Text;sans-serif" w:hAnsi="Google Sans Text;sans-serif"/>
          <w:color w:val="1B1C1D"/>
        </w:rPr>
        <w:t>$\epsilon_r \approx 2,8$</w:t>
      </w:r>
      <w:r>
        <w:rPr>
          <w:rFonts w:ascii="Google Sans Text;sans-serif" w:hAnsi="Google Sans Text;sans-serif"/>
          <w:color w:val="1B1C1D"/>
        </w:rPr>
        <w:t>, den niedrigen Permittivitäts-Benchmarks (wie PP) so nahe wie möglich kommen.</w:t>
      </w:r>
      <w:r>
        <w:rPr>
          <w:rFonts w:ascii="Google Sans Text;sans-serif" w:hAnsi="Google Sans Text;sans-serif"/>
          <w:color w:val="444746"/>
          <w:sz w:val="24"/>
          <w:shd w:fill="auto" w:val="clear"/>
        </w:rPr>
        <w:t>3</w:t>
      </w:r>
      <w:r>
        <w:rPr>
          <w:rFonts w:ascii="Google Sans Text;sans-serif" w:hAnsi="Google Sans Text;sans-serif"/>
          <w:color w:val="1B1C1D"/>
        </w:rPr>
        <w:t xml:space="preserve"> Die drastisch höhere Permittivität und der hohe Verlust von Wasser (</w:t>
      </w:r>
      <w:r>
        <w:rPr>
          <w:rFonts w:ascii="Google Sans Text;sans-serif" w:hAnsi="Google Sans Text;sans-serif"/>
          <w:color w:val="1B1C1D"/>
        </w:rPr>
        <w:t>$\epsilon_r=11,1$</w:t>
      </w:r>
      <w:r>
        <w:rPr>
          <w:rFonts w:ascii="Google Sans Text;sans-serif" w:hAnsi="Google Sans Text;sans-serif"/>
          <w:color w:val="1B1C1D"/>
        </w:rPr>
        <w:t>) unterstreichen die Unvermeidbarkeit einer Feuchtigkeitskontrolle.</w:t>
      </w:r>
      <w:r>
        <w:rPr>
          <w:rFonts w:ascii="Google Sans Text;sans-serif" w:hAnsi="Google Sans Text;sans-serif"/>
          <w:color w:val="444746"/>
          <w:sz w:val="24"/>
          <w:shd w:fill="auto" w:val="clear"/>
        </w:rPr>
        <w:t>3</w:t>
      </w:r>
      <w:r>
        <w:rPr>
          <w:rFonts w:ascii="Google Sans Text;sans-serif" w:hAnsi="Google Sans Text;sans-serif"/>
          <w:color w:val="1B1C1D"/>
        </w:rPr>
        <w:t xml:space="preserve"> Da die RLG-Verlustkurve stark von der elektrischen Dicke </w:t>
      </w:r>
      <w:r>
        <w:rPr>
          <w:rFonts w:ascii="Google Sans Text;sans-serif" w:hAnsi="Google Sans Text;sans-serif"/>
          <w:color w:val="1B1C1D"/>
        </w:rPr>
        <w:t>$d/\lambda_m$</w:t>
      </w:r>
      <w:r>
        <w:rPr>
          <w:rFonts w:ascii="Google Sans Text;sans-serif" w:hAnsi="Google Sans Text;sans-serif"/>
          <w:color w:val="1B1C1D"/>
        </w:rPr>
        <w:t xml:space="preserve"> abhängt, führen Unsicherheiten in </w:t>
      </w:r>
      <w:r>
        <w:rPr>
          <w:rFonts w:ascii="Google Sans Text;sans-serif" w:hAnsi="Google Sans Text;sans-serif"/>
          <w:color w:val="1B1C1D"/>
        </w:rPr>
        <w:t>$\epsilon_r$</w:t>
      </w:r>
      <w:r>
        <w:rPr>
          <w:rFonts w:ascii="Google Sans Text;sans-serif" w:hAnsi="Google Sans Text;sans-serif"/>
          <w:color w:val="1B1C1D"/>
        </w:rPr>
        <w:t xml:space="preserve"> (durch Infill-Variabilität) in Kombination mit Fertigungsungenauigkeiten in </w:t>
      </w:r>
      <w:r>
        <w:rPr>
          <w:rFonts w:ascii="Google Sans Text;sans-serif" w:hAnsi="Google Sans Text;sans-serif"/>
          <w:color w:val="1B1C1D"/>
        </w:rPr>
        <w:t>$d$</w:t>
      </w:r>
      <w:r>
        <w:rPr>
          <w:rFonts w:ascii="Google Sans Text;sans-serif" w:hAnsi="Google Sans Text;sans-serif"/>
          <w:color w:val="1B1C1D"/>
        </w:rPr>
        <w:t xml:space="preserve"> zu einer doppelten Unsicherheit, die durch Prozessstandardisierung minimiert werden muss.</w:t>
      </w:r>
    </w:p>
    <w:p>
      <w:pPr>
        <w:pStyle w:val="HorizontaleLinie"/>
        <w:bidi w:val="0"/>
        <w:jc w:val="left"/>
        <w:rPr/>
      </w:pPr>
      <w:r>
        <w:rPr/>
      </w:r>
    </w:p>
    <w:p>
      <w:pPr>
        <w:pStyle w:val="Heading2"/>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3. Quantitative Analyse der FDM-Polymer-Elektromagnetik</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Dieser Abschnitt präsentiert die zentralen quantitativen Daten, die den direkten Einfluss von FDM-Parametern auf die HF-Leistung belegen. Die statistische Analyse beweist, dass die Fülldichte der primäre Kontrollmechanismus für die effektive Permittivität ist.</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3.1. Polylactid (PLA) Leistungseigenschaften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PLA erweist sich als hervorragender Kandidat für Radome, da es intrinsisch niedrige Verluste bei Millimeterwellenfrequenzen aufweist. Studien berichten von einer Permittivität von </w:t>
      </w:r>
      <w:r>
        <w:rPr>
          <w:rFonts w:ascii="Google Sans Text;sans-serif" w:hAnsi="Google Sans Text;sans-serif"/>
          <w:color w:val="1B1C1D"/>
        </w:rPr>
        <w:t>$\epsilon_r \approx 2,54$</w:t>
      </w:r>
      <w:r>
        <w:rPr>
          <w:rFonts w:ascii="Google Sans Text;sans-serif" w:hAnsi="Google Sans Text;sans-serif"/>
          <w:color w:val="1B1C1D"/>
        </w:rPr>
        <w:t xml:space="preserve"> und einem niedrigen Verlustfaktor (</w:t>
      </w:r>
      <w:r>
        <w:rPr>
          <w:rFonts w:ascii="Google Sans Text;sans-serif" w:hAnsi="Google Sans Text;sans-serif"/>
          <w:color w:val="1B1C1D"/>
        </w:rPr>
        <w:t>$\tan \delta \approx 0,020$</w:t>
      </w:r>
      <w:r>
        <w:rPr>
          <w:rFonts w:ascii="Google Sans Text;sans-serif" w:hAnsi="Google Sans Text;sans-serif"/>
          <w:color w:val="1B1C1D"/>
        </w:rPr>
        <w:t>) bei 60 GHz.</w:t>
      </w:r>
      <w:r>
        <w:rPr>
          <w:rFonts w:ascii="Google Sans Text;sans-serif" w:hAnsi="Google Sans Text;sans-serif"/>
          <w:color w:val="444746"/>
          <w:sz w:val="24"/>
          <w:shd w:fill="auto" w:val="clear"/>
        </w:rPr>
        <w:t>8</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durch FDM-Prozesse induzierte Variabilität ist jedoch signifikant. Die </w:t>
      </w:r>
      <w:r>
        <w:rPr>
          <w:rFonts w:ascii="Google Sans Text;sans-serif" w:hAnsi="Google Sans Text;sans-serif"/>
          <w:color w:val="1B1C1D"/>
        </w:rPr>
        <w:t>$\epsilon_r$</w:t>
      </w:r>
      <w:r>
        <w:rPr>
          <w:rFonts w:ascii="Google Sans Text;sans-serif" w:hAnsi="Google Sans Text;sans-serif"/>
          <w:color w:val="1B1C1D"/>
        </w:rPr>
        <w:t xml:space="preserve"> von PLA variiert über den getesteten Bereich der Fülldichten (33% bis 100%) um </w:t>
      </w:r>
      <w:r>
        <w:rPr>
          <w:rFonts w:ascii="Google Sans Text;sans-serif" w:hAnsi="Google Sans Text;sans-serif"/>
          <w:color w:val="1B1C1D"/>
        </w:rPr>
        <w:t>$36,83\%$</w:t>
      </w:r>
      <w:r>
        <w:rPr>
          <w:rFonts w:ascii="Google Sans Text;sans-serif" w:hAnsi="Google Sans Text;sans-serif"/>
          <w:color w:val="1B1C1D"/>
        </w:rPr>
        <w:t xml:space="preserve"> (von 1,7778 bis 2,8141).</w:t>
      </w:r>
      <w:r>
        <w:rPr>
          <w:rFonts w:ascii="Google Sans Text;sans-serif" w:hAnsi="Google Sans Text;sans-serif"/>
          <w:color w:val="444746"/>
          <w:sz w:val="24"/>
          <w:shd w:fill="auto" w:val="clear"/>
        </w:rPr>
        <w:t>4</w:t>
      </w:r>
      <w:r>
        <w:rPr>
          <w:rFonts w:ascii="Google Sans Text;sans-serif" w:hAnsi="Google Sans Text;sans-serif"/>
          <w:color w:val="1B1C1D"/>
        </w:rPr>
        <w:t xml:space="preserve"> Die maximal erreichbare, stabile Permittivität bei </w:t>
      </w:r>
      <w:r>
        <w:rPr>
          <w:rFonts w:ascii="Google Sans Text;sans-serif" w:hAnsi="Google Sans Text;sans-serif"/>
          <w:color w:val="1B1C1D"/>
        </w:rPr>
        <w:t>$100\%$</w:t>
      </w:r>
      <w:r>
        <w:rPr>
          <w:rFonts w:ascii="Google Sans Text;sans-serif" w:hAnsi="Google Sans Text;sans-serif"/>
          <w:color w:val="1B1C1D"/>
        </w:rPr>
        <w:t xml:space="preserve"> Fülldichte liegt bei </w:t>
      </w:r>
      <w:r>
        <w:rPr>
          <w:rFonts w:ascii="Google Sans Text;sans-serif" w:hAnsi="Google Sans Text;sans-serif"/>
          <w:color w:val="1B1C1D"/>
        </w:rPr>
        <w:t>$2,8141$</w:t>
      </w:r>
      <w:r>
        <w:rPr>
          <w:rFonts w:ascii="Google Sans Text;sans-serif" w:hAnsi="Google Sans Text;sans-serif"/>
          <w:color w:val="1B1C1D"/>
        </w:rPr>
        <w:t>.</w:t>
      </w:r>
      <w:r>
        <w:rPr>
          <w:rFonts w:ascii="Google Sans Text;sans-serif" w:hAnsi="Google Sans Text;sans-serif"/>
          <w:color w:val="444746"/>
          <w:sz w:val="24"/>
          <w:shd w:fill="auto" w:val="clear"/>
        </w:rPr>
        <w:t>4</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3.2. Acrylnitril-Butadien-Styrol (ABS) Leistungseigenschaften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ABS zeigt ebenfalls eine geeignete dielektrische Leistung. Die Permittivität variiert zwischen 2,1979 und 2,9989, was einer Gesamtveränderung von </w:t>
      </w:r>
      <w:r>
        <w:rPr>
          <w:rFonts w:ascii="Google Sans Text;sans-serif" w:hAnsi="Google Sans Text;sans-serif"/>
          <w:color w:val="1B1C1D"/>
        </w:rPr>
        <w:t>$26,71\%$</w:t>
      </w:r>
      <w:r>
        <w:rPr>
          <w:rFonts w:ascii="Google Sans Text;sans-serif" w:hAnsi="Google Sans Text;sans-serif"/>
          <w:color w:val="1B1C1D"/>
        </w:rPr>
        <w:t xml:space="preserve"> über den getesteten Fülldichtebereich entspricht.</w:t>
      </w:r>
      <w:r>
        <w:rPr>
          <w:rFonts w:ascii="Google Sans Text;sans-serif" w:hAnsi="Google Sans Text;sans-serif"/>
          <w:color w:val="444746"/>
          <w:sz w:val="24"/>
          <w:shd w:fill="auto" w:val="clear"/>
        </w:rPr>
        <w:t>4</w:t>
      </w:r>
      <w:r>
        <w:rPr>
          <w:rFonts w:ascii="Google Sans Text;sans-serif" w:hAnsi="Google Sans Text;sans-serif"/>
          <w:color w:val="1B1C1D"/>
        </w:rPr>
        <w:t xml:space="preserve"> Der höchste, bei </w:t>
      </w:r>
      <w:r>
        <w:rPr>
          <w:rFonts w:ascii="Google Sans Text;sans-serif" w:hAnsi="Google Sans Text;sans-serif"/>
          <w:color w:val="1B1C1D"/>
        </w:rPr>
        <w:t>$100\%$</w:t>
      </w:r>
      <w:r>
        <w:rPr>
          <w:rFonts w:ascii="Google Sans Text;sans-serif" w:hAnsi="Google Sans Text;sans-serif"/>
          <w:color w:val="1B1C1D"/>
        </w:rPr>
        <w:t xml:space="preserve"> Fülldichte erreichte Wert liegt bei </w:t>
      </w:r>
      <w:r>
        <w:rPr>
          <w:rFonts w:ascii="Google Sans Text;sans-serif" w:hAnsi="Google Sans Text;sans-serif"/>
          <w:color w:val="1B1C1D"/>
        </w:rPr>
        <w:t>$2,9989$</w:t>
      </w:r>
      <w:r>
        <w:rPr>
          <w:rFonts w:ascii="Google Sans Text;sans-serif" w:hAnsi="Google Sans Text;sans-serif"/>
          <w:color w:val="1B1C1D"/>
        </w:rPr>
        <w:t>.</w:t>
      </w:r>
      <w:r>
        <w:rPr>
          <w:rFonts w:ascii="Google Sans Text;sans-serif" w:hAnsi="Google Sans Text;sans-serif"/>
          <w:color w:val="444746"/>
          <w:sz w:val="24"/>
          <w:shd w:fill="auto" w:val="clear"/>
        </w:rPr>
        <w:t>4</w:t>
      </w:r>
      <w:r>
        <w:rPr>
          <w:rFonts w:ascii="Google Sans Text;sans-serif" w:hAnsi="Google Sans Text;sans-serif"/>
          <w:color w:val="1B1C1D"/>
        </w:rPr>
        <w:t xml:space="preserve"> Im Vergleich zu PLA weist ABS bei </w:t>
      </w:r>
      <w:r>
        <w:rPr>
          <w:rFonts w:ascii="Google Sans Text;sans-serif" w:hAnsi="Google Sans Text;sans-serif"/>
          <w:color w:val="1B1C1D"/>
        </w:rPr>
        <w:t>$100\%$</w:t>
      </w:r>
      <w:r>
        <w:rPr>
          <w:rFonts w:ascii="Google Sans Text;sans-serif" w:hAnsi="Google Sans Text;sans-serif"/>
          <w:color w:val="1B1C1D"/>
        </w:rPr>
        <w:t xml:space="preserve"> Fülldichte eine geringfügig höhere </w:t>
      </w:r>
      <w:r>
        <w:rPr>
          <w:rFonts w:ascii="Google Sans Text;sans-serif" w:hAnsi="Google Sans Text;sans-serif"/>
          <w:color w:val="1B1C1D"/>
        </w:rPr>
        <w:t>$\epsilon_r$</w:t>
      </w:r>
      <w:r>
        <w:rPr>
          <w:rFonts w:ascii="Google Sans Text;sans-serif" w:hAnsi="Google Sans Text;sans-serif"/>
          <w:color w:val="1B1C1D"/>
        </w:rPr>
        <w:t xml:space="preserve"> auf. Für Anwendungen, die eine extrem niedrige </w:t>
      </w:r>
      <w:r>
        <w:rPr>
          <w:rFonts w:ascii="Google Sans Text;sans-serif" w:hAnsi="Google Sans Text;sans-serif"/>
          <w:color w:val="1B1C1D"/>
        </w:rPr>
        <w:t>$\epsilon_r$</w:t>
      </w:r>
      <w:r>
        <w:rPr>
          <w:rFonts w:ascii="Google Sans Text;sans-serif" w:hAnsi="Google Sans Text;sans-serif"/>
          <w:color w:val="1B1C1D"/>
        </w:rPr>
        <w:t xml:space="preserve"> fordern, wäre PLA daher geringfügig überlegen, vorausgesetzt, die mechanischen oder thermischen Anforderungen sind erfüllt.</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Die folgenden Tabellen verdeutlichen, wie kritisch die Fülldichte und das Muster die effektive Permittivität steuern: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Einfluss von Fülldichte und Muster auf die Relative Permittivität (</w:t>
      </w:r>
      <w:r>
        <w:rPr>
          <w:rFonts w:ascii="Google Sans Text;sans-serif" w:hAnsi="Google Sans Text;sans-serif"/>
          <w:color w:val="1B1C1D"/>
        </w:rPr>
        <w:t>$\epsilon_r$</w:t>
      </w:r>
      <w:r>
        <w:rPr>
          <w:rFonts w:ascii="Google Sans Text;sans-serif" w:hAnsi="Google Sans Text;sans-serif"/>
          <w:color w:val="1B1C1D"/>
        </w:rPr>
        <w:t>) von PLA</w:t>
      </w:r>
    </w:p>
    <w:tbl>
      <w:tblPr>
        <w:tblW w:w="9638" w:type="dxa"/>
        <w:jc w:val="left"/>
        <w:tblInd w:w="0" w:type="dxa"/>
        <w:tblLayout w:type="fixed"/>
        <w:tblCellMar>
          <w:top w:w="120" w:type="dxa"/>
          <w:left w:w="180" w:type="dxa"/>
          <w:bottom w:w="120" w:type="dxa"/>
          <w:right w:w="180" w:type="dxa"/>
        </w:tblCellMar>
      </w:tblPr>
      <w:tblGrid>
        <w:gridCol w:w="1028"/>
        <w:gridCol w:w="2163"/>
        <w:gridCol w:w="1219"/>
        <w:gridCol w:w="1219"/>
        <w:gridCol w:w="1271"/>
        <w:gridCol w:w="2738"/>
      </w:tblGrid>
      <w:tr>
        <w:trPr>
          <w:tblHeader w:val="true"/>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Material</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Füllgeometrie</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33% Dichte (ϵr​)</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66% Dichte (ϵr​)</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100% Dichte (ϵr​)</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ϵr​ Gesamtbereich (Minimum bis Maximum)</w:t>
            </w:r>
          </w:p>
        </w:tc>
      </w:tr>
      <w:tr>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PLA</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Quadrat</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2,1024</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2,4486</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2,8141</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1,7778 – 2,8141</w:t>
            </w:r>
          </w:p>
        </w:tc>
      </w:tr>
      <w:tr>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PLA</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Dreieck</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2,0522</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2,1277</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2,8141</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bidi w:val="0"/>
              <w:ind w:hanging="0" w:left="0" w:right="0"/>
              <w:jc w:val="left"/>
              <w:rPr>
                <w:sz w:val="4"/>
                <w:szCs w:val="4"/>
              </w:rPr>
            </w:pPr>
            <w:r>
              <w:rPr>
                <w:sz w:val="4"/>
                <w:szCs w:val="4"/>
              </w:rPr>
            </w:r>
          </w:p>
        </w:tc>
      </w:tr>
      <w:tr>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PLA</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Wellenförmig (Corrugated)</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1,7778</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2,5729</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2,8141</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bidi w:val="0"/>
              <w:jc w:val="left"/>
              <w:rPr>
                <w:sz w:val="4"/>
                <w:szCs w:val="4"/>
              </w:rPr>
            </w:pPr>
            <w:r>
              <w:rPr>
                <w:sz w:val="4"/>
                <w:szCs w:val="4"/>
              </w:rPr>
            </w:r>
          </w:p>
        </w:tc>
      </w:tr>
    </w:tbl>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Quelle: </w:t>
      </w:r>
      <w:r>
        <w:rPr>
          <w:rFonts w:ascii="Google Sans Text;sans-serif" w:hAnsi="Google Sans Text;sans-serif"/>
          <w:color w:val="444746"/>
          <w:sz w:val="24"/>
          <w:shd w:fill="auto" w:val="clear"/>
        </w:rPr>
        <w:t>4</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Einfluss von Fülldichte und Muster auf die Relative Permittivität (</w:t>
      </w:r>
      <w:r>
        <w:rPr>
          <w:rFonts w:ascii="Google Sans Text;sans-serif" w:hAnsi="Google Sans Text;sans-serif"/>
          <w:color w:val="1B1C1D"/>
        </w:rPr>
        <w:t>$\epsilon_r$</w:t>
      </w:r>
      <w:r>
        <w:rPr>
          <w:rFonts w:ascii="Google Sans Text;sans-serif" w:hAnsi="Google Sans Text;sans-serif"/>
          <w:color w:val="1B1C1D"/>
        </w:rPr>
        <w:t>) von ABS</w:t>
      </w:r>
    </w:p>
    <w:tbl>
      <w:tblPr>
        <w:tblW w:w="9638" w:type="dxa"/>
        <w:jc w:val="left"/>
        <w:tblInd w:w="0" w:type="dxa"/>
        <w:tblLayout w:type="fixed"/>
        <w:tblCellMar>
          <w:top w:w="120" w:type="dxa"/>
          <w:left w:w="180" w:type="dxa"/>
          <w:bottom w:w="120" w:type="dxa"/>
          <w:right w:w="180" w:type="dxa"/>
        </w:tblCellMar>
      </w:tblPr>
      <w:tblGrid>
        <w:gridCol w:w="1028"/>
        <w:gridCol w:w="2163"/>
        <w:gridCol w:w="1219"/>
        <w:gridCol w:w="1219"/>
        <w:gridCol w:w="1271"/>
        <w:gridCol w:w="2738"/>
      </w:tblGrid>
      <w:tr>
        <w:trPr>
          <w:tblHeader w:val="true"/>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Material</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Füllgeometrie</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33% Dichte (ϵr​)</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66% Dichte (ϵr​)</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100% Dichte (ϵr​)</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pPr>
            <w:r>
              <w:rPr>
                <w:rStyle w:val="Strong"/>
                <w:rFonts w:ascii="Google Sans Text;sans-serif" w:hAnsi="Google Sans Text;sans-serif"/>
                <w:color w:val="1B1C1D"/>
              </w:rPr>
              <w:t>ϵr​ Gesamtbereich (Minimum bis Maximum)</w:t>
            </w:r>
          </w:p>
        </w:tc>
      </w:tr>
      <w:tr>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ABS</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Quadrat</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2,1979</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2,6151</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2,9989</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2,1979 – 2,9989</w:t>
            </w:r>
          </w:p>
        </w:tc>
      </w:tr>
      <w:tr>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ABS</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Dreieck</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2,3513</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2,631</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2,9989</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bidi w:val="0"/>
              <w:ind w:hanging="0" w:left="0" w:right="0"/>
              <w:jc w:val="left"/>
              <w:rPr>
                <w:sz w:val="4"/>
                <w:szCs w:val="4"/>
              </w:rPr>
            </w:pPr>
            <w:r>
              <w:rPr>
                <w:sz w:val="4"/>
                <w:szCs w:val="4"/>
              </w:rPr>
            </w:r>
          </w:p>
        </w:tc>
      </w:tr>
      <w:tr>
        <w:trPr/>
        <w:tc>
          <w:tcPr>
            <w:tcW w:w="1028"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ABS</w:t>
            </w:r>
          </w:p>
        </w:tc>
        <w:tc>
          <w:tcPr>
            <w:tcW w:w="2163"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Wellenförmig (Corrugated)</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2,3313</w:t>
            </w:r>
          </w:p>
        </w:tc>
        <w:tc>
          <w:tcPr>
            <w:tcW w:w="1219"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2,5954</w:t>
            </w:r>
          </w:p>
        </w:tc>
        <w:tc>
          <w:tcPr>
            <w:tcW w:w="1271" w:type="dxa"/>
            <w:tcBorders>
              <w:top w:val="single" w:sz="2" w:space="0" w:color="000000"/>
              <w:left w:val="single" w:sz="2" w:space="0" w:color="000000"/>
              <w:bottom w:val="single" w:sz="2" w:space="0" w:color="000000"/>
              <w:right w:val="single" w:sz="2" w:space="0" w:color="000000"/>
            </w:tcBorders>
            <w:vAlign w:val="center"/>
          </w:tcPr>
          <w:p>
            <w:pPr>
              <w:pStyle w:val="Tabelleninhalt"/>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2,9989</w:t>
            </w:r>
          </w:p>
        </w:tc>
        <w:tc>
          <w:tcPr>
            <w:tcW w:w="2738" w:type="dxa"/>
            <w:tcBorders>
              <w:top w:val="single" w:sz="2" w:space="0" w:color="000000"/>
              <w:left w:val="single" w:sz="2" w:space="0" w:color="000000"/>
              <w:bottom w:val="single" w:sz="2" w:space="0" w:color="000000"/>
              <w:right w:val="single" w:sz="2" w:space="0" w:color="000000"/>
            </w:tcBorders>
            <w:vAlign w:val="center"/>
          </w:tcPr>
          <w:p>
            <w:pPr>
              <w:pStyle w:val="Tabelleninhalt"/>
              <w:bidi w:val="0"/>
              <w:jc w:val="left"/>
              <w:rPr>
                <w:sz w:val="4"/>
                <w:szCs w:val="4"/>
              </w:rPr>
            </w:pPr>
            <w:r>
              <w:rPr>
                <w:sz w:val="4"/>
                <w:szCs w:val="4"/>
              </w:rPr>
            </w:r>
          </w:p>
        </w:tc>
      </w:tr>
    </w:tbl>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Quelle: </w:t>
      </w:r>
      <w:r>
        <w:rPr>
          <w:rFonts w:ascii="Google Sans Text;sans-serif" w:hAnsi="Google Sans Text;sans-serif"/>
          <w:color w:val="444746"/>
          <w:sz w:val="24"/>
          <w:shd w:fill="auto" w:val="clear"/>
        </w:rPr>
        <w:t>4</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3.3. Analyse der Infill-Abhängigkeit</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statistische Auswertung der ABS-Daten liefert einen entscheidenden Hinweis für die Fertigungsstrategie: Während bei </w:t>
      </w:r>
      <w:r>
        <w:rPr>
          <w:rFonts w:ascii="Google Sans Text;sans-serif" w:hAnsi="Google Sans Text;sans-serif"/>
          <w:color w:val="1B1C1D"/>
        </w:rPr>
        <w:t>$33\%$</w:t>
      </w:r>
      <w:r>
        <w:rPr>
          <w:rFonts w:ascii="Google Sans Text;sans-serif" w:hAnsi="Google Sans Text;sans-serif"/>
          <w:color w:val="1B1C1D"/>
        </w:rPr>
        <w:t xml:space="preserve"> Fülldichte die Füllgeometrie einen signifikanten Einfluss auf die dielektrische Konstante ausübt (</w:t>
      </w:r>
      <w:r>
        <w:rPr>
          <w:rFonts w:ascii="Google Sans Text;sans-serif" w:hAnsi="Google Sans Text;sans-serif"/>
          <w:color w:val="1B1C1D"/>
        </w:rPr>
        <w:t>$p &lt; 0,01$</w:t>
      </w:r>
      <w:r>
        <w:rPr>
          <w:rFonts w:ascii="Google Sans Text;sans-serif" w:hAnsi="Google Sans Text;sans-serif"/>
          <w:color w:val="1B1C1D"/>
        </w:rPr>
        <w:t xml:space="preserve">), verschwindet dieser Einfluss vollständig bei </w:t>
      </w:r>
      <w:r>
        <w:rPr>
          <w:rFonts w:ascii="Google Sans Text;sans-serif" w:hAnsi="Google Sans Text;sans-serif"/>
          <w:color w:val="1B1C1D"/>
        </w:rPr>
        <w:t>$100\%$</w:t>
      </w:r>
      <w:r>
        <w:rPr>
          <w:rFonts w:ascii="Google Sans Text;sans-serif" w:hAnsi="Google Sans Text;sans-serif"/>
          <w:color w:val="1B1C1D"/>
        </w:rPr>
        <w:t xml:space="preserve"> Fülldichte (</w:t>
      </w:r>
      <w:r>
        <w:rPr>
          <w:rFonts w:ascii="Google Sans Text;sans-serif" w:hAnsi="Google Sans Text;sans-serif"/>
          <w:color w:val="1B1C1D"/>
        </w:rPr>
        <w:t>$p=1$</w:t>
      </w:r>
      <w:r>
        <w:rPr>
          <w:rFonts w:ascii="Google Sans Text;sans-serif" w:hAnsi="Google Sans Text;sans-serif"/>
          <w:color w:val="1B1C1D"/>
        </w:rPr>
        <w:t>).</w:t>
      </w:r>
      <w:r>
        <w:rPr>
          <w:rFonts w:ascii="Google Sans Text;sans-serif" w:hAnsi="Google Sans Text;sans-serif"/>
          <w:color w:val="444746"/>
          <w:sz w:val="24"/>
          <w:shd w:fill="auto" w:val="clear"/>
        </w:rPr>
        <w:t>4</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Dieses Ergebnis belegt, dass Teile mit geringer Fülldichte als ein komplexes, geometrisch abhängiges Kompositmaterial aus Polymer und Luft betrachtet werden müssen. Der elektrische Feldweg durch die Probe wird stark durch die Ausrichtung und das Muster der gedruckten Filamente beeinflusst. Im Gegensatz dazu führt eine </w:t>
      </w:r>
      <w:r>
        <w:rPr>
          <w:rFonts w:ascii="Google Sans Text;sans-serif" w:hAnsi="Google Sans Text;sans-serif"/>
          <w:color w:val="1B1C1D"/>
        </w:rPr>
        <w:t>$100$</w:t>
      </w:r>
      <w:r>
        <w:rPr>
          <w:rFonts w:ascii="Google Sans Text;sans-serif" w:hAnsi="Google Sans Text;sans-serif"/>
          <w:color w:val="1B1C1D"/>
        </w:rPr>
        <w:t xml:space="preserve">-prozentige Fülldichte dazu, dass das Material sich wie ein homogenes Dielektrikum verhält, in dem die Permittivität primär durch die intrinsische Zusammensetzung des Filaments bestimmt wird. Die Festlegung auf </w:t>
      </w:r>
      <w:r>
        <w:rPr>
          <w:rFonts w:ascii="Google Sans Text;sans-serif" w:hAnsi="Google Sans Text;sans-serif"/>
          <w:color w:val="1B1C1D"/>
        </w:rPr>
        <w:t>$100\%$</w:t>
      </w:r>
      <w:r>
        <w:rPr>
          <w:rFonts w:ascii="Google Sans Text;sans-serif" w:hAnsi="Google Sans Text;sans-serif"/>
          <w:color w:val="1B1C1D"/>
        </w:rPr>
        <w:t xml:space="preserve"> Fülldichte vereinfacht die elektromagnetische Modellierung erheblich, da Standardmodelle für Bulk-Dielektrika verwendet werden können, anstatt auf komplizierte Modelle der effektiven Mediumtheorie (EMT) für poröse Strukturen zurückgreifen zu müssen.</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3.4. PETG und andere Polymere</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PETG (Polyethylenterephthalatglycol) wird ebenfalls in der FDM-Fertigung verwendet und weist bei hohen Frequenzen eine niedrige Permittivität von </w:t>
      </w:r>
      <w:r>
        <w:rPr>
          <w:rFonts w:ascii="Google Sans Text;sans-serif" w:hAnsi="Google Sans Text;sans-serif"/>
          <w:color w:val="1B1C1D"/>
        </w:rPr>
        <w:t>$\epsilon_r \approx 2,675$</w:t>
      </w:r>
      <w:r>
        <w:rPr>
          <w:rFonts w:ascii="Google Sans Text;sans-serif" w:hAnsi="Google Sans Text;sans-serif"/>
          <w:color w:val="1B1C1D"/>
        </w:rPr>
        <w:t xml:space="preserve"> auf (im Frequenzbereich 75 GHz bis 110 GHz).</w:t>
      </w:r>
      <w:r>
        <w:rPr>
          <w:rFonts w:ascii="Google Sans Text;sans-serif" w:hAnsi="Google Sans Text;sans-serif"/>
          <w:color w:val="444746"/>
          <w:sz w:val="24"/>
          <w:shd w:fill="auto" w:val="clear"/>
        </w:rPr>
        <w:t>9</w:t>
      </w:r>
      <w:r>
        <w:rPr>
          <w:rFonts w:ascii="Google Sans Text;sans-serif" w:hAnsi="Google Sans Text;sans-serif"/>
          <w:color w:val="1B1C1D"/>
        </w:rPr>
        <w:t xml:space="preserve"> Der Verlustanteil ist ebenfalls gering (unter 0,045).</w:t>
      </w:r>
      <w:r>
        <w:rPr>
          <w:rFonts w:ascii="Google Sans Text;sans-serif" w:hAnsi="Google Sans Text;sans-serif"/>
          <w:color w:val="444746"/>
          <w:sz w:val="24"/>
          <w:shd w:fill="auto" w:val="clear"/>
        </w:rPr>
        <w:t>9</w:t>
      </w:r>
      <w:r>
        <w:rPr>
          <w:rFonts w:ascii="Google Sans Text;sans-serif" w:hAnsi="Google Sans Text;sans-serif"/>
          <w:color w:val="1B1C1D"/>
        </w:rPr>
        <w:t xml:space="preserve"> PETG ist bekannt für seine gute Beständigkeit gegen Chemikalien und Feuchtigkeit </w:t>
      </w:r>
      <w:r>
        <w:rPr>
          <w:rFonts w:ascii="Google Sans Text;sans-serif" w:hAnsi="Google Sans Text;sans-serif"/>
          <w:color w:val="444746"/>
          <w:sz w:val="24"/>
          <w:shd w:fill="auto" w:val="clear"/>
        </w:rPr>
        <w:t>10</w:t>
      </w:r>
      <w:r>
        <w:rPr>
          <w:rFonts w:ascii="Google Sans Text;sans-serif" w:hAnsi="Google Sans Text;sans-serif"/>
          <w:color w:val="1B1C1D"/>
        </w:rPr>
        <w:t>, was es zu einer vielversprechenden Alternative machen könnte, obwohl spezifische 60-GHz-Verlustdaten noch umfassend validiert werden müssen.</w:t>
      </w:r>
      <w:r>
        <w:rPr>
          <w:rFonts w:ascii="Google Sans Text;sans-serif" w:hAnsi="Google Sans Text;sans-serif"/>
          <w:color w:val="444746"/>
          <w:sz w:val="24"/>
          <w:shd w:fill="auto" w:val="clear"/>
        </w:rPr>
        <w:t>11</w:t>
      </w:r>
    </w:p>
    <w:p>
      <w:pPr>
        <w:pStyle w:val="HorizontaleLinie"/>
        <w:bidi w:val="0"/>
        <w:jc w:val="left"/>
        <w:rPr/>
      </w:pPr>
      <w:r>
        <w:rPr/>
      </w:r>
    </w:p>
    <w:p>
      <w:pPr>
        <w:pStyle w:val="Heading2"/>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4. Fortgeschrittene Struktureffekte: Anisotropie und Mikrostruktur</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Die additive Fertigungsmethode führt zu Materialeigenschaften, die über die der traditionell gefertigten Bulk-Polymere hinausgehen. Insbesondere Anisotropie und Restporosität müssen im Millimeterwellenbereich berücksichtigt werden.</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4.1. Dielektrische Anisotropie in Schichtstrukturen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FDM-gedruckte Teile sind von Natur aus anisotrop, da sie durch sukzessive Ablagerung von Materialschichten entstehen.</w:t>
      </w:r>
      <w:r>
        <w:rPr>
          <w:rFonts w:ascii="Google Sans Text;sans-serif" w:hAnsi="Google Sans Text;sans-serif"/>
          <w:color w:val="444746"/>
          <w:sz w:val="24"/>
          <w:shd w:fill="auto" w:val="clear"/>
        </w:rPr>
        <w:t>12</w:t>
      </w:r>
      <w:r>
        <w:rPr>
          <w:rFonts w:ascii="Google Sans Text;sans-serif" w:hAnsi="Google Sans Text;sans-serif"/>
          <w:color w:val="1B1C1D"/>
        </w:rPr>
        <w:t xml:space="preserve"> Dies bedeutet, dass die elektromagnetischen Eigenschaften, insbesondere die effektive Permittivität, von der Ausbreitungsrichtung der Welle relativ zu den Druckschichten abhängen (</w:t>
      </w:r>
      <w:r>
        <w:rPr>
          <w:rFonts w:ascii="Google Sans Text;sans-serif" w:hAnsi="Google Sans Text;sans-serif"/>
          <w:color w:val="1B1C1D"/>
        </w:rPr>
        <w:t>$\epsilon_x \neq \epsilon_y \neq \epsilon_z$</w:t>
      </w:r>
      <w:r>
        <w:rPr>
          <w:rFonts w:ascii="Google Sans Text;sans-serif" w:hAnsi="Google Sans Text;sans-serif"/>
          <w:color w:val="1B1C1D"/>
        </w:rPr>
        <w:t>).</w:t>
      </w:r>
      <w:r>
        <w:rPr>
          <w:rFonts w:ascii="Google Sans Text;sans-serif" w:hAnsi="Google Sans Text;sans-serif"/>
          <w:color w:val="444746"/>
          <w:sz w:val="24"/>
          <w:shd w:fill="auto" w:val="clear"/>
        </w:rPr>
        <w:t>13</w:t>
      </w:r>
      <w:r>
        <w:rPr>
          <w:rFonts w:ascii="Google Sans Text;sans-serif" w:hAnsi="Google Sans Text;sans-serif"/>
          <w:color w:val="1B1C1D"/>
        </w:rPr>
        <w:t xml:space="preserve"> Bei einem kohlenstofffaserverstärkten Material konnte eine starke Anisotropie im Bereich von </w:t>
      </w:r>
      <w:r>
        <w:rPr>
          <w:rFonts w:ascii="Google Sans Text;sans-serif" w:hAnsi="Google Sans Text;sans-serif"/>
          <w:color w:val="1B1C1D"/>
        </w:rPr>
        <w:t>$1 \text{ MHz}$</w:t>
      </w:r>
      <w:r>
        <w:rPr>
          <w:rFonts w:ascii="Google Sans Text;sans-serif" w:hAnsi="Google Sans Text;sans-serif"/>
          <w:color w:val="1B1C1D"/>
        </w:rPr>
        <w:t xml:space="preserve"> bis </w:t>
      </w:r>
      <w:r>
        <w:rPr>
          <w:rFonts w:ascii="Google Sans Text;sans-serif" w:hAnsi="Google Sans Text;sans-serif"/>
          <w:color w:val="1B1C1D"/>
        </w:rPr>
        <w:t>$18 \text{ GHz}$</w:t>
      </w:r>
      <w:r>
        <w:rPr>
          <w:rFonts w:ascii="Google Sans Text;sans-serif" w:hAnsi="Google Sans Text;sans-serif"/>
          <w:color w:val="1B1C1D"/>
        </w:rPr>
        <w:t xml:space="preserve"> nachgewiesen werden.</w:t>
      </w:r>
      <w:r>
        <w:rPr>
          <w:rFonts w:ascii="Google Sans Text;sans-serif" w:hAnsi="Google Sans Text;sans-serif"/>
          <w:color w:val="444746"/>
          <w:sz w:val="24"/>
          <w:shd w:fill="auto" w:val="clear"/>
        </w:rPr>
        <w:t>12</w:t>
      </w:r>
      <w:r>
        <w:rPr>
          <w:rFonts w:ascii="Google Sans Text;sans-serif" w:hAnsi="Google Sans Text;sans-serif"/>
          <w:color w:val="1B1C1D"/>
        </w:rPr>
        <w:t xml:space="preserve"> Obwohl dieser Effekt bei nicht gefüllten Polymeren weniger ausgeprägt sein mag, ist er bei der kurzen Wellenlänge von 60 GHz relevant.</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Da 60-GHz-Radarsysteme im Nahfeld des Radoms agieren (</w:t>
      </w:r>
      <w:r>
        <w:rPr>
          <w:rFonts w:ascii="Google Sans Text;sans-serif" w:hAnsi="Google Sans Text;sans-serif"/>
          <w:color w:val="1B1C1D"/>
        </w:rPr>
        <w:t>$\lambda_0 \approx 5 \text{ mm}$</w:t>
      </w:r>
      <w:r>
        <w:rPr>
          <w:rFonts w:ascii="Google Sans Text;sans-serif" w:hAnsi="Google Sans Text;sans-serif"/>
          <w:color w:val="1B1C1D"/>
        </w:rPr>
        <w:t>), kann die dielektrische Anisotropie zu unerwünschten Effekten wie Strahlverschiebung (</w:t>
      </w:r>
      <w:r>
        <w:rPr>
          <w:rFonts w:ascii="Google Sans Text;sans-serif" w:hAnsi="Google Sans Text;sans-serif"/>
          <w:i/>
          <w:color w:val="1B1C1D"/>
        </w:rPr>
        <w:t>beam squint</w:t>
      </w:r>
      <w:r>
        <w:rPr>
          <w:rFonts w:ascii="Google Sans Text;sans-serif" w:hAnsi="Google Sans Text;sans-serif"/>
          <w:color w:val="1B1C1D"/>
        </w:rPr>
        <w:t xml:space="preserve">) oder erhöhter Kreuzpolarisation führen, was die Präzision der Anwendung (z. B. Anwesenheitserkennung </w:t>
      </w:r>
      <w:r>
        <w:rPr>
          <w:rFonts w:ascii="Google Sans Text;sans-serif" w:hAnsi="Google Sans Text;sans-serif"/>
          <w:color w:val="444746"/>
          <w:sz w:val="24"/>
          <w:shd w:fill="auto" w:val="clear"/>
        </w:rPr>
        <w:t>14</w:t>
      </w:r>
      <w:r>
        <w:rPr>
          <w:rFonts w:ascii="Google Sans Text;sans-serif" w:hAnsi="Google Sans Text;sans-serif"/>
          <w:color w:val="1B1C1D"/>
        </w:rPr>
        <w:t>) mindert.</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Daraus folgt die technische Notwendigkeit, die 3D-Druckausrichtung relativ zu den Polarisationsachsen der Antenne präzise festzulegen und während der gesamten Produktionsserie beizubehalten, um die reproduzierbare Leistung zu gewährleisten. Darüber hinaus sollten HF-Simulationen idealerweise Tensor-Permittivitätsdefinitionen verwenden, um diese richtungsabhängigen Effekte zu modellieren.</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4.2. Porosität und Mikrovakuolen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Selbst bei einer Nennfüllung von </w:t>
      </w:r>
      <w:r>
        <w:rPr>
          <w:rFonts w:ascii="Google Sans Text;sans-serif" w:hAnsi="Google Sans Text;sans-serif"/>
          <w:color w:val="1B1C1D"/>
        </w:rPr>
        <w:t>$100\%$</w:t>
      </w:r>
      <w:r>
        <w:rPr>
          <w:rFonts w:ascii="Google Sans Text;sans-serif" w:hAnsi="Google Sans Text;sans-serif"/>
          <w:color w:val="1B1C1D"/>
        </w:rPr>
        <w:t xml:space="preserve"> enthalten FDM-Teile mikroskopisch kleine Lufteinschlüsse (Restporosität) und Grenzflächen zwischen den Schichten. Diese mikroskopischen Defekte bestimmen den endgültigen Permittivitätswert bei </w:t>
      </w:r>
      <w:r>
        <w:rPr>
          <w:rFonts w:ascii="Google Sans Text;sans-serif" w:hAnsi="Google Sans Text;sans-serif"/>
          <w:color w:val="1B1C1D"/>
        </w:rPr>
        <w:t>$100\%$</w:t>
      </w:r>
      <w:r>
        <w:rPr>
          <w:rFonts w:ascii="Google Sans Text;sans-serif" w:hAnsi="Google Sans Text;sans-serif"/>
          <w:color w:val="1B1C1D"/>
        </w:rPr>
        <w:t xml:space="preserve"> Fülldichte.</w:t>
      </w:r>
      <w:r>
        <w:rPr>
          <w:rFonts w:ascii="Google Sans Text;sans-serif" w:hAnsi="Google Sans Text;sans-serif"/>
          <w:color w:val="444746"/>
          <w:sz w:val="24"/>
          <w:shd w:fill="auto" w:val="clear"/>
        </w:rPr>
        <w:t>4</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Anwesenheit dieser Mikrovakuolen führt dazu, dass dielektrische Festigkeitswerte von additiv gefertigten Kunststoffen niedriger sein können als die von vergleichbaren, nicht gedruckten Bulk-Materialien (mit Ausnahme von Polycarbonat), wobei die Differenz mindestens </w:t>
      </w:r>
      <w:r>
        <w:rPr>
          <w:rFonts w:ascii="Google Sans Text;sans-serif" w:hAnsi="Google Sans Text;sans-serif"/>
          <w:color w:val="1B1C1D"/>
        </w:rPr>
        <w:t>$15\%$</w:t>
      </w:r>
      <w:r>
        <w:rPr>
          <w:rFonts w:ascii="Google Sans Text;sans-serif" w:hAnsi="Google Sans Text;sans-serif"/>
          <w:color w:val="1B1C1D"/>
        </w:rPr>
        <w:t xml:space="preserve"> betragen kann.</w:t>
      </w:r>
      <w:r>
        <w:rPr>
          <w:rFonts w:ascii="Google Sans Text;sans-serif" w:hAnsi="Google Sans Text;sans-serif"/>
          <w:color w:val="444746"/>
          <w:sz w:val="24"/>
          <w:shd w:fill="auto" w:val="clear"/>
        </w:rPr>
        <w:t>15</w:t>
      </w:r>
      <w:r>
        <w:rPr>
          <w:rFonts w:ascii="Google Sans Text;sans-serif" w:hAnsi="Google Sans Text;sans-serif"/>
          <w:color w:val="1B1C1D"/>
        </w:rPr>
        <w:t xml:space="preserve"> Diese Defekte tragen auch zu erhöhter HF-Streuung bei und erhöhen die Anfälligkeit des Materials für Umwelteinflüsse, insbesondere Feuchtigkeit.</w:t>
      </w:r>
    </w:p>
    <w:p>
      <w:pPr>
        <w:pStyle w:val="HorizontaleLinie"/>
        <w:bidi w:val="0"/>
        <w:jc w:val="left"/>
        <w:rPr/>
      </w:pPr>
      <w:r>
        <w:rPr/>
      </w:r>
    </w:p>
    <w:p>
      <w:pPr>
        <w:pStyle w:val="Heading2"/>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5. Minderung von Umwelt- und Integrationsfaktoren</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Die größte operative Herausforderung für die Langzeitstabilität von FDM-Radomen im Außen- oder Badezimmerbereich ist die Feuchtigkeitsaufnahme.</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5.1. Mechanismen und Auswirkungen der Feuchtigkeitsaufnahme</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Wasser ist ein stark dipolares Material. Wenn Polymere wie PLA oder ABS Feuchtigkeit absorbieren, führen die Wasserdipole zu einer Erhöhung der Permittivität (</w:t>
      </w:r>
      <w:r>
        <w:rPr>
          <w:rFonts w:ascii="Google Sans Text;sans-serif" w:hAnsi="Google Sans Text;sans-serif"/>
          <w:color w:val="1B1C1D"/>
        </w:rPr>
        <w:t>$\epsilon'$</w:t>
      </w:r>
      <w:r>
        <w:rPr>
          <w:rFonts w:ascii="Google Sans Text;sans-serif" w:hAnsi="Google Sans Text;sans-serif"/>
          <w:color w:val="1B1C1D"/>
        </w:rPr>
        <w:t>), da das Material eine erhöhte Fähigkeit zur Speicherung elektrischer Ladung aufweist.</w:t>
      </w:r>
      <w:r>
        <w:rPr>
          <w:rFonts w:ascii="Google Sans Text;sans-serif" w:hAnsi="Google Sans Text;sans-serif"/>
          <w:color w:val="444746"/>
          <w:sz w:val="24"/>
          <w:shd w:fill="auto" w:val="clear"/>
        </w:rPr>
        <w:t>5</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Noch kritischer ist der Effekt auf den Verlustfaktor (</w:t>
      </w:r>
      <w:r>
        <w:rPr>
          <w:rFonts w:ascii="Google Sans Text;sans-serif" w:hAnsi="Google Sans Text;sans-serif"/>
          <w:color w:val="1B1C1D"/>
        </w:rPr>
        <w:t>$\tan \delta$</w:t>
      </w:r>
      <w:r>
        <w:rPr>
          <w:rFonts w:ascii="Google Sans Text;sans-serif" w:hAnsi="Google Sans Text;sans-serif"/>
          <w:color w:val="1B1C1D"/>
        </w:rPr>
        <w:t xml:space="preserve"> oder </w:t>
      </w:r>
      <w:r>
        <w:rPr>
          <w:rFonts w:ascii="Google Sans Text;sans-serif" w:hAnsi="Google Sans Text;sans-serif"/>
          <w:color w:val="1B1C1D"/>
        </w:rPr>
        <w:t>$\epsilon''$</w:t>
      </w:r>
      <w:r>
        <w:rPr>
          <w:rFonts w:ascii="Google Sans Text;sans-serif" w:hAnsi="Google Sans Text;sans-serif"/>
          <w:color w:val="1B1C1D"/>
        </w:rPr>
        <w:t>). Die Absorption von Wasser oder die Bildung eines ionisierten Wasserfilms auf der Oberfläche (insbesondere bei hohen Luftfeuchtigkeiten) erhöht die Grenzflächenpolarisation und die Leitfähigkeit des Materials drastisch.</w:t>
      </w:r>
      <w:r>
        <w:rPr>
          <w:rFonts w:ascii="Google Sans Text;sans-serif" w:hAnsi="Google Sans Text;sans-serif"/>
          <w:color w:val="444746"/>
          <w:sz w:val="24"/>
          <w:shd w:fill="auto" w:val="clear"/>
        </w:rPr>
        <w:t>16</w:t>
      </w:r>
      <w:r>
        <w:rPr>
          <w:rFonts w:ascii="Google Sans Text;sans-serif" w:hAnsi="Google Sans Text;sans-serif"/>
          <w:color w:val="1B1C1D"/>
        </w:rPr>
        <w:t xml:space="preserve"> Dies führt zu einer starken Absorptionszunahme im Millimeterwellenbereich und damit zu einer Degradation des RLG.</w:t>
      </w:r>
      <w:r>
        <w:rPr>
          <w:rFonts w:ascii="Google Sans Text;sans-serif" w:hAnsi="Google Sans Text;sans-serif"/>
          <w:color w:val="444746"/>
          <w:sz w:val="24"/>
          <w:shd w:fill="auto" w:val="clear"/>
        </w:rPr>
        <w:t>2</w:t>
      </w:r>
      <w:r>
        <w:rPr>
          <w:rFonts w:ascii="Google Sans Text;sans-serif" w:hAnsi="Google Sans Text;sans-serif"/>
          <w:color w:val="1B1C1D"/>
        </w:rPr>
        <w:t xml:space="preserve"> Dielektrische Analysen (DEA) sind ein geeignetes Verfahren, um diese plastifizierenden Effekte der Feuchtigkeit zu überwachen und die absorbierte Wassermenge anhand der Permittivitätsänderungen abzuschätzen.</w:t>
      </w:r>
      <w:r>
        <w:rPr>
          <w:rFonts w:ascii="Google Sans Text;sans-serif" w:hAnsi="Google Sans Text;sans-serif"/>
          <w:color w:val="444746"/>
          <w:sz w:val="24"/>
          <w:shd w:fill="auto" w:val="clear"/>
        </w:rPr>
        <w:t>5</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Die Trocknung der Filamente vor dem Druck ist ein obligatorischer Schritt zur Vermeidung von Feuchtigkeitsbindung, die die mechanischen und dielektrischen Eigenschaften negativ beeinflusst.</w:t>
      </w:r>
      <w:r>
        <w:rPr>
          <w:rFonts w:ascii="Google Sans Text;sans-serif" w:hAnsi="Google Sans Text;sans-serif"/>
          <w:color w:val="444746"/>
          <w:sz w:val="24"/>
          <w:shd w:fill="auto" w:val="clear"/>
        </w:rPr>
        <w:t>18</w:t>
      </w:r>
      <w:r>
        <w:rPr>
          <w:rFonts w:ascii="Google Sans Text;sans-serif" w:hAnsi="Google Sans Text;sans-serif"/>
          <w:color w:val="1B1C1D"/>
        </w:rPr>
        <w:t xml:space="preserve"> Die Zuverlässigkeit eines 60-GHz-Systems steht und fällt mit der Wirksamkeit des Feuchtigkeitsschutzes.</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5.2. Designrichtlinien für Schutzbeschichtungen (Conformal Coatings)</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Zum Schutz der porösen FDM-Struktur vor Feuchtigkeit, Staub und Chemikalien sind Schutzlacke (</w:t>
      </w:r>
      <w:r>
        <w:rPr>
          <w:rFonts w:ascii="Google Sans Text;sans-serif" w:hAnsi="Google Sans Text;sans-serif"/>
          <w:i/>
          <w:color w:val="1B1C1D"/>
        </w:rPr>
        <w:t>Conformal Coatings</w:t>
      </w:r>
      <w:r>
        <w:rPr>
          <w:rFonts w:ascii="Google Sans Text;sans-serif" w:hAnsi="Google Sans Text;sans-serif"/>
          <w:color w:val="1B1C1D"/>
        </w:rPr>
        <w:t>) unerlässlich.</w:t>
      </w:r>
      <w:r>
        <w:rPr>
          <w:rFonts w:ascii="Google Sans Text;sans-serif" w:hAnsi="Google Sans Text;sans-serif"/>
          <w:color w:val="444746"/>
          <w:sz w:val="24"/>
          <w:shd w:fill="auto" w:val="clear"/>
        </w:rPr>
        <w:t>2</w:t>
      </w:r>
      <w:r>
        <w:rPr>
          <w:rFonts w:ascii="Google Sans Text;sans-serif" w:hAnsi="Google Sans Text;sans-serif"/>
          <w:color w:val="1B1C1D"/>
        </w:rPr>
        <w:t xml:space="preserve"> Die Anwendung dieser Beschichtungen muss jedoch strenge HF-technische Kriterien erfüllen:</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Permittivitätsanforderung:</w:t>
      </w:r>
      <w:r>
        <w:rPr>
          <w:rFonts w:ascii="Google Sans Text;sans-serif" w:hAnsi="Google Sans Text;sans-serif"/>
          <w:color w:val="1B1C1D"/>
        </w:rPr>
        <w:t xml:space="preserve"> Der Lack muss aus polymeren Materialien mit geringer Permittivität (typischerweise </w:t>
      </w:r>
      <w:r>
        <w:rPr>
          <w:rFonts w:ascii="Google Sans Text;sans-serif" w:hAnsi="Google Sans Text;sans-serif"/>
          <w:color w:val="1B1C1D"/>
        </w:rPr>
        <w:t>$\epsilon_r &lt; 4$</w:t>
      </w:r>
      <w:r>
        <w:rPr>
          <w:rFonts w:ascii="Google Sans Text;sans-serif" w:hAnsi="Google Sans Text;sans-serif"/>
          <w:color w:val="1B1C1D"/>
        </w:rPr>
        <w:t>) bestehen, um Reflexionsverluste zu minimieren.</w:t>
      </w:r>
      <w:r>
        <w:rPr>
          <w:rFonts w:ascii="Google Sans Text;sans-serif" w:hAnsi="Google Sans Text;sans-serif"/>
          <w:color w:val="444746"/>
          <w:sz w:val="24"/>
          <w:shd w:fill="auto" w:val="clear"/>
        </w:rPr>
        <w:t>2</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Dickenbeschränkung:</w:t>
      </w:r>
      <w:r>
        <w:rPr>
          <w:rFonts w:ascii="Google Sans Text;sans-serif" w:hAnsi="Google Sans Text;sans-serif"/>
          <w:color w:val="1B1C1D"/>
        </w:rPr>
        <w:t xml:space="preserve"> Die Dicke der Beschichtung ist kritisch. Simulationsergebnisse zeigen, dass der RLG-Verlust nicht-monoton zur Beschichtungsdicke verläuft. Eine Zunahme der Dicke und/oder der dielektrischen Konstante führt zu einem Verlust, der durch konstruktive und destruktive Interferenzen bestimmt wird.</w:t>
      </w:r>
      <w:r>
        <w:rPr>
          <w:rFonts w:ascii="Google Sans Text;sans-serif" w:hAnsi="Google Sans Text;sans-serif"/>
          <w:color w:val="444746"/>
          <w:sz w:val="24"/>
          <w:shd w:fill="auto" w:val="clear"/>
        </w:rPr>
        <w:t>2</w:t>
      </w:r>
      <w:r>
        <w:rPr>
          <w:rFonts w:ascii="Google Sans Text;sans-serif" w:hAnsi="Google Sans Text;sans-serif"/>
          <w:color w:val="1B1C1D"/>
        </w:rPr>
        <w:t xml:space="preserve"> Um kritische Verluste durch Antennenresonanzverschiebung und Interferenz zu vermeiden, wird empfohlen, eine extrem dünne Schicht (</w:t>
      </w:r>
      <w:r>
        <w:rPr>
          <w:rFonts w:ascii="Google Sans Text;sans-serif" w:hAnsi="Google Sans Text;sans-serif"/>
          <w:color w:val="1B1C1D"/>
        </w:rPr>
        <w:t>$&lt; 40 \mu m$</w:t>
      </w:r>
      <w:r>
        <w:rPr>
          <w:rFonts w:ascii="Google Sans Text;sans-serif" w:hAnsi="Google Sans Text;sans-serif"/>
          <w:color w:val="1B1C1D"/>
        </w:rPr>
        <w:t>) zu verwenden.</w:t>
      </w:r>
      <w:r>
        <w:rPr>
          <w:rFonts w:ascii="Google Sans Text;sans-serif" w:hAnsi="Google Sans Text;sans-serif"/>
          <w:color w:val="444746"/>
          <w:sz w:val="24"/>
          <w:shd w:fill="auto" w:val="clear"/>
        </w:rPr>
        <w:t>2</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Empirische Überprüfung:</w:t>
      </w:r>
      <w:r>
        <w:rPr>
          <w:rFonts w:ascii="Google Sans Text;sans-serif" w:hAnsi="Google Sans Text;sans-serif"/>
          <w:color w:val="1B1C1D"/>
        </w:rPr>
        <w:t xml:space="preserve"> Da viele Beschichtungsmaterialien im Millimeterwellenbereich unzureichend charakterisiert sind, ist eine empirische Leistungsüberprüfung des beschichteten Gesamtsystems zwingend erforderlich.</w:t>
      </w:r>
      <w:r>
        <w:rPr>
          <w:rFonts w:ascii="Google Sans Text;sans-serif" w:hAnsi="Google Sans Text;sans-serif"/>
          <w:color w:val="444746"/>
          <w:sz w:val="24"/>
          <w:shd w:fill="auto" w:val="clear"/>
        </w:rPr>
        <w:t>2</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Die hohe Empfindlichkeit des RLG gegenüber der Beschichtungsdicke legt nahe, dass der primäre Designfokus auf einer alternativen Radomstrategie liegen könnte. Anstatt die Radomdicke präzise auf die </w:t>
      </w:r>
      <w:r>
        <w:rPr>
          <w:rFonts w:ascii="Google Sans Text;sans-serif" w:hAnsi="Google Sans Text;sans-serif"/>
          <w:color w:val="1B1C1D"/>
        </w:rPr>
        <w:t>$\lambda_m/2$</w:t>
      </w:r>
      <w:r>
        <w:rPr>
          <w:rFonts w:ascii="Google Sans Text;sans-serif" w:hAnsi="Google Sans Text;sans-serif"/>
          <w:color w:val="1B1C1D"/>
        </w:rPr>
        <w:t xml:space="preserve">-Resonanz abzustimmen (was hohe Toleranzen erfordert), könnte ein </w:t>
      </w:r>
      <w:r>
        <w:rPr>
          <w:rFonts w:ascii="Google Sans Text;sans-serif" w:hAnsi="Google Sans Text;sans-serif"/>
          <w:i/>
          <w:color w:val="1B1C1D"/>
        </w:rPr>
        <w:t>sub-Wellenlängen-Dünnschicht</w:t>
      </w:r>
      <w:r>
        <w:rPr>
          <w:rFonts w:ascii="Google Sans Text;sans-serif" w:hAnsi="Google Sans Text;sans-serif"/>
          <w:color w:val="1B1C1D"/>
        </w:rPr>
        <w:t xml:space="preserve">-Ansatz gewählt werden. Bei einer extrem dünnen Gesamtradomdicke (deutlich unter </w:t>
      </w:r>
      <w:r>
        <w:rPr>
          <w:rFonts w:ascii="Google Sans Text;sans-serif" w:hAnsi="Google Sans Text;sans-serif"/>
          <w:color w:val="1B1C1D"/>
        </w:rPr>
        <w:t>$\lambda_m/2$</w:t>
      </w:r>
      <w:r>
        <w:rPr>
          <w:rFonts w:ascii="Google Sans Text;sans-serif" w:hAnsi="Google Sans Text;sans-serif"/>
          <w:color w:val="1B1C1D"/>
        </w:rPr>
        <w:t xml:space="preserve">) ist der Einfluss von </w:t>
      </w:r>
      <w:r>
        <w:rPr>
          <w:rFonts w:ascii="Google Sans Text;sans-serif" w:hAnsi="Google Sans Text;sans-serif"/>
          <w:color w:val="1B1C1D"/>
        </w:rPr>
        <w:t>$\epsilon_r$</w:t>
      </w:r>
      <w:r>
        <w:rPr>
          <w:rFonts w:ascii="Google Sans Text;sans-serif" w:hAnsi="Google Sans Text;sans-serif"/>
          <w:color w:val="1B1C1D"/>
        </w:rPr>
        <w:t>-Schwankungen und Beschichtungsdicke stark reduziert, da die elektrische Dicke als vernachlässigbar klein betrachtet werden kann.</w:t>
      </w:r>
    </w:p>
    <w:p>
      <w:pPr>
        <w:pStyle w:val="HorizontaleLinie"/>
        <w:bidi w:val="0"/>
        <w:jc w:val="left"/>
        <w:rPr/>
      </w:pPr>
      <w:r>
        <w:rPr/>
      </w:r>
    </w:p>
    <w:p>
      <w:pPr>
        <w:pStyle w:val="Heading2"/>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6. Umsetzbare Designempfehlungen und Qualitätssicherungsprotokoll</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color w:val="1B1C1D"/>
        </w:rPr>
      </w:pPr>
      <w:r>
        <w:rPr>
          <w:rFonts w:ascii="Google Sans Text;sans-serif" w:hAnsi="Google Sans Text;sans-serif"/>
          <w:color w:val="1B1C1D"/>
        </w:rPr>
        <w:t>Dieser Abschnitt fasst die Ergebnisse in einem umsetzbaren Protokoll für die Konstruktion von 60-GHz-Radomen mittels FDM zusammen.</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6.1. Optimierte Material- und Prozessspezifikation</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Materialauswahl:</w:t>
      </w:r>
      <w:r>
        <w:rPr>
          <w:rFonts w:ascii="Google Sans Text;sans-serif" w:hAnsi="Google Sans Text;sans-serif"/>
          <w:color w:val="1B1C1D"/>
        </w:rPr>
        <w:t xml:space="preserve"> Polylactid (PLA) wird als Standardmaterial der Wahl empfohlen. Es bietet die geringfügig niedrigere maximale Permittivität (</w:t>
      </w:r>
      <w:r>
        <w:rPr>
          <w:rFonts w:ascii="Google Sans Text;sans-serif" w:hAnsi="Google Sans Text;sans-serif"/>
          <w:color w:val="1B1C1D"/>
        </w:rPr>
        <w:t>$\epsilon_r = 2,8141$</w:t>
      </w:r>
      <w:r>
        <w:rPr>
          <w:rFonts w:ascii="Google Sans Text;sans-serif" w:hAnsi="Google Sans Text;sans-serif"/>
          <w:color w:val="1B1C1D"/>
        </w:rPr>
        <w:t>) und den bewährten niedrigen Verlustfaktor bei 60 GHz.</w:t>
      </w:r>
      <w:r>
        <w:rPr>
          <w:rFonts w:ascii="Google Sans Text;sans-serif" w:hAnsi="Google Sans Text;sans-serif"/>
          <w:color w:val="444746"/>
          <w:sz w:val="24"/>
          <w:shd w:fill="auto" w:val="clear"/>
        </w:rPr>
        <w:t>4</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Prozesskontrolle:</w:t>
      </w:r>
      <w:r>
        <w:rPr>
          <w:rFonts w:ascii="Google Sans Text;sans-serif" w:hAnsi="Google Sans Text;sans-serif"/>
          <w:color w:val="1B1C1D"/>
        </w:rPr>
        <w:t xml:space="preserve"> Die Fülldichte muss </w:t>
      </w:r>
      <w:r>
        <w:rPr>
          <w:rFonts w:ascii="Google Sans Text;sans-serif" w:hAnsi="Google Sans Text;sans-serif"/>
          <w:b/>
          <w:color w:val="1B1C1D"/>
        </w:rPr>
        <w:t>unbedingt auf $100\%$ festgelegt werden</w:t>
      </w:r>
      <w:r>
        <w:rPr>
          <w:rFonts w:ascii="Google Sans Text;sans-serif" w:hAnsi="Google Sans Text;sans-serif"/>
          <w:color w:val="1B1C1D"/>
        </w:rPr>
        <w:t>. Dies ist der effektivste Parameter, um die geometrisch bedingte Variabilität der Permittivität zu eliminieren und das Material als vorhersagbares Bulk-Dielektrikum zu behandeln.</w:t>
      </w:r>
      <w:r>
        <w:rPr>
          <w:rFonts w:ascii="Google Sans Text;sans-serif" w:hAnsi="Google Sans Text;sans-serif"/>
          <w:color w:val="444746"/>
          <w:sz w:val="24"/>
          <w:shd w:fill="auto" w:val="clear"/>
        </w:rPr>
        <w:t>4</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Filamentmanagement:</w:t>
      </w:r>
      <w:r>
        <w:rPr>
          <w:rFonts w:ascii="Google Sans Text;sans-serif" w:hAnsi="Google Sans Text;sans-serif"/>
          <w:color w:val="1B1C1D"/>
        </w:rPr>
        <w:t xml:space="preserve"> Die Filament-Feuchtigkeit muss durch geeignete Vortrocknungsprozesse auf ein Minimum reduziert werden, um die Leistungsabsorption durch Wasserdipole zu vermeiden.</w:t>
      </w:r>
      <w:r>
        <w:rPr>
          <w:rFonts w:ascii="Google Sans Text;sans-serif" w:hAnsi="Google Sans Text;sans-serif"/>
          <w:color w:val="444746"/>
          <w:sz w:val="24"/>
          <w:shd w:fill="auto" w:val="clear"/>
        </w:rPr>
        <w:t>6</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6.2. Systemintegration und Simulationsstrategie</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Modellierung der Permittivität:</w:t>
      </w:r>
      <w:r>
        <w:rPr>
          <w:rFonts w:ascii="Google Sans Text;sans-serif" w:hAnsi="Google Sans Text;sans-serif"/>
          <w:color w:val="1B1C1D"/>
        </w:rPr>
        <w:t xml:space="preserve"> Die gemessenen </w:t>
      </w:r>
      <w:r>
        <w:rPr>
          <w:rFonts w:ascii="Google Sans Text;sans-serif" w:hAnsi="Google Sans Text;sans-serif"/>
          <w:color w:val="1B1C1D"/>
        </w:rPr>
        <w:t>$\epsilon_r$</w:t>
      </w:r>
      <w:r>
        <w:rPr>
          <w:rFonts w:ascii="Google Sans Text;sans-serif" w:hAnsi="Google Sans Text;sans-serif"/>
          <w:color w:val="1B1C1D"/>
        </w:rPr>
        <w:t xml:space="preserve">-Werte bei </w:t>
      </w:r>
      <w:r>
        <w:rPr>
          <w:rFonts w:ascii="Google Sans Text;sans-serif" w:hAnsi="Google Sans Text;sans-serif"/>
          <w:color w:val="1B1C1D"/>
        </w:rPr>
        <w:t>$100\%$</w:t>
      </w:r>
      <w:r>
        <w:rPr>
          <w:rFonts w:ascii="Google Sans Text;sans-serif" w:hAnsi="Google Sans Text;sans-serif"/>
          <w:color w:val="1B1C1D"/>
        </w:rPr>
        <w:t xml:space="preserve"> Fülldichte (z. B. 2,81 für PLA oder 3,00 für ABS) müssen in die Full-Wave-EM-Simulationen übernommen werden. Die potenzielle dielektrische Anisotropie, die durch die Schichtstruktur entsteht, muss berücksichtigt werden, indem Leistung entlang orthogonaler Achsen getestet oder modelliert wird.</w:t>
      </w:r>
      <w:r>
        <w:rPr>
          <w:rFonts w:ascii="Google Sans Text;sans-serif" w:hAnsi="Google Sans Text;sans-serif"/>
          <w:color w:val="444746"/>
          <w:sz w:val="24"/>
          <w:shd w:fill="auto" w:val="clear"/>
        </w:rPr>
        <w:t>12</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Strategie für die Radomdicke:</w:t>
      </w:r>
      <w:r>
        <w:rPr>
          <w:rFonts w:ascii="Google Sans Text;sans-serif" w:hAnsi="Google Sans Text;sans-serif"/>
          <w:color w:val="1B1C1D"/>
        </w:rPr>
        <w:t xml:space="preserve"> Der Ingenieur muss entscheiden, ob die Radomdicke auf der </w:t>
      </w:r>
      <w:r>
        <w:rPr>
          <w:rFonts w:ascii="Google Sans Text;sans-serif" w:hAnsi="Google Sans Text;sans-serif"/>
          <w:color w:val="1B1C1D"/>
        </w:rPr>
        <w:t>$\lambda_m/2$</w:t>
      </w:r>
      <w:r>
        <w:rPr>
          <w:rFonts w:ascii="Google Sans Text;sans-serif" w:hAnsi="Google Sans Text;sans-serif"/>
          <w:color w:val="1B1C1D"/>
        </w:rPr>
        <w:t xml:space="preserve">-Resonanz beruht (hohe Anforderung an dimensionale Toleranz) oder ob der </w:t>
      </w:r>
      <w:r>
        <w:rPr>
          <w:rFonts w:ascii="Google Sans Text;sans-serif" w:hAnsi="Google Sans Text;sans-serif"/>
          <w:i/>
          <w:color w:val="1B1C1D"/>
        </w:rPr>
        <w:t>sub-Wellenlängen-Dünnschicht</w:t>
      </w:r>
      <w:r>
        <w:rPr>
          <w:rFonts w:ascii="Google Sans Text;sans-serif" w:hAnsi="Google Sans Text;sans-serif"/>
          <w:color w:val="1B1C1D"/>
        </w:rPr>
        <w:t>-Ansatz verwendet wird (Reduzierung der Reflexion durch minimale elektrische Dicke, mechanische Robustheit vorausgesetzt).</w:t>
      </w:r>
    </w:p>
    <w:p>
      <w:pPr>
        <w:pStyle w:val="Heading3"/>
        <w:keepNext w:val="false"/>
        <w:pageBreakBefore w:val="false"/>
        <w:widowControl/>
        <w:pBdr/>
        <w:bidi w:val="0"/>
        <w:spacing w:lineRule="auto" w:line="274" w:before="0" w:after="120"/>
        <w:ind w:hanging="0" w:left="0" w:right="0"/>
        <w:jc w:val="left"/>
        <w:rPr>
          <w:rFonts w:ascii="Google Sans;sans-serif" w:hAnsi="Google Sans;sans-serif"/>
          <w:color w:val="1B1C1D"/>
        </w:rPr>
      </w:pPr>
      <w:r>
        <w:rPr>
          <w:rFonts w:ascii="Google Sans;sans-serif" w:hAnsi="Google Sans;sans-serif"/>
          <w:color w:val="1B1C1D"/>
        </w:rPr>
        <w:t>6.3. Nachbearbeitung und Zuverlässigkeit</w:t>
      </w:r>
    </w:p>
    <w:p>
      <w:pPr>
        <w:pStyle w:val="BodyText"/>
        <w:keepNext w:val="false"/>
        <w:pageBreakBefore w:val="false"/>
        <w:widowControl/>
        <w:numPr>
          <w:ilvl w:val="0"/>
          <w:numId w:val="5"/>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Feuchtigkeitsschutz:</w:t>
      </w:r>
      <w:r>
        <w:rPr>
          <w:rFonts w:ascii="Google Sans Text;sans-serif" w:hAnsi="Google Sans Text;sans-serif"/>
          <w:color w:val="1B1C1D"/>
        </w:rPr>
        <w:t xml:space="preserve"> Unmittelbar nach der Fertigung muss eine Schutzbeschichtung aufgetragen werden. Diese sollte eine geringe </w:t>
      </w:r>
      <w:r>
        <w:rPr>
          <w:rFonts w:ascii="Google Sans Text;sans-serif" w:hAnsi="Google Sans Text;sans-serif"/>
          <w:color w:val="1B1C1D"/>
        </w:rPr>
        <w:t>$\epsilon_r$</w:t>
      </w:r>
      <w:r>
        <w:rPr>
          <w:rFonts w:ascii="Google Sans Text;sans-serif" w:hAnsi="Google Sans Text;sans-serif"/>
          <w:color w:val="1B1C1D"/>
        </w:rPr>
        <w:t xml:space="preserve"> aufweisen und eine Dicke von </w:t>
      </w:r>
      <w:r>
        <w:rPr>
          <w:rFonts w:ascii="Google Sans Text;sans-serif" w:hAnsi="Google Sans Text;sans-serif"/>
          <w:color w:val="1B1C1D"/>
        </w:rPr>
        <w:t>$&lt; 40 \mu m$</w:t>
      </w:r>
      <w:r>
        <w:rPr>
          <w:rFonts w:ascii="Google Sans Text;sans-serif" w:hAnsi="Google Sans Text;sans-serif"/>
          <w:color w:val="1B1C1D"/>
        </w:rPr>
        <w:t xml:space="preserve"> nicht überschreiten. Diese Beschichtung versiegelt die poröse FDM-Struktur gegen Umwelteinflüsse und verhindert den RLG-Verlust durch Feuchtigkeitsaufnahme.</w:t>
      </w:r>
      <w:r>
        <w:rPr>
          <w:rFonts w:ascii="Google Sans Text;sans-serif" w:hAnsi="Google Sans Text;sans-serif"/>
          <w:color w:val="444746"/>
          <w:sz w:val="24"/>
          <w:shd w:fill="auto" w:val="clear"/>
        </w:rPr>
        <w:t>2</w:t>
      </w:r>
    </w:p>
    <w:p>
      <w:pPr>
        <w:pStyle w:val="BodyText"/>
        <w:keepNext w:val="false"/>
        <w:pageBreakBefore w:val="false"/>
        <w:widowControl/>
        <w:numPr>
          <w:ilvl w:val="0"/>
          <w:numId w:val="5"/>
        </w:numPr>
        <w:pBdr/>
        <w:tabs>
          <w:tab w:val="clear" w:pos="709"/>
          <w:tab w:val="left" w:pos="0" w:leader="none"/>
        </w:tabs>
        <w:bidi w:val="0"/>
        <w:spacing w:lineRule="auto" w:line="274" w:before="0" w:after="0"/>
        <w:ind w:hanging="283" w:left="0" w:right="0"/>
        <w:jc w:val="left"/>
        <w:rPr>
          <w:rFonts w:ascii="Google Sans Text;sans-serif" w:hAnsi="Google Sans Text;sans-serif"/>
          <w:color w:val="1B1C1D"/>
        </w:rPr>
      </w:pPr>
      <w:r>
        <w:rPr>
          <w:rFonts w:ascii="Google Sans Text;sans-serif" w:hAnsi="Google Sans Text;sans-serif"/>
          <w:b/>
          <w:color w:val="1B1C1D"/>
        </w:rPr>
        <w:t>Empirische Validierung:</w:t>
      </w:r>
      <w:r>
        <w:rPr>
          <w:rFonts w:ascii="Google Sans Text;sans-serif" w:hAnsi="Google Sans Text;sans-serif"/>
          <w:color w:val="1B1C1D"/>
        </w:rPr>
        <w:t xml:space="preserve"> Aufgrund der hohen Empfindlichkeit der 60-GHz-Antennen auf dielektrische Belastungen und der Komplexität der Charakterisierung von Materialien im Millimeterwellenbereich ist eine empirische Leistungsüberprüfung des fertigen, beschichteten Produkts unerlässlich. Hierfür können die Acconeer-Entwicklungswerkzeuge und Radarmesssysteme (z. B. XM122 SDK) zur Überprüfung des tatsächlichen RLG und der Reichweitenleistung verwendet werden.</w:t>
      </w:r>
      <w:r>
        <w:rPr>
          <w:rFonts w:ascii="Google Sans Text;sans-serif" w:hAnsi="Google Sans Text;sans-serif"/>
          <w:color w:val="444746"/>
          <w:sz w:val="24"/>
          <w:shd w:fill="auto" w:val="clear"/>
        </w:rPr>
        <w:t>2</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Google Sans">
    <w:altName w:val="sans-serif"/>
    <w:charset w:val="00"/>
    <w:family w:val="auto"/>
    <w:pitch w:val="default"/>
  </w:font>
  <w:font w:name="Google Sans Text">
    <w:altName w:val="sans-serif"/>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de-DE" w:eastAsia="zh-CN" w:bidi="hi-IN"/>
    </w:rPr>
  </w:style>
  <w:style w:type="paragraph" w:styleId="Heading1">
    <w:name w:val="heading 1"/>
    <w:basedOn w:val="berschrift"/>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berschrift"/>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berschrift"/>
    <w:next w:val="BodyText"/>
    <w:qFormat/>
    <w:pPr>
      <w:spacing w:before="140" w:after="120"/>
      <w:outlineLvl w:val="2"/>
    </w:pPr>
    <w:rPr>
      <w:rFonts w:ascii="Liberation Serif" w:hAnsi="Liberation Serif" w:eastAsia="NSimSun" w:cs="Arial"/>
      <w:b/>
      <w:bCs/>
      <w:sz w:val="28"/>
      <w:szCs w:val="28"/>
    </w:rPr>
  </w:style>
  <w:style w:type="character" w:styleId="Nummerierungszeichen">
    <w:name w:val="Nummerierungszeichen"/>
    <w:qFormat/>
    <w:rPr/>
  </w:style>
  <w:style w:type="character" w:styleId="Strong">
    <w:name w:val="Strong"/>
    <w:qFormat/>
    <w:rPr>
      <w:b/>
      <w:bCs/>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8</Pages>
  <Words>2258</Words>
  <Characters>16675</Characters>
  <CharactersWithSpaces>18879</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2025-11-19T13:36:29Z</dcterms:created>
  <dc:creator/>
  <dc:description/>
  <dc:language>de-DE</dc:language>
  <cp:lastModifiedBy/>
  <dcterms:modified xsi:type="dcterms:W3CDTF">2025-11-19T13:37:16Z</dcterms:modified>
  <cp:revision>1</cp:revision>
  <dc:subject/>
  <dc:title/>
</cp:coreProperties>
</file>