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Corporate</w:t>
      </w:r>
      <w:r>
        <w:t xml:space="preserve"> </w:t>
      </w:r>
      <w:r>
        <w:t xml:space="preserve">Real</w:t>
      </w:r>
      <w:r>
        <w:t xml:space="preserve"> </w:t>
      </w:r>
      <w:r>
        <w:t xml:space="preserve">Estate</w:t>
      </w:r>
      <w:r>
        <w:t xml:space="preserve"> </w:t>
      </w:r>
      <w:r>
        <w:t xml:space="preserve">Analytics</w:t>
      </w:r>
      <w:r>
        <w:t xml:space="preserve"> </w:t>
      </w:r>
      <w:r>
        <w:t xml:space="preserve">—</w:t>
      </w:r>
      <w:r>
        <w:t xml:space="preserve"> </w:t>
      </w:r>
      <w:r>
        <w:t xml:space="preserve">Senior</w:t>
      </w:r>
      <w:r>
        <w:t xml:space="preserve"> </w:t>
      </w:r>
      <w:r>
        <w:t xml:space="preserve">Director</w:t>
      </w:r>
      <w:r>
        <w:t xml:space="preserve"> </w:t>
      </w:r>
      <w:r>
        <w:t xml:space="preserve">Interview</w:t>
      </w:r>
      <w:r>
        <w:t xml:space="preserve"> </w:t>
      </w:r>
      <w:r>
        <w:t xml:space="preserve">Course</w:t>
      </w:r>
      <w:r>
        <w:t xml:space="preserve"> </w:t>
      </w:r>
      <w:r>
        <w:t xml:space="preserve">(v2)</w:t>
      </w:r>
    </w:p>
    <w:p>
      <w:pPr>
        <w:pStyle w:val="Date"/>
      </w:pPr>
      <w:r>
        <w:t xml:space="preserve">October</w:t>
      </w:r>
      <w:r>
        <w:t xml:space="preserve"> </w:t>
      </w:r>
      <w:r>
        <w:t xml:space="preserve">26,</w:t>
      </w:r>
      <w:r>
        <w:t xml:space="preserve"> </w:t>
      </w:r>
      <w:r>
        <w:t xml:space="preserve">2026</w:t>
      </w:r>
    </w:p>
    <w:bookmarkStart w:id="20" w:name="what-changed-in-v2"/>
    <w:p>
      <w:pPr>
        <w:pStyle w:val="Heading2"/>
      </w:pPr>
      <w:r>
        <w:t xml:space="preserve">What changed in v2</w:t>
      </w:r>
    </w:p>
    <w:p>
      <w:pPr>
        <w:pStyle w:val="FirstParagraph"/>
      </w:pPr>
      <w:r>
        <w:t xml:space="preserve">The original course was sound: every calculation checks out and the judgment framing is strong. Its weaknesses were that it was generic, thin on real estate vocabulary, and gave answer skeletons instead of answers you can say out loud. v2 keeps the structure and fixes those gaps.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Issue in v1</w:t>
            </w:r>
          </w:p>
        </w:tc>
        <w:tc>
          <w:tcPr/>
          <w:p>
            <w:pPr>
              <w:pStyle w:val="Compact"/>
              <w:jc w:val="left"/>
            </w:pPr>
            <w:r>
              <w:t xml:space="preserve">What v2 does</w:t>
            </w:r>
          </w:p>
        </w:tc>
      </w:tr>
      <w:tr>
        <w:tc>
          <w:tcPr/>
          <w:p>
            <w:pPr>
              <w:pStyle w:val="Compact"/>
              <w:jc w:val="left"/>
            </w:pPr>
            <w:r>
              <w:t xml:space="preserve">Accuracy</w:t>
            </w:r>
          </w:p>
        </w:tc>
        <w:tc>
          <w:tcPr/>
          <w:p>
            <w:pPr>
              <w:pStyle w:val="Compact"/>
              <w:jc w:val="left"/>
            </w:pPr>
            <w:r>
              <w:t xml:space="preserve">All NPV, payback and capacity math verified correct; regulatory dates hold</w:t>
            </w:r>
          </w:p>
        </w:tc>
        <w:tc>
          <w:tcPr/>
          <w:p>
            <w:pPr>
              <w:pStyle w:val="Compact"/>
              <w:jc w:val="left"/>
            </w:pPr>
            <w:r>
              <w:t xml:space="preserve">Kept as is; removed leftover scheduling text and tracking parameters from links</w:t>
            </w:r>
          </w:p>
        </w:tc>
      </w:tr>
      <w:tr>
        <w:tc>
          <w:tcPr/>
          <w:p>
            <w:pPr>
              <w:pStyle w:val="Compact"/>
              <w:jc w:val="left"/>
            </w:pPr>
            <w:r>
              <w:t xml:space="preserve">Market context</w:t>
            </w:r>
          </w:p>
        </w:tc>
        <w:tc>
          <w:tcPr/>
          <w:p>
            <w:pPr>
              <w:pStyle w:val="Compact"/>
              <w:jc w:val="left"/>
            </w:pPr>
            <w:r>
              <w:t xml:space="preserve">No view of current workplace policy or the Toronto office market</w:t>
            </w:r>
          </w:p>
        </w:tc>
        <w:tc>
          <w:tcPr/>
          <w:p>
            <w:pPr>
              <w:pStyle w:val="Compact"/>
              <w:jc w:val="left"/>
            </w:pPr>
            <w:r>
              <w:t xml:space="preserve">Adds the four-day return-to-office wave at Canadian banks and Q3 2026 Toronto market conditions</w:t>
            </w:r>
          </w:p>
        </w:tc>
      </w:tr>
      <w:tr>
        <w:tc>
          <w:tcPr/>
          <w:p>
            <w:pPr>
              <w:pStyle w:val="Compact"/>
              <w:jc w:val="left"/>
            </w:pPr>
            <w:r>
              <w:t xml:space="preserve">Regulation</w:t>
            </w:r>
          </w:p>
        </w:tc>
        <w:tc>
          <w:tcPr/>
          <w:p>
            <w:pPr>
              <w:pStyle w:val="Compact"/>
              <w:jc w:val="left"/>
            </w:pPr>
            <w:r>
              <w:t xml:space="preserve">Missed climate disclosure and accessibility</w:t>
            </w:r>
          </w:p>
        </w:tc>
        <w:tc>
          <w:tcPr/>
          <w:p>
            <w:pPr>
              <w:pStyle w:val="Compact"/>
              <w:jc w:val="left"/>
            </w:pPr>
            <w:r>
              <w:t xml:space="preserve">Adds OSFI B-15 (buildings drive Scope 1 and 2 emissions) and accessibility obligations</w:t>
            </w:r>
          </w:p>
        </w:tc>
      </w:tr>
      <w:tr>
        <w:tc>
          <w:tcPr/>
          <w:p>
            <w:pPr>
              <w:pStyle w:val="Compact"/>
              <w:jc w:val="left"/>
            </w:pPr>
            <w:r>
              <w:t xml:space="preserve">Real estate fluency</w:t>
            </w:r>
          </w:p>
        </w:tc>
        <w:tc>
          <w:tcPr/>
          <w:p>
            <w:pPr>
              <w:pStyle w:val="Compact"/>
              <w:jc w:val="left"/>
            </w:pPr>
            <w:r>
              <w:t xml:space="preserve">Missing the metrics a transactions lead would use daily</w:t>
            </w:r>
          </w:p>
        </w:tc>
        <w:tc>
          <w:tcPr/>
          <w:p>
            <w:pPr>
              <w:pStyle w:val="Compact"/>
              <w:jc w:val="left"/>
            </w:pPr>
            <w:r>
              <w:t xml:space="preserve">Adds WALT, lease expiry ladder, rent vs market, sublease recovery, net vs gross leases, TI allowances</w:t>
            </w:r>
          </w:p>
        </w:tc>
      </w:tr>
      <w:tr>
        <w:tc>
          <w:tcPr/>
          <w:p>
            <w:pPr>
              <w:pStyle w:val="Compact"/>
              <w:jc w:val="left"/>
            </w:pPr>
            <w:r>
              <w:t xml:space="preserve">Cases</w:t>
            </w:r>
          </w:p>
        </w:tc>
        <w:tc>
          <w:tcPr/>
          <w:p>
            <w:pPr>
              <w:pStyle w:val="Compact"/>
              <w:jc w:val="left"/>
            </w:pPr>
            <w:r>
              <w:t xml:space="preserve">Two cases, neither about a lease negotiation</w:t>
            </w:r>
          </w:p>
        </w:tc>
        <w:tc>
          <w:tcPr/>
          <w:p>
            <w:pPr>
              <w:pStyle w:val="Compact"/>
              <w:jc w:val="left"/>
            </w:pPr>
            <w:r>
              <w:t xml:space="preserve">Adds Case 3: renew vs relocate, a near tie that tests whether you can find the real decision</w:t>
            </w:r>
          </w:p>
        </w:tc>
      </w:tr>
      <w:tr>
        <w:tc>
          <w:tcPr/>
          <w:p>
            <w:pPr>
              <w:pStyle w:val="Compact"/>
              <w:jc w:val="left"/>
            </w:pPr>
            <w:r>
              <w:t xml:space="preserve">Your story</w:t>
            </w:r>
          </w:p>
        </w:tc>
        <w:tc>
          <w:tcPr/>
          <w:p>
            <w:pPr>
              <w:pStyle w:val="Compact"/>
              <w:jc w:val="left"/>
            </w:pPr>
            <w:r>
              <w:t xml:space="preserve">Generic AML placeholders</w:t>
            </w:r>
          </w:p>
        </w:tc>
        <w:tc>
          <w:tcPr/>
          <w:p>
            <w:pPr>
              <w:pStyle w:val="Compact"/>
              <w:jc w:val="left"/>
            </w:pPr>
            <w:r>
              <w:t xml:space="preserve">Maps your actual work (executive KPI dashboards, MBR modernization, QA frameworks, dbt/Databricks) to the role</w:t>
            </w:r>
          </w:p>
        </w:tc>
      </w:tr>
      <w:tr>
        <w:tc>
          <w:tcPr/>
          <w:p>
            <w:pPr>
              <w:pStyle w:val="Compact"/>
              <w:jc w:val="left"/>
            </w:pPr>
            <w:r>
              <w:t xml:space="preserve">Interview drills</w:t>
            </w:r>
          </w:p>
        </w:tc>
        <w:tc>
          <w:tcPr/>
          <w:p>
            <w:pPr>
              <w:pStyle w:val="Compact"/>
              <w:jc w:val="left"/>
            </w:pPr>
            <w:r>
              <w:t xml:space="preserve">22 questions of equal weight, structures only</w:t>
            </w:r>
          </w:p>
        </w:tc>
        <w:tc>
          <w:tcPr/>
          <w:p>
            <w:pPr>
              <w:pStyle w:val="Compact"/>
              <w:jc w:val="left"/>
            </w:pPr>
            <w:r>
              <w:t xml:space="preserve">Ranks the top 8 to rehearse first and adds full model answers for the hardest four</w:t>
            </w:r>
          </w:p>
        </w:tc>
      </w:tr>
      <w:tr>
        <w:tc>
          <w:tcPr/>
          <w:p>
            <w:pPr>
              <w:pStyle w:val="Compact"/>
              <w:jc w:val="left"/>
            </w:pPr>
            <w:r>
              <w:t xml:space="preserve">Internal candidate</w:t>
            </w:r>
          </w:p>
        </w:tc>
        <w:tc>
          <w:tcPr/>
          <w:p>
            <w:pPr>
              <w:pStyle w:val="Compact"/>
              <w:jc w:val="left"/>
            </w:pPr>
            <w:r>
              <w:t xml:space="preserve">Not addressed</w:t>
            </w:r>
          </w:p>
        </w:tc>
        <w:tc>
          <w:tcPr/>
          <w:p>
            <w:pPr>
              <w:pStyle w:val="Compact"/>
              <w:jc w:val="left"/>
            </w:pPr>
            <w:r>
              <w:t xml:space="preserve">Adds an internal-candidate playbook in case this role is at CIBC</w:t>
            </w:r>
          </w:p>
        </w:tc>
      </w:tr>
    </w:tbl>
    <w:p>
      <w:pPr>
        <w:pStyle w:val="BodyText"/>
      </w:pPr>
      <w:r>
        <w:rPr>
          <w:bCs/>
          <w:b/>
        </w:rPr>
        <w:t xml:space="preserve">How to use it:</w:t>
      </w:r>
      <w:r>
        <w:t xml:space="preserve"> </w:t>
      </w:r>
      <w:r>
        <w:t xml:space="preserve">do Modules 2 and 7 first if you have under an hour. Rehearse the four model answers aloud, then replace my placeholder proof points with your real numbers.</w:t>
      </w:r>
    </w:p>
    <w:bookmarkEnd w:id="20"/>
    <w:bookmarkStart w:id="27" w:name="study-plan-and-executive-briefing"/>
    <w:p>
      <w:pPr>
        <w:pStyle w:val="Heading2"/>
      </w:pPr>
      <w:r>
        <w:t xml:space="preserve">Study plan and executive briefing</w:t>
      </w:r>
    </w:p>
    <w:p>
      <w:pPr>
        <w:pStyle w:val="FirstParagraph"/>
      </w:pPr>
      <w:r>
        <w:t xml:space="preserve">Your strongest positioning:</w:t>
      </w:r>
      <w:r>
        <w:t xml:space="preserve"> </w:t>
      </w:r>
      <w:r>
        <w:rPr>
          <w:bCs/>
          <w:b/>
        </w:rPr>
        <w:t xml:space="preserve">“</w:t>
      </w:r>
      <w:r>
        <w:rPr>
          <w:bCs/>
          <w:b/>
        </w:rPr>
        <w:t xml:space="preserve">I build trusted analytics functions that help bank executives make consequential decisions, and I know how to lead that work in a regulated environment.</w:t>
      </w:r>
      <w:r>
        <w:rPr>
          <w:bCs/>
          <w:b/>
        </w:rPr>
        <w:t xml:space="preserve">”</w:t>
      </w:r>
      <w:r>
        <w:t xml:space="preserve"> </w:t>
      </w:r>
      <w:r>
        <w:t xml:space="preserve">The job is to add real estate economics and operating knowledge to that foundation, and show senior-director judgment.</w:t>
      </w:r>
    </w:p>
    <w:tbl>
      <w:tblPr>
        <w:tblStyle w:val="Table"/>
        <w:tblW w:type="pct" w:w="5000"/>
        <w:tblLook w:firstRow="1" w:lastRow="0" w:firstColumn="0" w:lastColumn="0" w:noHBand="0" w:noVBand="0" w:val="0020"/>
        <w:jc w:val="start"/>
      </w:tblPr>
      <w:tblGrid>
        <w:gridCol w:w="1827"/>
        <w:gridCol w:w="2436"/>
        <w:gridCol w:w="1827"/>
        <w:gridCol w:w="1827"/>
      </w:tblGrid>
      <w:tr>
        <w:trPr>
          <w:tblHeader w:val="true"/>
        </w:trPr>
        <w:tc>
          <w:tcPr/>
          <w:p>
            <w:pPr>
              <w:pStyle w:val="Compact"/>
              <w:jc w:val="left"/>
            </w:pPr>
            <w:r>
              <w:t xml:space="preserve">Block</w:t>
            </w:r>
          </w:p>
        </w:tc>
        <w:tc>
          <w:tcPr/>
          <w:p>
            <w:pPr>
              <w:pStyle w:val="Compact"/>
              <w:jc w:val="right"/>
            </w:pPr>
            <w:r>
              <w:t xml:space="preserve">Time</w:t>
            </w:r>
          </w:p>
        </w:tc>
        <w:tc>
          <w:tcPr/>
          <w:p>
            <w:pPr>
              <w:pStyle w:val="Compact"/>
              <w:jc w:val="left"/>
            </w:pPr>
            <w:r>
              <w:t xml:space="preserve">Priority if short on time</w:t>
            </w:r>
          </w:p>
        </w:tc>
        <w:tc>
          <w:tcPr/>
          <w:p>
            <w:pPr>
              <w:pStyle w:val="Compact"/>
              <w:jc w:val="left"/>
            </w:pPr>
            <w:r>
              <w:t xml:space="preserve">Outcome</w:t>
            </w:r>
          </w:p>
        </w:tc>
      </w:tr>
      <w:tr>
        <w:tc>
          <w:tcPr/>
          <w:p>
            <w:pPr>
              <w:pStyle w:val="Compact"/>
              <w:jc w:val="left"/>
            </w:pPr>
            <w:r>
              <w:t xml:space="preserve">Briefing + Module 1 (function, Canadian context)</w:t>
            </w:r>
          </w:p>
        </w:tc>
        <w:tc>
          <w:tcPr/>
          <w:p>
            <w:pPr>
              <w:pStyle w:val="Compact"/>
              <w:jc w:val="right"/>
            </w:pPr>
            <w:r>
              <w:t xml:space="preserve">25 min</w:t>
            </w:r>
          </w:p>
        </w:tc>
        <w:tc>
          <w:tcPr/>
          <w:p>
            <w:pPr>
              <w:pStyle w:val="Compact"/>
              <w:jc w:val="left"/>
            </w:pPr>
            <w:r>
              <w:t xml:space="preserve">Medium</w:t>
            </w:r>
          </w:p>
        </w:tc>
        <w:tc>
          <w:tcPr/>
          <w:p>
            <w:pPr>
              <w:pStyle w:val="Compact"/>
              <w:jc w:val="left"/>
            </w:pPr>
            <w:r>
              <w:t xml:space="preserve">Explain how corporate real estate creates value</w:t>
            </w:r>
          </w:p>
        </w:tc>
      </w:tr>
      <w:tr>
        <w:tc>
          <w:tcPr/>
          <w:p>
            <w:pPr>
              <w:pStyle w:val="Compact"/>
              <w:jc w:val="left"/>
            </w:pPr>
            <w:r>
              <w:t xml:space="preserve">Module 2 (economics, Cases 1 and 3)</w:t>
            </w:r>
          </w:p>
        </w:tc>
        <w:tc>
          <w:tcPr/>
          <w:p>
            <w:pPr>
              <w:pStyle w:val="Compact"/>
              <w:jc w:val="right"/>
            </w:pPr>
            <w:r>
              <w:t xml:space="preserve">40 min</w:t>
            </w:r>
          </w:p>
        </w:tc>
        <w:tc>
          <w:tcPr/>
          <w:p>
            <w:pPr>
              <w:pStyle w:val="Compact"/>
              <w:jc w:val="left"/>
            </w:pPr>
            <w:r>
              <w:rPr>
                <w:bCs/>
                <w:b/>
              </w:rPr>
              <w:t xml:space="preserve">High</w:t>
            </w:r>
          </w:p>
        </w:tc>
        <w:tc>
          <w:tcPr/>
          <w:p>
            <w:pPr>
              <w:pStyle w:val="Compact"/>
              <w:jc w:val="left"/>
            </w:pPr>
            <w:r>
              <w:t xml:space="preserve">Challenge a real estate business case</w:t>
            </w:r>
          </w:p>
        </w:tc>
      </w:tr>
      <w:tr>
        <w:tc>
          <w:tcPr/>
          <w:p>
            <w:pPr>
              <w:pStyle w:val="Compact"/>
              <w:jc w:val="left"/>
            </w:pPr>
            <w:r>
              <w:t xml:space="preserve">Module 3 (analytics function, Case 2)</w:t>
            </w:r>
          </w:p>
        </w:tc>
        <w:tc>
          <w:tcPr/>
          <w:p>
            <w:pPr>
              <w:pStyle w:val="Compact"/>
              <w:jc w:val="right"/>
            </w:pPr>
            <w:r>
              <w:t xml:space="preserve">30 min</w:t>
            </w:r>
          </w:p>
        </w:tc>
        <w:tc>
          <w:tcPr/>
          <w:p>
            <w:pPr>
              <w:pStyle w:val="Compact"/>
              <w:jc w:val="left"/>
            </w:pPr>
            <w:r>
              <w:t xml:space="preserve">High</w:t>
            </w:r>
          </w:p>
        </w:tc>
        <w:tc>
          <w:tcPr/>
          <w:p>
            <w:pPr>
              <w:pStyle w:val="Compact"/>
              <w:jc w:val="left"/>
            </w:pPr>
            <w:r>
              <w:t xml:space="preserve">Describe the function you would build</w:t>
            </w:r>
          </w:p>
        </w:tc>
      </w:tr>
      <w:tr>
        <w:tc>
          <w:tcPr/>
          <w:p>
            <w:pPr>
              <w:pStyle w:val="Compact"/>
              <w:jc w:val="left"/>
            </w:pPr>
            <w:r>
              <w:t xml:space="preserve">Modules 4–5 (your transition, senior-director lens)</w:t>
            </w:r>
          </w:p>
        </w:tc>
        <w:tc>
          <w:tcPr/>
          <w:p>
            <w:pPr>
              <w:pStyle w:val="Compact"/>
              <w:jc w:val="right"/>
            </w:pPr>
            <w:r>
              <w:t xml:space="preserve">20 min</w:t>
            </w:r>
          </w:p>
        </w:tc>
        <w:tc>
          <w:tcPr/>
          <w:p>
            <w:pPr>
              <w:pStyle w:val="Compact"/>
              <w:jc w:val="left"/>
            </w:pPr>
            <w:r>
              <w:t xml:space="preserve">Medium</w:t>
            </w:r>
          </w:p>
        </w:tc>
        <w:tc>
          <w:tcPr/>
          <w:p>
            <w:pPr>
              <w:pStyle w:val="Compact"/>
              <w:jc w:val="left"/>
            </w:pPr>
            <w:r>
              <w:t xml:space="preserve">Explain why you are ready</w:t>
            </w:r>
          </w:p>
        </w:tc>
      </w:tr>
      <w:tr>
        <w:tc>
          <w:tcPr/>
          <w:p>
            <w:pPr>
              <w:pStyle w:val="Compact"/>
              <w:jc w:val="left"/>
            </w:pPr>
            <w:r>
              <w:t xml:space="preserve">Module 6 (first 90 days, leadership case)</w:t>
            </w:r>
          </w:p>
        </w:tc>
        <w:tc>
          <w:tcPr/>
          <w:p>
            <w:pPr>
              <w:pStyle w:val="Compact"/>
              <w:jc w:val="right"/>
            </w:pPr>
            <w:r>
              <w:t xml:space="preserve">20 min</w:t>
            </w:r>
          </w:p>
        </w:tc>
        <w:tc>
          <w:tcPr/>
          <w:p>
            <w:pPr>
              <w:pStyle w:val="Compact"/>
              <w:jc w:val="left"/>
            </w:pPr>
            <w:r>
              <w:t xml:space="preserve">Medium</w:t>
            </w:r>
          </w:p>
        </w:tc>
        <w:tc>
          <w:tcPr/>
          <w:p>
            <w:pPr>
              <w:pStyle w:val="Compact"/>
              <w:jc w:val="left"/>
            </w:pPr>
            <w:r>
              <w:t xml:space="preserve">Show how you would take charge</w:t>
            </w:r>
          </w:p>
        </w:tc>
      </w:tr>
      <w:tr>
        <w:tc>
          <w:tcPr/>
          <w:p>
            <w:pPr>
              <w:pStyle w:val="Compact"/>
              <w:jc w:val="left"/>
            </w:pPr>
            <w:r>
              <w:t xml:space="preserve">Module 7 + pitch (drills, model answers)</w:t>
            </w:r>
          </w:p>
        </w:tc>
        <w:tc>
          <w:tcPr/>
          <w:p>
            <w:pPr>
              <w:pStyle w:val="Compact"/>
              <w:jc w:val="right"/>
            </w:pPr>
            <w:r>
              <w:t xml:space="preserve">45 min</w:t>
            </w:r>
          </w:p>
        </w:tc>
        <w:tc>
          <w:tcPr/>
          <w:p>
            <w:pPr>
              <w:pStyle w:val="Compact"/>
              <w:jc w:val="left"/>
            </w:pPr>
            <w:r>
              <w:rPr>
                <w:bCs/>
                <w:b/>
              </w:rPr>
              <w:t xml:space="preserve">High</w:t>
            </w:r>
          </w:p>
        </w:tc>
        <w:tc>
          <w:tcPr/>
          <w:p>
            <w:pPr>
              <w:pStyle w:val="Compact"/>
              <w:jc w:val="left"/>
            </w:pPr>
            <w:r>
              <w:t xml:space="preserve">Answer hard questions out loud</w:t>
            </w:r>
          </w:p>
        </w:tc>
      </w:tr>
      <w:tr>
        <w:tc>
          <w:tcPr/>
          <w:p>
            <w:pPr>
              <w:pStyle w:val="Compact"/>
              <w:jc w:val="left"/>
            </w:pPr>
            <w:r>
              <w:rPr>
                <w:bCs/>
                <w:b/>
              </w:rPr>
              <w:t xml:space="preserve">Total</w:t>
            </w:r>
          </w:p>
        </w:tc>
        <w:tc>
          <w:tcPr/>
          <w:p>
            <w:pPr>
              <w:pStyle w:val="Compact"/>
              <w:jc w:val="right"/>
            </w:pPr>
            <w:r>
              <w:rPr>
                <w:bCs/>
                <w:b/>
              </w:rPr>
              <w:t xml:space="preserve">180 min</w:t>
            </w:r>
          </w:p>
        </w:tc>
        <w:tc>
          <w:tcPr/>
          <w:p>
            <w:pPr>
              <w:pStyle w:val="Compact"/>
            </w:pPr>
          </w:p>
        </w:tc>
        <w:tc>
          <w:tcPr/>
          <w:p>
            <w:pPr>
              <w:pStyle w:val="Compact"/>
            </w:pPr>
          </w:p>
        </w:tc>
      </w:tr>
    </w:tbl>
    <w:bookmarkStart w:id="21" w:name="what-the-function-is-for"/>
    <w:p>
      <w:pPr>
        <w:pStyle w:val="Heading3"/>
      </w:pPr>
      <w:r>
        <w:t xml:space="preserve">What the function is for</w:t>
      </w:r>
    </w:p>
    <w:p>
      <w:pPr>
        <w:pStyle w:val="FirstParagraph"/>
      </w:pPr>
      <w:r>
        <w:t xml:space="preserve">Corporate real estate (CRE) supplies the physical environment the bank runs on: branches, offices, operations centres and, depending on boundaries, critical facilities. It balances five outcomes: business enablement, economic efficiency, reliability, employee and customer experience, and adaptability.</w:t>
      </w:r>
    </w:p>
    <w:p>
      <w:pPr>
        <w:pStyle w:val="BodyText"/>
      </w:pPr>
      <w:r>
        <w:t xml:space="preserve">Analytics helps executives answer six questions:</w:t>
      </w:r>
    </w:p>
    <w:p>
      <w:pPr>
        <w:numPr>
          <w:ilvl w:val="0"/>
          <w:numId w:val="1001"/>
        </w:numPr>
        <w:pStyle w:val="Compact"/>
      </w:pPr>
      <w:r>
        <w:t xml:space="preserve">What space do we need, where, and when?</w:t>
      </w:r>
    </w:p>
    <w:p>
      <w:pPr>
        <w:numPr>
          <w:ilvl w:val="0"/>
          <w:numId w:val="1001"/>
        </w:numPr>
        <w:pStyle w:val="Compact"/>
      </w:pPr>
      <w:r>
        <w:t xml:space="preserve">Which commitments should we renew, renegotiate, exit or change?</w:t>
      </w:r>
    </w:p>
    <w:p>
      <w:pPr>
        <w:numPr>
          <w:ilvl w:val="0"/>
          <w:numId w:val="1001"/>
        </w:numPr>
        <w:pStyle w:val="Compact"/>
      </w:pPr>
      <w:r>
        <w:t xml:space="preserve">Where should scarce capital go?</w:t>
      </w:r>
    </w:p>
    <w:p>
      <w:pPr>
        <w:numPr>
          <w:ilvl w:val="0"/>
          <w:numId w:val="1001"/>
        </w:numPr>
        <w:pStyle w:val="Compact"/>
      </w:pPr>
      <w:r>
        <w:t xml:space="preserve">Are vendors delivering what we bought?</w:t>
      </w:r>
    </w:p>
    <w:p>
      <w:pPr>
        <w:numPr>
          <w:ilvl w:val="0"/>
          <w:numId w:val="1001"/>
        </w:numPr>
        <w:pStyle w:val="Compact"/>
      </w:pPr>
      <w:r>
        <w:t xml:space="preserve">Which apparent savings are actually achievable?</w:t>
      </w:r>
    </w:p>
    <w:p>
      <w:pPr>
        <w:numPr>
          <w:ilvl w:val="0"/>
          <w:numId w:val="1001"/>
        </w:numPr>
        <w:pStyle w:val="Compact"/>
      </w:pPr>
      <w:r>
        <w:t xml:space="preserve">What risks rise if we cut spending?</w:t>
      </w:r>
    </w:p>
    <w:p>
      <w:pPr>
        <w:pStyle w:val="FirstParagraph"/>
      </w:pPr>
      <w:r>
        <w:t xml:space="preserve">A cheap building that keeps interrupting operations is expensive. An underused office may be contractually unavoidable. A quiet branch may carry strategic value its P&amp;L does not show.</w:t>
      </w:r>
    </w:p>
    <w:p>
      <w:pPr>
        <w:pStyle w:val="BodyText"/>
      </w:pPr>
      <w:r>
        <w:rPr>
          <w:bCs/>
          <w:b/>
        </w:rPr>
        <w:t xml:space="preserve">The senior-director lens:</w:t>
      </w:r>
      <w:r>
        <w:t xml:space="preserve"> </w:t>
      </w:r>
      <w:r>
        <w:t xml:space="preserve">connect evidence to an executable decision with an accountable owner, a financial consequence and explicit risk limits.</w:t>
      </w:r>
    </w:p>
    <w:bookmarkEnd w:id="21"/>
    <w:bookmarkStart w:id="26" w:name="why-this-role-matters-right-now-new"/>
    <w:p>
      <w:pPr>
        <w:pStyle w:val="Heading3"/>
      </w:pPr>
      <w:r>
        <w:t xml:space="preserve">Why this role matters right now (new)</w:t>
      </w:r>
    </w:p>
    <w:p>
      <w:pPr>
        <w:pStyle w:val="FirstParagraph"/>
      </w:pPr>
      <w:r>
        <w:t xml:space="preserve">Two forces make CRE analytics unusually consequential in late 2026:</w:t>
      </w:r>
    </w:p>
    <w:p>
      <w:pPr>
        <w:numPr>
          <w:ilvl w:val="0"/>
          <w:numId w:val="1002"/>
        </w:numPr>
        <w:pStyle w:val="Compact"/>
      </w:pPr>
      <w:r>
        <w:rPr>
          <w:bCs/>
          <w:b/>
        </w:rPr>
        <w:t xml:space="preserve">Demand jumped.</w:t>
      </w:r>
      <w:r>
        <w:t xml:space="preserve"> </w:t>
      </w:r>
      <w:r>
        <w:t xml:space="preserve">In 2025, RBC, BMO, Scotiabank and TD moved most staff to four days in office, several noting it depended on available space (</w:t>
      </w:r>
      <w:hyperlink r:id="rId22">
        <w:r>
          <w:rPr>
            <w:rStyle w:val="Hyperlink"/>
          </w:rPr>
          <w:t xml:space="preserve">CTV / Canadian Press</w:t>
        </w:r>
      </w:hyperlink>
      <w:r>
        <w:t xml:space="preserve">). CIBC and National Bank said in-office days would depend on team and role (</w:t>
      </w:r>
      <w:hyperlink r:id="rId23">
        <w:r>
          <w:rPr>
            <w:rStyle w:val="Hyperlink"/>
          </w:rPr>
          <w:t xml:space="preserve">CP24</w:t>
        </w:r>
      </w:hyperlink>
      <w:r>
        <w:t xml:space="preserve">). Capacity, not surplus, may now be the binding question.</w:t>
      </w:r>
    </w:p>
    <w:p>
      <w:pPr>
        <w:numPr>
          <w:ilvl w:val="0"/>
          <w:numId w:val="1002"/>
        </w:numPr>
        <w:pStyle w:val="Compact"/>
      </w:pPr>
      <w:r>
        <w:rPr>
          <w:bCs/>
          <w:b/>
        </w:rPr>
        <w:t xml:space="preserve">Supply tightened.</w:t>
      </w:r>
      <w:r>
        <w:t xml:space="preserve"> </w:t>
      </w:r>
      <w:r>
        <w:t xml:space="preserve">Downtown Toronto posted another quarter of positive absorption in Q3 2026, with sublease vacancy at its lowest since mid-2020 (</w:t>
      </w:r>
      <w:hyperlink r:id="rId24">
        <w:r>
          <w:rPr>
            <w:rStyle w:val="Hyperlink"/>
          </w:rPr>
          <w:t xml:space="preserve">CBRE</w:t>
        </w:r>
      </w:hyperlink>
      <w:r>
        <w:t xml:space="preserve">). Toronto availability fell 190 bps year over year to 15.1% (</w:t>
      </w:r>
      <w:hyperlink r:id="rId25">
        <w:r>
          <w:rPr>
            <w:rStyle w:val="Hyperlink"/>
          </w:rPr>
          <w:t xml:space="preserve">Altus Group</w:t>
        </w:r>
      </w:hyperlink>
      <w:r>
        <w:t xml:space="preserve">), and top-tier space is scarce.</w:t>
      </w:r>
    </w:p>
    <w:p>
      <w:pPr>
        <w:pStyle w:val="FirstParagraph"/>
      </w:pPr>
      <w:r>
        <w:rPr>
          <w:bCs/>
          <w:b/>
        </w:rPr>
        <w:t xml:space="preserve">Interview implication:</w:t>
      </w:r>
      <w:r>
        <w:t xml:space="preserve"> </w:t>
      </w:r>
      <w:r>
        <w:t xml:space="preserve">the 2021–2024 playbook (shed floors, sublease surplus) has partly reversed. Landlords have more leverage at renewal, subleasing out surplus recovers more, and expanding is costlier. Show you know the cycle turned.</w:t>
      </w:r>
    </w:p>
    <w:bookmarkEnd w:id="26"/>
    <w:bookmarkEnd w:id="27"/>
    <w:bookmarkStart w:id="34" w:name="module-1-understand-the-function"/>
    <w:p>
      <w:pPr>
        <w:pStyle w:val="Heading2"/>
      </w:pPr>
      <w:r>
        <w:t xml:space="preserve">Module 1 — Understand the function</w:t>
      </w:r>
    </w:p>
    <w:p>
      <w:pPr>
        <w:pStyle w:val="FirstParagraph"/>
      </w:pPr>
      <w:r>
        <w:t xml:space="preserve">Reporting lines vary by bank; treat this as a map of responsibilities to discover, not an assumed org chart.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What it does</w:t>
            </w:r>
          </w:p>
        </w:tc>
        <w:tc>
          <w:tcPr/>
          <w:p>
            <w:pPr>
              <w:pStyle w:val="Compact"/>
              <w:jc w:val="left"/>
            </w:pPr>
            <w:r>
              <w:t xml:space="preserve">Decisions analytics should improve</w:t>
            </w:r>
          </w:p>
        </w:tc>
      </w:tr>
      <w:tr>
        <w:tc>
          <w:tcPr/>
          <w:p>
            <w:pPr>
              <w:pStyle w:val="Compact"/>
              <w:jc w:val="left"/>
            </w:pPr>
            <w:r>
              <w:t xml:space="preserve">Portfolio strategy</w:t>
            </w:r>
          </w:p>
        </w:tc>
        <w:tc>
          <w:tcPr/>
          <w:p>
            <w:pPr>
              <w:pStyle w:val="Compact"/>
              <w:jc w:val="left"/>
            </w:pPr>
            <w:r>
              <w:t xml:space="preserve">Aligns footprint with business demand</w:t>
            </w:r>
          </w:p>
        </w:tc>
        <w:tc>
          <w:tcPr/>
          <w:p>
            <w:pPr>
              <w:pStyle w:val="Compact"/>
              <w:jc w:val="left"/>
            </w:pPr>
            <w:r>
              <w:t xml:space="preserve">Where to grow, consolidate or keep flexibility</w:t>
            </w:r>
          </w:p>
        </w:tc>
      </w:tr>
      <w:tr>
        <w:tc>
          <w:tcPr/>
          <w:p>
            <w:pPr>
              <w:pStyle w:val="Compact"/>
              <w:jc w:val="left"/>
            </w:pPr>
            <w:r>
              <w:t xml:space="preserve">Workplace strategy</w:t>
            </w:r>
          </w:p>
        </w:tc>
        <w:tc>
          <w:tcPr/>
          <w:p>
            <w:pPr>
              <w:pStyle w:val="Compact"/>
              <w:jc w:val="left"/>
            </w:pPr>
            <w:r>
              <w:t xml:space="preserve">Designs how employees use space</w:t>
            </w:r>
          </w:p>
        </w:tc>
        <w:tc>
          <w:tcPr/>
          <w:p>
            <w:pPr>
              <w:pStyle w:val="Compact"/>
              <w:jc w:val="left"/>
            </w:pPr>
            <w:r>
              <w:t xml:space="preserve">Seat mix, neighbourhoods, peak-day capacity</w:t>
            </w:r>
          </w:p>
        </w:tc>
      </w:tr>
      <w:tr>
        <w:tc>
          <w:tcPr/>
          <w:p>
            <w:pPr>
              <w:pStyle w:val="Compact"/>
              <w:jc w:val="left"/>
            </w:pPr>
            <w:r>
              <w:t xml:space="preserve">Transactions and leases</w:t>
            </w:r>
          </w:p>
        </w:tc>
        <w:tc>
          <w:tcPr/>
          <w:p>
            <w:pPr>
              <w:pStyle w:val="Compact"/>
              <w:jc w:val="left"/>
            </w:pPr>
            <w:r>
              <w:t xml:space="preserve">Acquires, renews, disposes of space</w:t>
            </w:r>
          </w:p>
        </w:tc>
        <w:tc>
          <w:tcPr/>
          <w:p>
            <w:pPr>
              <w:pStyle w:val="Compact"/>
              <w:jc w:val="left"/>
            </w:pPr>
            <w:r>
              <w:t xml:space="preserve">Renewal timing, alternatives, negotiation leverage</w:t>
            </w:r>
          </w:p>
        </w:tc>
      </w:tr>
      <w:tr>
        <w:tc>
          <w:tcPr/>
          <w:p>
            <w:pPr>
              <w:pStyle w:val="Compact"/>
              <w:jc w:val="left"/>
            </w:pPr>
            <w:r>
              <w:t xml:space="preserve">Facilities management</w:t>
            </w:r>
          </w:p>
        </w:tc>
        <w:tc>
          <w:tcPr/>
          <w:p>
            <w:pPr>
              <w:pStyle w:val="Compact"/>
              <w:jc w:val="left"/>
            </w:pPr>
            <w:r>
              <w:t xml:space="preserve">Maintains buildings and services (often outsourced to an IFM provider)</w:t>
            </w:r>
          </w:p>
        </w:tc>
        <w:tc>
          <w:tcPr/>
          <w:p>
            <w:pPr>
              <w:pStyle w:val="Compact"/>
              <w:jc w:val="left"/>
            </w:pPr>
            <w:r>
              <w:t xml:space="preserve">Maintenance priorities, service levels, replacement timing</w:t>
            </w:r>
          </w:p>
        </w:tc>
      </w:tr>
      <w:tr>
        <w:tc>
          <w:tcPr/>
          <w:p>
            <w:pPr>
              <w:pStyle w:val="Compact"/>
              <w:jc w:val="left"/>
            </w:pPr>
            <w:r>
              <w:t xml:space="preserve">Capital projects</w:t>
            </w:r>
          </w:p>
        </w:tc>
        <w:tc>
          <w:tcPr/>
          <w:p>
            <w:pPr>
              <w:pStyle w:val="Compact"/>
              <w:jc w:val="left"/>
            </w:pPr>
            <w:r>
              <w:t xml:space="preserve">Delivers fit-outs, relocations, retrofits</w:t>
            </w:r>
          </w:p>
        </w:tc>
        <w:tc>
          <w:tcPr/>
          <w:p>
            <w:pPr>
              <w:pStyle w:val="Compact"/>
              <w:jc w:val="left"/>
            </w:pPr>
            <w:r>
              <w:t xml:space="preserve">Funding, scope, cost and schedule interventions</w:t>
            </w:r>
          </w:p>
        </w:tc>
      </w:tr>
      <w:tr>
        <w:tc>
          <w:tcPr/>
          <w:p>
            <w:pPr>
              <w:pStyle w:val="Compact"/>
              <w:jc w:val="left"/>
            </w:pPr>
            <w:r>
              <w:t xml:space="preserve">Finance and lease accounting</w:t>
            </w:r>
          </w:p>
        </w:tc>
        <w:tc>
          <w:tcPr/>
          <w:p>
            <w:pPr>
              <w:pStyle w:val="Compact"/>
              <w:jc w:val="left"/>
            </w:pPr>
            <w:r>
              <w:t xml:space="preserve">Budgets, forecasts, IFRS 16</w:t>
            </w:r>
          </w:p>
        </w:tc>
        <w:tc>
          <w:tcPr/>
          <w:p>
            <w:pPr>
              <w:pStyle w:val="Compact"/>
              <w:jc w:val="left"/>
            </w:pPr>
            <w:r>
              <w:t xml:space="preserve">Cost outlook, accounting treatment, benefits validation</w:t>
            </w:r>
          </w:p>
        </w:tc>
      </w:tr>
      <w:tr>
        <w:tc>
          <w:tcPr/>
          <w:p>
            <w:pPr>
              <w:pStyle w:val="Compact"/>
              <w:jc w:val="left"/>
            </w:pPr>
            <w:r>
              <w:t xml:space="preserve">Vendor management</w:t>
            </w:r>
          </w:p>
        </w:tc>
        <w:tc>
          <w:tcPr/>
          <w:p>
            <w:pPr>
              <w:pStyle w:val="Compact"/>
              <w:jc w:val="left"/>
            </w:pPr>
            <w:r>
              <w:t xml:space="preserve">Governs outsourced services</w:t>
            </w:r>
          </w:p>
        </w:tc>
        <w:tc>
          <w:tcPr/>
          <w:p>
            <w:pPr>
              <w:pStyle w:val="Compact"/>
              <w:jc w:val="left"/>
            </w:pPr>
            <w:r>
              <w:t xml:space="preserve">Performance remediation, sourcing</w:t>
            </w:r>
          </w:p>
        </w:tc>
      </w:tr>
      <w:tr>
        <w:tc>
          <w:tcPr/>
          <w:p>
            <w:pPr>
              <w:pStyle w:val="Compact"/>
              <w:jc w:val="left"/>
            </w:pPr>
            <w:r>
              <w:t xml:space="preserve">Sustainability</w:t>
            </w:r>
          </w:p>
        </w:tc>
        <w:tc>
          <w:tcPr/>
          <w:p>
            <w:pPr>
              <w:pStyle w:val="Compact"/>
              <w:jc w:val="left"/>
            </w:pPr>
            <w:r>
              <w:t xml:space="preserve">Building energy and emissions</w:t>
            </w:r>
          </w:p>
        </w:tc>
        <w:tc>
          <w:tcPr/>
          <w:p>
            <w:pPr>
              <w:pStyle w:val="Compact"/>
              <w:jc w:val="left"/>
            </w:pPr>
            <w:r>
              <w:t xml:space="preserve">Retrofit priorities, emissions reporting</w:t>
            </w:r>
          </w:p>
        </w:tc>
      </w:tr>
      <w:tr>
        <w:tc>
          <w:tcPr/>
          <w:p>
            <w:pPr>
              <w:pStyle w:val="Compact"/>
              <w:jc w:val="left"/>
            </w:pPr>
            <w:r>
              <w:t xml:space="preserve">Security and resilience</w:t>
            </w:r>
          </w:p>
        </w:tc>
        <w:tc>
          <w:tcPr/>
          <w:p>
            <w:pPr>
              <w:pStyle w:val="Compact"/>
              <w:jc w:val="left"/>
            </w:pPr>
            <w:r>
              <w:t xml:space="preserve">Protects people, premises, continuity</w:t>
            </w:r>
          </w:p>
        </w:tc>
        <w:tc>
          <w:tcPr/>
          <w:p>
            <w:pPr>
              <w:pStyle w:val="Compact"/>
              <w:jc w:val="left"/>
            </w:pPr>
            <w:r>
              <w:t xml:space="preserve">Critical-site protection and recovery</w:t>
            </w:r>
          </w:p>
        </w:tc>
      </w:tr>
      <w:tr>
        <w:tc>
          <w:tcPr/>
          <w:p>
            <w:pPr>
              <w:pStyle w:val="Compact"/>
              <w:jc w:val="left"/>
            </w:pPr>
            <w:r>
              <w:t xml:space="preserve">Analytics and BI</w:t>
            </w:r>
          </w:p>
        </w:tc>
        <w:tc>
          <w:tcPr/>
          <w:p>
            <w:pPr>
              <w:pStyle w:val="Compact"/>
              <w:jc w:val="left"/>
            </w:pPr>
            <w:r>
              <w:t xml:space="preserve">Integrates evidence across all of these</w:t>
            </w:r>
          </w:p>
        </w:tc>
        <w:tc>
          <w:tcPr/>
          <w:p>
            <w:pPr>
              <w:pStyle w:val="Compact"/>
              <w:jc w:val="left"/>
            </w:pPr>
            <w:r>
              <w:t xml:space="preserve">Consistent decisions across the portfolio</w:t>
            </w:r>
          </w:p>
        </w:tc>
      </w:tr>
    </w:tbl>
    <w:p>
      <w:pPr>
        <w:pStyle w:val="BodyText"/>
      </w:pPr>
      <w:r>
        <w:rPr>
          <w:bCs/>
          <w:b/>
        </w:rPr>
        <w:t xml:space="preserve">New — the outsourced-provider reality.</w:t>
      </w:r>
      <w:r>
        <w:t xml:space="preserve"> </w:t>
      </w:r>
      <w:r>
        <w:t xml:space="preserve">Big banks commonly outsource facilities and sometimes lease administration and transactions to integrated facilities management (IFM) or brokerage firms. That means much of your data sits in a vendor’s system, under a vendor’s definitions. Ask early: who owns the lease abstract, the work-order data and the space inventory, and what do the contracts say about data access and quality?</w:t>
      </w:r>
    </w:p>
    <w:p>
      <w:pPr>
        <w:pStyle w:val="BodyText"/>
      </w:pPr>
      <w:r>
        <w:rPr>
          <w:bCs/>
          <w:b/>
        </w:rPr>
        <w:t xml:space="preserve">Three portfolio types — never one target for all:</w:t>
      </w:r>
    </w:p>
    <w:p>
      <w:pPr>
        <w:numPr>
          <w:ilvl w:val="0"/>
          <w:numId w:val="1003"/>
        </w:numPr>
        <w:pStyle w:val="Compact"/>
      </w:pPr>
      <w:r>
        <w:rPr>
          <w:bCs/>
          <w:b/>
        </w:rPr>
        <w:t xml:space="preserve">Branches:</w:t>
      </w:r>
      <w:r>
        <w:t xml:space="preserve"> </w:t>
      </w:r>
      <w:r>
        <w:t xml:space="preserve">customer access, market opportunity, network effects.</w:t>
      </w:r>
    </w:p>
    <w:p>
      <w:pPr>
        <w:numPr>
          <w:ilvl w:val="0"/>
          <w:numId w:val="1003"/>
        </w:numPr>
        <w:pStyle w:val="Compact"/>
      </w:pPr>
      <w:r>
        <w:rPr>
          <w:bCs/>
          <w:b/>
        </w:rPr>
        <w:t xml:space="preserve">Offices:</w:t>
      </w:r>
      <w:r>
        <w:t xml:space="preserve"> </w:t>
      </w:r>
      <w:r>
        <w:t xml:space="preserve">workforce location, peak attendance, team needs, talent access.</w:t>
      </w:r>
    </w:p>
    <w:p>
      <w:pPr>
        <w:numPr>
          <w:ilvl w:val="0"/>
          <w:numId w:val="1003"/>
        </w:numPr>
        <w:pStyle w:val="Compact"/>
      </w:pPr>
      <w:r>
        <w:rPr>
          <w:bCs/>
          <w:b/>
        </w:rPr>
        <w:t xml:space="preserve">Critical facilities:</w:t>
      </w:r>
      <w:r>
        <w:t xml:space="preserve"> </w:t>
      </w:r>
      <w:r>
        <w:t xml:space="preserve">operational dependencies and recovery capability dominate; the ownership split with Technology and Operations must be established.</w:t>
      </w:r>
    </w:p>
    <w:bookmarkStart w:id="28" w:name="who-owns-the-decisions"/>
    <w:p>
      <w:pPr>
        <w:pStyle w:val="Heading3"/>
      </w:pPr>
      <w:r>
        <w:t xml:space="preserve">Who owns the decisions?</w:t>
      </w:r>
    </w:p>
    <w:p>
      <w:pPr>
        <w:pStyle w:val="FirstParagraph"/>
      </w:pPr>
      <w:r>
        <w:t xml:space="preserve">Analytics owns the integrity of analysis and recommendations. It does not silently take authority over workplace policy, branch strategy, accounting interpretation or risk acceptance. For any consolidation, name: decision owner, business sponsor, Finance owner, risk/control partners, execution owner and analytics owner.</w:t>
      </w:r>
    </w:p>
    <w:bookmarkEnd w:id="28"/>
    <w:bookmarkStart w:id="33" w:name="canadian-banking-context"/>
    <w:p>
      <w:pPr>
        <w:pStyle w:val="Heading3"/>
      </w:pPr>
      <w:r>
        <w:t xml:space="preserve">Canadian banking context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What it means for CRE analytics</w:t>
            </w:r>
          </w:p>
        </w:tc>
      </w:tr>
      <w:tr>
        <w:tc>
          <w:tcPr/>
          <w:p>
            <w:pPr>
              <w:pStyle w:val="Compact"/>
              <w:jc w:val="left"/>
            </w:pPr>
            <w:hyperlink r:id="rId29">
              <w:r>
                <w:rPr>
                  <w:rStyle w:val="Hyperlink"/>
                </w:rPr>
                <w:t xml:space="preserve">OSFI B-10</w:t>
              </w:r>
            </w:hyperlink>
            <w:r>
              <w:t xml:space="preserve"> </w:t>
            </w:r>
            <w:r>
              <w:t xml:space="preserve">third-party risk</w:t>
            </w:r>
          </w:p>
        </w:tc>
        <w:tc>
          <w:tcPr/>
          <w:p>
            <w:pPr>
              <w:pStyle w:val="Compact"/>
              <w:jc w:val="left"/>
            </w:pPr>
            <w:r>
              <w:t xml:space="preserve">Outsourcing facilities does not outsource accountability. Provide evidence on service outcomes, subcontractor visibility and remediation.</w:t>
            </w:r>
          </w:p>
        </w:tc>
      </w:tr>
      <w:tr>
        <w:tc>
          <w:tcPr/>
          <w:p>
            <w:pPr>
              <w:pStyle w:val="Compact"/>
              <w:jc w:val="left"/>
            </w:pPr>
            <w:hyperlink r:id="rId30">
              <w:r>
                <w:rPr>
                  <w:rStyle w:val="Hyperlink"/>
                </w:rPr>
                <w:t xml:space="preserve">OSFI E-21</w:t>
              </w:r>
            </w:hyperlink>
            <w:r>
              <w:t xml:space="preserve"> </w:t>
            </w:r>
            <w:r>
              <w:t xml:space="preserve">operational resilience</w:t>
            </w:r>
          </w:p>
        </w:tc>
        <w:tc>
          <w:tcPr/>
          <w:p>
            <w:pPr>
              <w:pStyle w:val="Compact"/>
              <w:jc w:val="left"/>
            </w:pPr>
            <w:r>
              <w:t xml:space="preserve">Full adherence expected from September 1, 2026, so this is live now. Map critical operations to sites and test disruption scenarios; building uptime alone proves nothing.</w:t>
            </w:r>
          </w:p>
        </w:tc>
      </w:tr>
      <w:tr>
        <w:tc>
          <w:tcPr/>
          <w:p>
            <w:pPr>
              <w:pStyle w:val="Compact"/>
              <w:jc w:val="left"/>
            </w:pPr>
            <w:hyperlink r:id="rId31">
              <w:r>
                <w:rPr>
                  <w:rStyle w:val="Hyperlink"/>
                </w:rPr>
                <w:t xml:space="preserve">OSFI B-15</w:t>
              </w:r>
            </w:hyperlink>
            <w:r>
              <w:t xml:space="preserve"> </w:t>
            </w:r>
            <w:r>
              <w:t xml:space="preserve">climate risk (</w:t>
            </w:r>
            <w:r>
              <w:rPr>
                <w:bCs/>
                <w:b/>
              </w:rPr>
              <w:t xml:space="preserve">new</w:t>
            </w:r>
            <w:r>
              <w:t xml:space="preserve">)</w:t>
            </w:r>
          </w:p>
        </w:tc>
        <w:tc>
          <w:tcPr/>
          <w:p>
            <w:pPr>
              <w:pStyle w:val="Compact"/>
              <w:jc w:val="left"/>
            </w:pPr>
            <w:r>
              <w:t xml:space="preserve">Banks disclose Scope 1 and 2 emissions, which are largely buildings: fuel and electricity. Scope 3 was pushed to fiscal 2028. CRE energy data therefore feeds public, audited disclosure and needs disclosure-grade controls.</w:t>
            </w:r>
          </w:p>
        </w:tc>
      </w:tr>
      <w:tr>
        <w:tc>
          <w:tcPr/>
          <w:p>
            <w:pPr>
              <w:pStyle w:val="Compact"/>
              <w:jc w:val="left"/>
            </w:pPr>
            <w:hyperlink r:id="rId32">
              <w:r>
                <w:rPr>
                  <w:rStyle w:val="Hyperlink"/>
                </w:rPr>
                <w:t xml:space="preserve">FCAC branch closure rules</w:t>
              </w:r>
            </w:hyperlink>
          </w:p>
        </w:tc>
        <w:tc>
          <w:tcPr/>
          <w:p>
            <w:pPr>
              <w:pStyle w:val="Compact"/>
              <w:jc w:val="left"/>
            </w:pPr>
            <w:r>
              <w:t xml:space="preserve">Generally four months’ notice, six in certain rural cases; confirm with Legal. Closure models need regulatory lead times next to lease dates.</w:t>
            </w:r>
          </w:p>
        </w:tc>
      </w:tr>
      <w:tr>
        <w:tc>
          <w:tcPr/>
          <w:p>
            <w:pPr>
              <w:pStyle w:val="Compact"/>
              <w:jc w:val="left"/>
            </w:pPr>
            <w:r>
              <w:t xml:space="preserve">Accessibility (</w:t>
            </w:r>
            <w:r>
              <w:rPr>
                <w:bCs/>
                <w:b/>
              </w:rPr>
              <w:t xml:space="preserve">new</w:t>
            </w:r>
            <w:r>
              <w:t xml:space="preserve">)</w:t>
            </w:r>
          </w:p>
        </w:tc>
        <w:tc>
          <w:tcPr/>
          <w:p>
            <w:pPr>
              <w:pStyle w:val="Compact"/>
              <w:jc w:val="left"/>
            </w:pPr>
            <w:r>
              <w:t xml:space="preserve">Banks are federally regulated under the Accessible Canada Act; physical access is part of branch and office decisions. Confirm specific obligations with Legal.</w:t>
            </w:r>
          </w:p>
        </w:tc>
      </w:tr>
    </w:tbl>
    <w:p>
      <w:pPr>
        <w:pStyle w:val="BodyText"/>
      </w:pPr>
      <w:r>
        <w:rPr>
          <w:bCs/>
          <w:b/>
        </w:rPr>
        <w:t xml:space="preserve">Exercise — two-minute explanation:</w:t>
      </w:r>
      <w:r>
        <w:t xml:space="preserve"> </w:t>
      </w:r>
      <w:r>
        <w:t xml:space="preserve">explain CRE to your AML team without saying</w:t>
      </w:r>
      <w:r>
        <w:t xml:space="preserve"> </w:t>
      </w:r>
      <w:r>
        <w:t xml:space="preserve">“</w:t>
      </w:r>
      <w:r>
        <w:t xml:space="preserve">buildings and dashboards.</w:t>
      </w:r>
      <w:r>
        <w:t xml:space="preserve">”</w:t>
      </w:r>
      <w:r>
        <w:t xml:space="preserve"> </w:t>
      </w:r>
      <w:r>
        <w:t xml:space="preserve">A strong answer: a function that aligns physical capacity with customer and workforce needs, manages long-term financial commitments and protects continuity; analytics improves choices on location, capacity, spending and risk.</w:t>
      </w:r>
    </w:p>
    <w:bookmarkEnd w:id="33"/>
    <w:bookmarkEnd w:id="34"/>
    <w:bookmarkStart w:id="44" w:name="module-2-learn-the-economics"/>
    <w:p>
      <w:pPr>
        <w:pStyle w:val="Heading2"/>
      </w:pPr>
      <w:r>
        <w:t xml:space="preserve">Module 2 — Learn the economics</w:t>
      </w:r>
    </w:p>
    <w:bookmarkStart w:id="35" w:name="costs-always-ask-which-view"/>
    <w:p>
      <w:pPr>
        <w:pStyle w:val="Heading3"/>
      </w:pPr>
      <w:r>
        <w:t xml:space="preserve">Costs: always ask</w:t>
      </w:r>
      <w:r>
        <w:t xml:space="preserve"> </w:t>
      </w:r>
      <w:r>
        <w:t xml:space="preserve">“</w:t>
      </w:r>
      <w:r>
        <w:t xml:space="preserve">which view?</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View</w:t>
            </w:r>
          </w:p>
        </w:tc>
        <w:tc>
          <w:tcPr/>
          <w:p>
            <w:pPr>
              <w:pStyle w:val="Compact"/>
              <w:jc w:val="left"/>
            </w:pPr>
            <w:r>
              <w:t xml:space="preserve">Includes</w:t>
            </w:r>
          </w:p>
        </w:tc>
        <w:tc>
          <w:tcPr/>
          <w:p>
            <w:pPr>
              <w:pStyle w:val="Compact"/>
              <w:jc w:val="left"/>
            </w:pPr>
            <w:r>
              <w:t xml:space="preserve">Useful for</w:t>
            </w:r>
          </w:p>
        </w:tc>
      </w:tr>
      <w:tr>
        <w:tc>
          <w:tcPr/>
          <w:p>
            <w:pPr>
              <w:pStyle w:val="Compact"/>
              <w:jc w:val="left"/>
            </w:pPr>
            <w:r>
              <w:t xml:space="preserve">Cash</w:t>
            </w:r>
          </w:p>
        </w:tc>
        <w:tc>
          <w:tcPr/>
          <w:p>
            <w:pPr>
              <w:pStyle w:val="Compact"/>
              <w:jc w:val="left"/>
            </w:pPr>
            <w:r>
              <w:t xml:space="preserve">Rent, services, utilities, project and exit payments</w:t>
            </w:r>
          </w:p>
        </w:tc>
        <w:tc>
          <w:tcPr/>
          <w:p>
            <w:pPr>
              <w:pStyle w:val="Compact"/>
              <w:jc w:val="left"/>
            </w:pPr>
            <w:r>
              <w:t xml:space="preserve">Funding and investment decisions</w:t>
            </w:r>
          </w:p>
        </w:tc>
      </w:tr>
      <w:tr>
        <w:tc>
          <w:tcPr/>
          <w:p>
            <w:pPr>
              <w:pStyle w:val="Compact"/>
              <w:jc w:val="left"/>
            </w:pPr>
            <w:r>
              <w:t xml:space="preserve">Accounting expense</w:t>
            </w:r>
          </w:p>
        </w:tc>
        <w:tc>
          <w:tcPr/>
          <w:p>
            <w:pPr>
              <w:pStyle w:val="Compact"/>
              <w:jc w:val="left"/>
            </w:pPr>
            <w:r>
              <w:t xml:space="preserve">Depreciation (incl. right-of-use), interest, operating expense</w:t>
            </w:r>
          </w:p>
        </w:tc>
        <w:tc>
          <w:tcPr/>
          <w:p>
            <w:pPr>
              <w:pStyle w:val="Compact"/>
              <w:jc w:val="left"/>
            </w:pPr>
            <w:r>
              <w:t xml:space="preserve">Reported results and budgets</w:t>
            </w:r>
          </w:p>
        </w:tc>
      </w:tr>
      <w:tr>
        <w:tc>
          <w:tcPr/>
          <w:p>
            <w:pPr>
              <w:pStyle w:val="Compact"/>
              <w:jc w:val="left"/>
            </w:pPr>
            <w:r>
              <w:t xml:space="preserve">Management allocation</w:t>
            </w:r>
          </w:p>
        </w:tc>
        <w:tc>
          <w:tcPr/>
          <w:p>
            <w:pPr>
              <w:pStyle w:val="Compact"/>
              <w:jc w:val="left"/>
            </w:pPr>
            <w:r>
              <w:t xml:space="preserve">Costs charged to businesses by internal rules</w:t>
            </w:r>
          </w:p>
        </w:tc>
        <w:tc>
          <w:tcPr/>
          <w:p>
            <w:pPr>
              <w:pStyle w:val="Compact"/>
              <w:jc w:val="left"/>
            </w:pPr>
            <w:r>
              <w:t xml:space="preserve">Accountability and demand management</w:t>
            </w:r>
          </w:p>
        </w:tc>
      </w:tr>
      <w:tr>
        <w:tc>
          <w:tcPr/>
          <w:p>
            <w:pPr>
              <w:pStyle w:val="Compact"/>
              <w:jc w:val="left"/>
            </w:pPr>
            <w:r>
              <w:t xml:space="preserve">Economic cost</w:t>
            </w:r>
          </w:p>
        </w:tc>
        <w:tc>
          <w:tcPr/>
          <w:p>
            <w:pPr>
              <w:pStyle w:val="Compact"/>
              <w:jc w:val="left"/>
            </w:pPr>
            <w:r>
              <w:t xml:space="preserve">Incremental cash flows, opportunity cost, residual value</w:t>
            </w:r>
          </w:p>
        </w:tc>
        <w:tc>
          <w:tcPr/>
          <w:p>
            <w:pPr>
              <w:pStyle w:val="Compact"/>
              <w:jc w:val="left"/>
            </w:pPr>
            <w:r>
              <w:t xml:space="preserve">Comparing alternatives</w:t>
            </w:r>
          </w:p>
        </w:tc>
      </w:tr>
    </w:tbl>
    <w:p>
      <w:pPr>
        <w:pStyle w:val="BodyText"/>
      </w:pPr>
      <w:r>
        <w:t xml:space="preserve">An allocation change is not an enterprise saving. Vacating space does not stop rent. Always separate avoidable, committed, transferred, one-time, recoverable (sublease) and uncertain costs.</w:t>
      </w:r>
    </w:p>
    <w:bookmarkEnd w:id="35"/>
    <w:bookmarkStart w:id="36" w:name="Xe5d7f59fc3aa7756d8adbf4715fa67dda5b65db"/>
    <w:p>
      <w:pPr>
        <w:pStyle w:val="Heading3"/>
      </w:pPr>
      <w:r>
        <w:t xml:space="preserve">How a Canadian office lease is priced (new)</w:t>
      </w:r>
    </w:p>
    <w:p>
      <w:pPr>
        <w:pStyle w:val="FirstParagraph"/>
      </w:pPr>
      <w:r>
        <w:t xml:space="preserve">Canadian commercial leases are usually quoted</w:t>
      </w:r>
      <w:r>
        <w:t xml:space="preserve"> </w:t>
      </w:r>
      <w:r>
        <w:rPr>
          <w:bCs/>
          <w:b/>
        </w:rPr>
        <w:t xml:space="preserve">net</w:t>
      </w:r>
      <w:r>
        <w:t xml:space="preserve"> </w:t>
      </w:r>
      <w:r>
        <w:t xml:space="preserve">in $ per square foot per year, plus</w:t>
      </w:r>
      <w:r>
        <w:t xml:space="preserve"> </w:t>
      </w:r>
      <w:r>
        <w:rPr>
          <w:bCs/>
          <w:b/>
        </w:rPr>
        <w:t xml:space="preserve">additional rent</w:t>
      </w:r>
      <w:r>
        <w:t xml:space="preserve"> </w:t>
      </w:r>
      <w:r>
        <w:t xml:space="preserve">(operating costs and property tax, sometimes called TMI). Interviewers will use this vocabulary.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Meaning</w:t>
            </w:r>
          </w:p>
        </w:tc>
        <w:tc>
          <w:tcPr/>
          <w:p>
            <w:pPr>
              <w:pStyle w:val="Compact"/>
              <w:jc w:val="left"/>
            </w:pPr>
            <w:r>
              <w:t xml:space="preserve">Why analytics cares</w:t>
            </w:r>
          </w:p>
        </w:tc>
      </w:tr>
      <w:tr>
        <w:tc>
          <w:tcPr/>
          <w:p>
            <w:pPr>
              <w:pStyle w:val="Compact"/>
              <w:jc w:val="left"/>
            </w:pPr>
            <w:r>
              <w:t xml:space="preserve">Net (base) rent</w:t>
            </w:r>
          </w:p>
        </w:tc>
        <w:tc>
          <w:tcPr/>
          <w:p>
            <w:pPr>
              <w:pStyle w:val="Compact"/>
              <w:jc w:val="left"/>
            </w:pPr>
            <w:r>
              <w:t xml:space="preserve">Landlord’s rent, $/sf/yr, often with fixed steps</w:t>
            </w:r>
          </w:p>
        </w:tc>
        <w:tc>
          <w:tcPr/>
          <w:p>
            <w:pPr>
              <w:pStyle w:val="Compact"/>
              <w:jc w:val="left"/>
            </w:pPr>
            <w:r>
              <w:t xml:space="preserve">Contractual, forecastable from the lease</w:t>
            </w:r>
          </w:p>
        </w:tc>
      </w:tr>
      <w:tr>
        <w:tc>
          <w:tcPr/>
          <w:p>
            <w:pPr>
              <w:pStyle w:val="Compact"/>
              <w:jc w:val="left"/>
            </w:pPr>
            <w:r>
              <w:t xml:space="preserve">Additional rent</w:t>
            </w:r>
          </w:p>
        </w:tc>
        <w:tc>
          <w:tcPr/>
          <w:p>
            <w:pPr>
              <w:pStyle w:val="Compact"/>
              <w:jc w:val="left"/>
            </w:pPr>
            <w:r>
              <w:t xml:space="preserve">Pass-through operating costs and taxes</w:t>
            </w:r>
          </w:p>
        </w:tc>
        <w:tc>
          <w:tcPr/>
          <w:p>
            <w:pPr>
              <w:pStyle w:val="Compact"/>
              <w:jc w:val="left"/>
            </w:pPr>
            <w:r>
              <w:t xml:space="preserve">Variable; audit landlord reconciliations</w:t>
            </w:r>
          </w:p>
        </w:tc>
      </w:tr>
      <w:tr>
        <w:tc>
          <w:tcPr/>
          <w:p>
            <w:pPr>
              <w:pStyle w:val="Compact"/>
              <w:jc w:val="left"/>
            </w:pPr>
            <w:r>
              <w:t xml:space="preserve">Gross rent</w:t>
            </w:r>
          </w:p>
        </w:tc>
        <w:tc>
          <w:tcPr/>
          <w:p>
            <w:pPr>
              <w:pStyle w:val="Compact"/>
              <w:jc w:val="left"/>
            </w:pPr>
            <w:r>
              <w:t xml:space="preserve">Net + additional</w:t>
            </w:r>
          </w:p>
        </w:tc>
        <w:tc>
          <w:tcPr/>
          <w:p>
            <w:pPr>
              <w:pStyle w:val="Compact"/>
              <w:jc w:val="left"/>
            </w:pPr>
            <w:r>
              <w:t xml:space="preserve">What you compare across buildings</w:t>
            </w:r>
          </w:p>
        </w:tc>
      </w:tr>
      <w:tr>
        <w:tc>
          <w:tcPr/>
          <w:p>
            <w:pPr>
              <w:pStyle w:val="Compact"/>
              <w:jc w:val="left"/>
            </w:pPr>
            <w:r>
              <w:t xml:space="preserve">TI allowance</w:t>
            </w:r>
          </w:p>
        </w:tc>
        <w:tc>
          <w:tcPr/>
          <w:p>
            <w:pPr>
              <w:pStyle w:val="Compact"/>
              <w:jc w:val="left"/>
            </w:pPr>
            <w:r>
              <w:t xml:space="preserve">Landlord cash toward your fit-out, $/sf</w:t>
            </w:r>
          </w:p>
        </w:tc>
        <w:tc>
          <w:tcPr/>
          <w:p>
            <w:pPr>
              <w:pStyle w:val="Compact"/>
              <w:jc w:val="left"/>
            </w:pPr>
            <w:r>
              <w:t xml:space="preserve">Major negotiating lever; reduces your upfront spend</w:t>
            </w:r>
          </w:p>
        </w:tc>
      </w:tr>
      <w:tr>
        <w:tc>
          <w:tcPr/>
          <w:p>
            <w:pPr>
              <w:pStyle w:val="Compact"/>
              <w:jc w:val="left"/>
            </w:pPr>
            <w:r>
              <w:t xml:space="preserve">Free rent</w:t>
            </w:r>
          </w:p>
        </w:tc>
        <w:tc>
          <w:tcPr/>
          <w:p>
            <w:pPr>
              <w:pStyle w:val="Compact"/>
              <w:jc w:val="left"/>
            </w:pPr>
            <w:r>
              <w:t xml:space="preserve">Months of abated net rent</w:t>
            </w:r>
          </w:p>
        </w:tc>
        <w:tc>
          <w:tcPr/>
          <w:p>
            <w:pPr>
              <w:pStyle w:val="Compact"/>
              <w:jc w:val="left"/>
            </w:pPr>
            <w:r>
              <w:t xml:space="preserve">Lowers effective rent; front-loaded benefit</w:t>
            </w:r>
          </w:p>
        </w:tc>
      </w:tr>
      <w:tr>
        <w:tc>
          <w:tcPr/>
          <w:p>
            <w:pPr>
              <w:pStyle w:val="Compact"/>
              <w:jc w:val="left"/>
            </w:pPr>
            <w:r>
              <w:t xml:space="preserve">Net effective rent</w:t>
            </w:r>
          </w:p>
        </w:tc>
        <w:tc>
          <w:tcPr/>
          <w:p>
            <w:pPr>
              <w:pStyle w:val="Compact"/>
              <w:jc w:val="left"/>
            </w:pPr>
            <w:r>
              <w:t xml:space="preserve">Average rent after inducements</w:t>
            </w:r>
          </w:p>
        </w:tc>
        <w:tc>
          <w:tcPr/>
          <w:p>
            <w:pPr>
              <w:pStyle w:val="Compact"/>
              <w:jc w:val="left"/>
            </w:pPr>
            <w:r>
              <w:t xml:space="preserve">The true like-for-like price</w:t>
            </w:r>
          </w:p>
        </w:tc>
      </w:tr>
      <w:tr>
        <w:tc>
          <w:tcPr/>
          <w:p>
            <w:pPr>
              <w:pStyle w:val="Compact"/>
              <w:jc w:val="left"/>
            </w:pPr>
            <w:r>
              <w:t xml:space="preserve">Rentable vs usable area</w:t>
            </w:r>
          </w:p>
        </w:tc>
        <w:tc>
          <w:tcPr/>
          <w:p>
            <w:pPr>
              <w:pStyle w:val="Compact"/>
              <w:jc w:val="left"/>
            </w:pPr>
            <w:r>
              <w:t xml:space="preserve">Rentable adds a share of common areas</w:t>
            </w:r>
          </w:p>
        </w:tc>
        <w:tc>
          <w:tcPr/>
          <w:p>
            <w:pPr>
              <w:pStyle w:val="Compact"/>
              <w:jc w:val="left"/>
            </w:pPr>
            <w:r>
              <w:t xml:space="preserve">Cost per usable seat can differ sharply from quoted rent</w:t>
            </w:r>
          </w:p>
        </w:tc>
      </w:tr>
      <w:tr>
        <w:tc>
          <w:tcPr/>
          <w:p>
            <w:pPr>
              <w:pStyle w:val="Compact"/>
              <w:jc w:val="left"/>
            </w:pPr>
            <w:r>
              <w:t xml:space="preserve">Option notice date</w:t>
            </w:r>
          </w:p>
        </w:tc>
        <w:tc>
          <w:tcPr/>
          <w:p>
            <w:pPr>
              <w:pStyle w:val="Compact"/>
              <w:jc w:val="left"/>
            </w:pPr>
            <w:r>
              <w:t xml:space="preserve">Deadline to exercise renew/terminate rights</w:t>
            </w:r>
          </w:p>
        </w:tc>
        <w:tc>
          <w:tcPr/>
          <w:p>
            <w:pPr>
              <w:pStyle w:val="Compact"/>
              <w:jc w:val="left"/>
            </w:pPr>
            <w:r>
              <w:t xml:space="preserve">Missing it destroys leverage; often 12–24 months before expiry</w:t>
            </w:r>
          </w:p>
        </w:tc>
      </w:tr>
      <w:tr>
        <w:tc>
          <w:tcPr/>
          <w:p>
            <w:pPr>
              <w:pStyle w:val="Compact"/>
              <w:jc w:val="left"/>
            </w:pPr>
            <w:r>
              <w:t xml:space="preserve">Restoration</w:t>
            </w:r>
          </w:p>
        </w:tc>
        <w:tc>
          <w:tcPr/>
          <w:p>
            <w:pPr>
              <w:pStyle w:val="Compact"/>
              <w:jc w:val="left"/>
            </w:pPr>
            <w:r>
              <w:t xml:space="preserve">Required make-good on exit</w:t>
            </w:r>
          </w:p>
        </w:tc>
        <w:tc>
          <w:tcPr/>
          <w:p>
            <w:pPr>
              <w:pStyle w:val="Compact"/>
              <w:jc w:val="left"/>
            </w:pPr>
            <w:r>
              <w:t xml:space="preserve">Hidden exit cost</w:t>
            </w:r>
          </w:p>
        </w:tc>
      </w:tr>
    </w:tbl>
    <w:bookmarkEnd w:id="36"/>
    <w:bookmarkStart w:id="38" w:name="lease-vs-own-and-ifrs-16"/>
    <w:p>
      <w:pPr>
        <w:pStyle w:val="Heading3"/>
      </w:pPr>
      <w:r>
        <w:t xml:space="preserve">Lease vs own, and IFRS 16</w:t>
      </w:r>
    </w:p>
    <w:p>
      <w:pPr>
        <w:pStyle w:val="FirstParagraph"/>
      </w:pPr>
      <w:r>
        <w:t xml:space="preserve">Leasing preserves flexibility but adds escalation and landlord constraints; owning gives control and residual value but ties up capital. Compare over a consistent horizon with a Finance-approved discount rate. Never say</w:t>
      </w:r>
      <w:r>
        <w:t xml:space="preserve"> </w:t>
      </w:r>
      <w:r>
        <w:t xml:space="preserve">“</w:t>
      </w:r>
      <w:r>
        <w:t xml:space="preserve">lease because it’s off balance sheet</w:t>
      </w:r>
      <w:r>
        <w:t xml:space="preserve">”</w:t>
      </w:r>
      <w:r>
        <w:t xml:space="preserve">:</w:t>
      </w:r>
      <w:r>
        <w:t xml:space="preserve"> </w:t>
      </w:r>
      <w:hyperlink r:id="rId37">
        <w:r>
          <w:rPr>
            <w:rStyle w:val="Hyperlink"/>
          </w:rPr>
          <w:t xml:space="preserve">IFRS 16</w:t>
        </w:r>
      </w:hyperlink>
      <w:r>
        <w:t xml:space="preserve"> </w:t>
      </w:r>
      <w:r>
        <w:t xml:space="preserve">puts most leases on balance sheet as a right-of-use asset and lease liability, and its expense pattern is front-loaded compared with cash.</w:t>
      </w:r>
    </w:p>
    <w:bookmarkEnd w:id="38"/>
    <w:bookmarkStart w:id="39" w:name="X740ed9910d9ee3131835d782038fbd7046cb9eb"/>
    <w:p>
      <w:pPr>
        <w:pStyle w:val="Heading3"/>
      </w:pPr>
      <w:r>
        <w:t xml:space="preserve">Utilization: the denominator changes the conclusion</w:t>
      </w:r>
    </w:p>
    <w:p>
      <w:pPr>
        <w:pStyle w:val="FirstParagraph"/>
      </w:pPr>
      <w:r>
        <w:t xml:space="preserve">An office with 1,000 assigned staff, 700 usable desks, 350 daily unique attendees and a 300-person observed peak gives three different numbers: attendance 35%, unique attendees per desk 50%, peak concurrent occupancy 42.9%.</w:t>
      </w:r>
    </w:p>
    <w:p>
      <w:pPr>
        <w:pStyle w:val="BodyText"/>
      </w:pPr>
      <w:r>
        <w:rPr>
          <w:bCs/>
          <w:b/>
        </w:rPr>
        <w:t xml:space="preserve">New — under a four-day policy the arithmetic changes fast.</w:t>
      </w:r>
      <w:r>
        <w:t xml:space="preserve"> </w:t>
      </w:r>
      <w:r>
        <w:t xml:space="preserve">If those 1,000 staff are expected four days of five, midweek attendance could approach 700–800 before exemptions and absence. The same building that looked half-empty in 2024 could be over capacity on Tuesday. Always model the policy, then the observed compliance, then the peak day.</w:t>
      </w:r>
    </w:p>
    <w:p>
      <w:pPr>
        <w:pStyle w:val="BodyText"/>
      </w:pPr>
      <w:r>
        <w:t xml:space="preserve">Badge data is not desk occupancy; bookings include no-shows; sensors have gaps; weekly averages hide midweek crunches.</w:t>
      </w:r>
    </w:p>
    <w:bookmarkEnd w:id="39"/>
    <w:bookmarkStart w:id="40" w:name="branch-strategy"/>
    <w:p>
      <w:pPr>
        <w:pStyle w:val="Heading3"/>
      </w:pPr>
      <w:r>
        <w:t xml:space="preserve">Branch strategy</w:t>
      </w:r>
    </w:p>
    <w:p>
      <w:pPr>
        <w:pStyle w:val="FirstParagraph"/>
      </w:pPr>
      <w:r>
        <w:t xml:space="preserve">Combine catchment and access, transactions and advice, relationship value, nearby network capacity, digital migration, local growth, property economics and regulatory/community obligations. Low traffic alone does not prove low strategic value, and revenue should not all be credited to the account-opening branch.</w:t>
      </w:r>
    </w:p>
    <w:bookmarkEnd w:id="40"/>
    <w:bookmarkStart w:id="41" w:name="investment-arithmetic"/>
    <w:p>
      <w:pPr>
        <w:pStyle w:val="Heading3"/>
      </w:pPr>
      <w:r>
        <w:t xml:space="preserve">Investment arithmetic</w:t>
      </w:r>
    </w:p>
    <w:p>
      <w:pPr>
        <w:pStyle w:val="FirstParagraph"/>
      </w:pPr>
      <m:oMathPara>
        <m:oMathParaPr>
          <m:jc m:val="center"/>
        </m:oMathParaPr>
        <m:oMath>
          <m:r>
            <m:t>N</m:t>
          </m:r>
          <m:r>
            <m:t>P</m:t>
          </m:r>
          <m:r>
            <m:t>V</m:t>
          </m:r>
          <m:r>
            <m:rPr>
              <m:sty m:val="p"/>
            </m:rPr>
            <m:t>=</m:t>
          </m:r>
          <m:r>
            <m:rPr>
              <m:sty m:val="p"/>
            </m:rPr>
            <m:t>−</m:t>
          </m:r>
          <m:sSub>
            <m:e>
              <m:r>
                <m:t>C</m:t>
              </m:r>
            </m:e>
            <m:sub>
              <m:r>
                <m:t>0</m:t>
              </m:r>
            </m:sub>
          </m:sSub>
          <m:r>
            <m:rPr>
              <m:sty m:val="p"/>
            </m:rPr>
            <m:t>+</m:t>
          </m:r>
          <m:nary>
            <m:naryPr>
              <m:chr m:val="∑"/>
              <m:limLoc m:val="undOvr"/>
              <m:subHide m:val="off"/>
              <m:supHide m:val="off"/>
            </m:naryPr>
            <m:sub>
              <m:r>
                <m:t>t</m:t>
              </m:r>
              <m:r>
                <m:rPr>
                  <m:sty m:val="p"/>
                </m:rPr>
                <m:t>=</m:t>
              </m:r>
              <m:r>
                <m:t>1</m:t>
              </m:r>
            </m:sub>
            <m:sup>
              <m:r>
                <m:t>T</m:t>
              </m:r>
            </m:sup>
            <m:e>
              <m:f>
                <m:fPr>
                  <m:type m:val="bar"/>
                </m:fPr>
                <m:num>
                  <m:sSub>
                    <m:e>
                      <m:r>
                        <m:t>B</m:t>
                      </m:r>
                    </m:e>
                    <m:sub>
                      <m:r>
                        <m:t>t</m:t>
                      </m:r>
                    </m:sub>
                  </m:sSub>
                </m:num>
                <m:den>
                  <m:sSup>
                    <m:e>
                      <m:d>
                        <m:dPr>
                          <m:begChr m:val="("/>
                          <m:endChr m:val=")"/>
                          <m:sepChr m:val=""/>
                          <m:grow/>
                        </m:dPr>
                        <m:e>
                          <m:r>
                            <m:t>1</m:t>
                          </m:r>
                          <m:r>
                            <m:rPr>
                              <m:sty m:val="p"/>
                            </m:rPr>
                            <m:t>+</m:t>
                          </m:r>
                          <m:r>
                            <m:t>r</m:t>
                          </m:r>
                        </m:e>
                      </m:d>
                    </m:e>
                    <m:sup>
                      <m:r>
                        <m:t>t</m:t>
                      </m:r>
                    </m:sup>
                  </m:sSup>
                </m:den>
              </m:f>
            </m:e>
          </m:nary>
        </m:oMath>
      </m:oMathPara>
    </w:p>
    <w:p>
      <w:pPr>
        <w:pStyle w:val="FirstParagraph"/>
      </w:pPr>
      <w:r>
        <w:t xml:space="preserve">B_t is the incremental net cash benefit in year t. Payback is intuitive but ignores time value and benefits after recovery; always pair NPV with sensitivities.</w:t>
      </w:r>
    </w:p>
    <w:bookmarkEnd w:id="41"/>
    <w:bookmarkStart w:id="42" w:name="case-1-consolidate-two-offices-verified"/>
    <w:p>
      <w:pPr>
        <w:pStyle w:val="Heading3"/>
      </w:pPr>
      <w:r>
        <w:t xml:space="preserve">Case 1 — consolidate two offices? (verified)</w:t>
      </w:r>
    </w:p>
    <w:p>
      <w:pPr>
        <w:pStyle w:val="FirstParagraph"/>
      </w:pPr>
      <w:r>
        <w:t xml:space="preserve">Exit Office B at expiry and move staff into Office A. CAD millions, 8% discount rate, five years, savings from end of year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right"/>
            </w:pPr>
            <w:r>
              <w:t xml:space="preserve">Value</w:t>
            </w:r>
          </w:p>
        </w:tc>
      </w:tr>
      <w:tr>
        <w:tc>
          <w:tcPr/>
          <w:p>
            <w:pPr>
              <w:pStyle w:val="Compact"/>
              <w:jc w:val="left"/>
            </w:pPr>
            <w:r>
              <w:t xml:space="preserve">Avoidable cost at B, per year</w:t>
            </w:r>
          </w:p>
        </w:tc>
        <w:tc>
          <w:tcPr/>
          <w:p>
            <w:pPr>
              <w:pStyle w:val="Compact"/>
              <w:jc w:val="right"/>
            </w:pPr>
            <w:r>
              <w:t xml:space="preserve">$2.40m</w:t>
            </w:r>
          </w:p>
        </w:tc>
      </w:tr>
      <w:tr>
        <w:tc>
          <w:tcPr/>
          <w:p>
            <w:pPr>
              <w:pStyle w:val="Compact"/>
              <w:jc w:val="left"/>
            </w:pPr>
            <w:r>
              <w:t xml:space="preserve">Added operating cost at A, per year</w:t>
            </w:r>
          </w:p>
        </w:tc>
        <w:tc>
          <w:tcPr/>
          <w:p>
            <w:pPr>
              <w:pStyle w:val="Compact"/>
              <w:jc w:val="right"/>
            </w:pPr>
            <w:r>
              <w:t xml:space="preserve">$0.45m</w:t>
            </w:r>
          </w:p>
        </w:tc>
      </w:tr>
      <w:tr>
        <w:tc>
          <w:tcPr/>
          <w:p>
            <w:pPr>
              <w:pStyle w:val="Compact"/>
              <w:jc w:val="left"/>
            </w:pPr>
            <w:r>
              <w:t xml:space="preserve">Overflow/flex allowance, per year</w:t>
            </w:r>
          </w:p>
        </w:tc>
        <w:tc>
          <w:tcPr/>
          <w:p>
            <w:pPr>
              <w:pStyle w:val="Compact"/>
              <w:jc w:val="right"/>
            </w:pPr>
            <w:r>
              <w:t xml:space="preserve">$0.15m</w:t>
            </w:r>
          </w:p>
        </w:tc>
      </w:tr>
      <w:tr>
        <w:tc>
          <w:tcPr/>
          <w:p>
            <w:pPr>
              <w:pStyle w:val="Compact"/>
              <w:jc w:val="left"/>
            </w:pPr>
            <w:r>
              <w:t xml:space="preserve">Fit-out, move and exit, now</w:t>
            </w:r>
          </w:p>
        </w:tc>
        <w:tc>
          <w:tcPr/>
          <w:p>
            <w:pPr>
              <w:pStyle w:val="Compact"/>
              <w:jc w:val="right"/>
            </w:pPr>
            <w:r>
              <w:t xml:space="preserve">$5.00m</w:t>
            </w:r>
          </w:p>
        </w:tc>
      </w:tr>
      <w:tr>
        <w:tc>
          <w:tcPr/>
          <w:p>
            <w:pPr>
              <w:pStyle w:val="Compact"/>
              <w:jc w:val="left"/>
            </w:pPr>
            <w:r>
              <w:t xml:space="preserve">A’s usable desks after changes</w:t>
            </w:r>
          </w:p>
        </w:tc>
        <w:tc>
          <w:tcPr/>
          <w:p>
            <w:pPr>
              <w:pStyle w:val="Compact"/>
              <w:jc w:val="right"/>
            </w:pPr>
            <w:r>
              <w:t xml:space="preserve">900</w:t>
            </w:r>
          </w:p>
        </w:tc>
      </w:tr>
      <w:tr>
        <w:tc>
          <w:tcPr/>
          <w:p>
            <w:pPr>
              <w:pStyle w:val="Compact"/>
              <w:jc w:val="left"/>
            </w:pPr>
            <w:r>
              <w:t xml:space="preserve">Combined forecast peak demand</w:t>
            </w:r>
          </w:p>
        </w:tc>
        <w:tc>
          <w:tcPr/>
          <w:p>
            <w:pPr>
              <w:pStyle w:val="Compact"/>
              <w:jc w:val="right"/>
            </w:pPr>
            <w:r>
              <w:t xml:space="preserve">780</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Result</w:t>
            </w:r>
          </w:p>
        </w:tc>
        <w:tc>
          <w:tcPr/>
          <w:p>
            <w:pPr>
              <w:pStyle w:val="Compact"/>
              <w:jc w:val="right"/>
            </w:pPr>
            <w:r>
              <w:t xml:space="preserve">Value</w:t>
            </w:r>
          </w:p>
        </w:tc>
      </w:tr>
      <w:tr>
        <w:tc>
          <w:tcPr/>
          <w:p>
            <w:pPr>
              <w:pStyle w:val="Compact"/>
              <w:jc w:val="left"/>
            </w:pPr>
            <w:r>
              <w:t xml:space="preserve">Annual net saving</w:t>
            </w:r>
          </w:p>
        </w:tc>
        <w:tc>
          <w:tcPr/>
          <w:p>
            <w:pPr>
              <w:pStyle w:val="Compact"/>
              <w:jc w:val="right"/>
            </w:pPr>
            <w:r>
              <w:t xml:space="preserve">$1.80m</w:t>
            </w:r>
          </w:p>
        </w:tc>
      </w:tr>
      <w:tr>
        <w:tc>
          <w:tcPr/>
          <w:p>
            <w:pPr>
              <w:pStyle w:val="Compact"/>
              <w:jc w:val="left"/>
            </w:pPr>
            <w:r>
              <w:t xml:space="preserve">Simple payback</w:t>
            </w:r>
          </w:p>
        </w:tc>
        <w:tc>
          <w:tcPr/>
          <w:p>
            <w:pPr>
              <w:pStyle w:val="Compact"/>
              <w:jc w:val="right"/>
            </w:pPr>
            <w:r>
              <w:t xml:space="preserve">2.78 years</w:t>
            </w:r>
          </w:p>
        </w:tc>
      </w:tr>
      <w:tr>
        <w:tc>
          <w:tcPr/>
          <w:p>
            <w:pPr>
              <w:pStyle w:val="Compact"/>
              <w:jc w:val="left"/>
            </w:pPr>
            <w:r>
              <w:t xml:space="preserve">NPV (annuity factor 3.9927)</w:t>
            </w:r>
          </w:p>
        </w:tc>
        <w:tc>
          <w:tcPr/>
          <w:p>
            <w:pPr>
              <w:pStyle w:val="Compact"/>
              <w:jc w:val="right"/>
            </w:pPr>
            <w:r>
              <w:t xml:space="preserve">$2.19m</w:t>
            </w:r>
          </w:p>
        </w:tc>
      </w:tr>
      <w:tr>
        <w:tc>
          <w:tcPr/>
          <w:p>
            <w:pPr>
              <w:pStyle w:val="Compact"/>
              <w:jc w:val="left"/>
            </w:pPr>
            <w:r>
              <w:t xml:space="preserve">NPV, savings 20% lower</w:t>
            </w:r>
          </w:p>
        </w:tc>
        <w:tc>
          <w:tcPr/>
          <w:p>
            <w:pPr>
              <w:pStyle w:val="Compact"/>
              <w:jc w:val="right"/>
            </w:pPr>
            <w:r>
              <w:t xml:space="preserve">$0.75m</w:t>
            </w:r>
          </w:p>
        </w:tc>
      </w:tr>
      <w:tr>
        <w:tc>
          <w:tcPr/>
          <w:p>
            <w:pPr>
              <w:pStyle w:val="Compact"/>
              <w:jc w:val="left"/>
            </w:pPr>
            <w:r>
              <w:t xml:space="preserve">NPV, savings delayed one year</w:t>
            </w:r>
          </w:p>
        </w:tc>
        <w:tc>
          <w:tcPr/>
          <w:p>
            <w:pPr>
              <w:pStyle w:val="Compact"/>
              <w:jc w:val="right"/>
            </w:pPr>
            <w:r>
              <w:t xml:space="preserve">$1.65m</w:t>
            </w:r>
          </w:p>
        </w:tc>
      </w:tr>
      <w:tr>
        <w:tc>
          <w:tcPr/>
          <w:p>
            <w:pPr>
              <w:pStyle w:val="Compact"/>
              <w:jc w:val="left"/>
            </w:pPr>
            <w:r>
              <w:t xml:space="preserve">Peak occupancy</w:t>
            </w:r>
          </w:p>
        </w:tc>
        <w:tc>
          <w:tcPr/>
          <w:p>
            <w:pPr>
              <w:pStyle w:val="Compact"/>
              <w:jc w:val="right"/>
            </w:pPr>
            <w:r>
              <w:t xml:space="preserve">86.7% (120 spare desks)</w:t>
            </w:r>
          </w:p>
        </w:tc>
      </w:tr>
      <w:tr>
        <w:tc>
          <w:tcPr/>
          <w:p>
            <w:pPr>
              <w:pStyle w:val="Compact"/>
              <w:jc w:val="left"/>
            </w:pPr>
            <w:r>
              <w:t xml:space="preserve">Peak demand +20%</w:t>
            </w:r>
          </w:p>
        </w:tc>
        <w:tc>
          <w:tcPr/>
          <w:p>
            <w:pPr>
              <w:pStyle w:val="Compact"/>
              <w:jc w:val="right"/>
            </w:pPr>
            <w:r>
              <w:t xml:space="preserve">936 desks needed, 36 short</w:t>
            </w:r>
          </w:p>
        </w:tc>
      </w:tr>
    </w:tbl>
    <w:p>
      <w:pPr>
        <w:pStyle w:val="BodyText"/>
      </w:pPr>
      <w:r>
        <w:rPr>
          <w:bCs/>
          <w:b/>
        </w:rPr>
        <w:t xml:space="preserve">Recommendation:</w:t>
      </w:r>
      <w:r>
        <w:t xml:space="preserve"> </w:t>
      </w:r>
      <w:r>
        <w:t xml:space="preserve">proceed to validation; approval depends on confirmed exit rights, validated peak demand, executable overflow, firm cost estimates and continuity sign-off.</w:t>
      </w:r>
      <w:r>
        <w:t xml:space="preserve"> </w:t>
      </w:r>
      <w:r>
        <w:rPr>
          <w:bCs/>
          <w:b/>
        </w:rPr>
        <w:t xml:space="preserve">New stress to raise:</w:t>
      </w:r>
      <w:r>
        <w:t xml:space="preserve"> </w:t>
      </w:r>
      <w:r>
        <w:t xml:space="preserve">under a four-day policy, +20% peak demand is not a tail scenario, it is plausible. That makes the capacity test, not the NPV, the deciding question.</w:t>
      </w:r>
    </w:p>
    <w:bookmarkEnd w:id="42"/>
    <w:bookmarkStart w:id="43" w:name="case-3-renew-or-relocate-new"/>
    <w:p>
      <w:pPr>
        <w:pStyle w:val="Heading3"/>
      </w:pPr>
      <w:r>
        <w:t xml:space="preserve">Case 3 — renew or relocate? (new)</w:t>
      </w:r>
    </w:p>
    <w:p>
      <w:pPr>
        <w:pStyle w:val="FirstParagraph"/>
      </w:pPr>
      <w:r>
        <w:t xml:space="preserve">A 50,000 sf office lease expires in 18 months; the option notice is due in 6. CAD, 10-year term, 8% discount rate, no escalations, for simplicity.</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Input</w:t>
            </w:r>
          </w:p>
        </w:tc>
        <w:tc>
          <w:tcPr/>
          <w:p>
            <w:pPr>
              <w:pStyle w:val="Compact"/>
              <w:jc w:val="right"/>
            </w:pPr>
            <w:r>
              <w:t xml:space="preserve">Renew in place</w:t>
            </w:r>
          </w:p>
        </w:tc>
        <w:tc>
          <w:tcPr/>
          <w:p>
            <w:pPr>
              <w:pStyle w:val="Compact"/>
              <w:jc w:val="right"/>
            </w:pPr>
            <w:r>
              <w:t xml:space="preserve">Relocate</w:t>
            </w:r>
          </w:p>
        </w:tc>
      </w:tr>
      <w:tr>
        <w:tc>
          <w:tcPr/>
          <w:p>
            <w:pPr>
              <w:pStyle w:val="Compact"/>
              <w:jc w:val="left"/>
            </w:pPr>
            <w:r>
              <w:t xml:space="preserve">Area</w:t>
            </w:r>
          </w:p>
        </w:tc>
        <w:tc>
          <w:tcPr/>
          <w:p>
            <w:pPr>
              <w:pStyle w:val="Compact"/>
              <w:jc w:val="right"/>
            </w:pPr>
            <w:r>
              <w:t xml:space="preserve">50,000 sf</w:t>
            </w:r>
          </w:p>
        </w:tc>
        <w:tc>
          <w:tcPr/>
          <w:p>
            <w:pPr>
              <w:pStyle w:val="Compact"/>
              <w:jc w:val="right"/>
            </w:pPr>
            <w:r>
              <w:t xml:space="preserve">40,000 sf (denser plan)</w:t>
            </w:r>
          </w:p>
        </w:tc>
      </w:tr>
      <w:tr>
        <w:tc>
          <w:tcPr/>
          <w:p>
            <w:pPr>
              <w:pStyle w:val="Compact"/>
              <w:jc w:val="left"/>
            </w:pPr>
            <w:r>
              <w:t xml:space="preserve">Net rent + additional rent</w:t>
            </w:r>
          </w:p>
        </w:tc>
        <w:tc>
          <w:tcPr/>
          <w:p>
            <w:pPr>
              <w:pStyle w:val="Compact"/>
              <w:jc w:val="right"/>
            </w:pPr>
            <w:r>
              <w:t xml:space="preserve">$30 + $20 = $50/sf</w:t>
            </w:r>
          </w:p>
        </w:tc>
        <w:tc>
          <w:tcPr/>
          <w:p>
            <w:pPr>
              <w:pStyle w:val="Compact"/>
              <w:jc w:val="right"/>
            </w:pPr>
            <w:r>
              <w:t xml:space="preserve">$32 + $18 = $50/sf</w:t>
            </w:r>
          </w:p>
        </w:tc>
      </w:tr>
      <w:tr>
        <w:tc>
          <w:tcPr/>
          <w:p>
            <w:pPr>
              <w:pStyle w:val="Compact"/>
              <w:jc w:val="left"/>
            </w:pPr>
            <w:r>
              <w:t xml:space="preserve">Annual occupancy cost</w:t>
            </w:r>
          </w:p>
        </w:tc>
        <w:tc>
          <w:tcPr/>
          <w:p>
            <w:pPr>
              <w:pStyle w:val="Compact"/>
              <w:jc w:val="right"/>
            </w:pPr>
            <w:r>
              <w:t xml:space="preserve">$2.50m</w:t>
            </w:r>
          </w:p>
        </w:tc>
        <w:tc>
          <w:tcPr/>
          <w:p>
            <w:pPr>
              <w:pStyle w:val="Compact"/>
              <w:jc w:val="right"/>
            </w:pPr>
            <w:r>
              <w:t xml:space="preserve">$2.00m</w:t>
            </w:r>
          </w:p>
        </w:tc>
      </w:tr>
      <w:tr>
        <w:tc>
          <w:tcPr/>
          <w:p>
            <w:pPr>
              <w:pStyle w:val="Compact"/>
              <w:jc w:val="left"/>
            </w:pPr>
            <w:r>
              <w:t xml:space="preserve">Upfront (net of landlord TI)</w:t>
            </w:r>
          </w:p>
        </w:tc>
        <w:tc>
          <w:tcPr/>
          <w:p>
            <w:pPr>
              <w:pStyle w:val="Compact"/>
              <w:jc w:val="right"/>
            </w:pPr>
            <w:r>
              <w:t xml:space="preserve">$0.5m refresh</w:t>
            </w:r>
          </w:p>
        </w:tc>
        <w:tc>
          <w:tcPr/>
          <w:p>
            <w:pPr>
              <w:pStyle w:val="Compact"/>
              <w:jc w:val="right"/>
            </w:pPr>
            <w:r>
              <w:t xml:space="preserve">$3.2m fit-out net + $1.3m move/restoration = $4.5m</w:t>
            </w:r>
          </w:p>
        </w:tc>
      </w:tr>
      <w:tr>
        <w:tc>
          <w:tcPr/>
          <w:p>
            <w:pPr>
              <w:pStyle w:val="Compact"/>
              <w:jc w:val="left"/>
            </w:pPr>
            <w:r>
              <w:t xml:space="preserve">Inducement</w:t>
            </w:r>
          </w:p>
        </w:tc>
        <w:tc>
          <w:tcPr/>
          <w:p>
            <w:pPr>
              <w:pStyle w:val="Compact"/>
              <w:jc w:val="right"/>
            </w:pPr>
            <w:r>
              <w:t xml:space="preserve">None</w:t>
            </w:r>
          </w:p>
        </w:tc>
        <w:tc>
          <w:tcPr/>
          <w:p>
            <w:pPr>
              <w:pStyle w:val="Compact"/>
              <w:jc w:val="right"/>
            </w:pPr>
            <w:r>
              <w:t xml:space="preserve">6 months free net rent ($0.64m, year 1)</w:t>
            </w:r>
          </w:p>
        </w:tc>
      </w:tr>
    </w:tbl>
    <w:p>
      <w:pPr>
        <w:pStyle w:val="BodyText"/>
      </w:pPr>
      <w:r>
        <w:rPr>
          <w:bCs/>
          <w:b/>
        </w:rPr>
        <w:t xml:space="preserve">Your task:</w:t>
      </w:r>
      <w:r>
        <w:t xml:space="preserve"> </w:t>
      </w:r>
      <w:r>
        <w:t xml:space="preserve">which is cheaper in present value, and what is the real decision?</w:t>
      </w:r>
    </w:p>
    <w:p>
      <w:pPr>
        <w:pStyle w:val="BodyText"/>
      </w:pPr>
      <w:r>
        <w:rPr>
          <w:bCs/>
          <w:b/>
        </w:rPr>
        <w:t xml:space="preserve">Solution</w:t>
      </w:r>
      <w:r>
        <w:t xml:space="preserve"> </w:t>
      </w:r>
      <w:r>
        <w:t xml:space="preserve">(10-year annuity factor 6.7101):</w:t>
      </w:r>
    </w:p>
    <w:p>
      <w:pPr>
        <w:numPr>
          <w:ilvl w:val="0"/>
          <w:numId w:val="1004"/>
        </w:numPr>
        <w:pStyle w:val="Compact"/>
      </w:pPr>
      <w:r>
        <w:t xml:space="preserve">Renew: 0.5 + 2.50 × 6.7101 =</w:t>
      </w:r>
      <w:r>
        <w:t xml:space="preserve"> </w:t>
      </w:r>
      <w:r>
        <w:rPr>
          <w:bCs/>
          <w:b/>
        </w:rPr>
        <w:t xml:space="preserve">$17.28m</w:t>
      </w:r>
    </w:p>
    <w:p>
      <w:pPr>
        <w:numPr>
          <w:ilvl w:val="0"/>
          <w:numId w:val="1004"/>
        </w:numPr>
        <w:pStyle w:val="Compact"/>
      </w:pPr>
      <w:r>
        <w:t xml:space="preserve">Relocate: 4.5 + 2.00 × 6.7101 − 0.64 ÷ 1.08 =</w:t>
      </w:r>
      <w:r>
        <w:t xml:space="preserve"> </w:t>
      </w:r>
      <w:r>
        <w:rPr>
          <w:bCs/>
          <w:b/>
        </w:rPr>
        <w:t xml:space="preserve">$17.33m</w:t>
      </w:r>
    </w:p>
    <w:p>
      <w:pPr>
        <w:pStyle w:val="FirstParagraph"/>
      </w:pPr>
      <w:r>
        <w:t xml:space="preserve">A $0.5m annual saving is almost exactly offset by $4m more upfront: a</w:t>
      </w:r>
      <w:r>
        <w:t xml:space="preserve"> </w:t>
      </w:r>
      <w:r>
        <w:rPr>
          <w:bCs/>
          <w:b/>
        </w:rPr>
        <w:t xml:space="preserve">$0.05m difference, a tie</w:t>
      </w:r>
      <w:r>
        <w:t xml:space="preserve">. Sensitivities decide 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Scenario</w:t>
            </w:r>
          </w:p>
        </w:tc>
        <w:tc>
          <w:tcPr/>
          <w:p>
            <w:pPr>
              <w:pStyle w:val="Compact"/>
              <w:jc w:val="right"/>
            </w:pPr>
            <w:r>
              <w:t xml:space="preserve">Renew PV</w:t>
            </w:r>
          </w:p>
        </w:tc>
        <w:tc>
          <w:tcPr/>
          <w:p>
            <w:pPr>
              <w:pStyle w:val="Compact"/>
              <w:jc w:val="right"/>
            </w:pPr>
            <w:r>
              <w:t xml:space="preserve">Relocate PV</w:t>
            </w:r>
          </w:p>
        </w:tc>
        <w:tc>
          <w:tcPr/>
          <w:p>
            <w:pPr>
              <w:pStyle w:val="Compact"/>
              <w:jc w:val="left"/>
            </w:pPr>
            <w:r>
              <w:t xml:space="preserve">Favours</w:t>
            </w:r>
          </w:p>
        </w:tc>
      </w:tr>
      <w:tr>
        <w:tc>
          <w:tcPr/>
          <w:p>
            <w:pPr>
              <w:pStyle w:val="Compact"/>
              <w:jc w:val="left"/>
            </w:pPr>
            <w:r>
              <w:t xml:space="preserve">Base</w:t>
            </w:r>
          </w:p>
        </w:tc>
        <w:tc>
          <w:tcPr/>
          <w:p>
            <w:pPr>
              <w:pStyle w:val="Compact"/>
              <w:jc w:val="right"/>
            </w:pPr>
            <w:r>
              <w:t xml:space="preserve">$17.28m</w:t>
            </w:r>
          </w:p>
        </w:tc>
        <w:tc>
          <w:tcPr/>
          <w:p>
            <w:pPr>
              <w:pStyle w:val="Compact"/>
              <w:jc w:val="right"/>
            </w:pPr>
            <w:r>
              <w:t xml:space="preserve">$17.33m</w:t>
            </w:r>
          </w:p>
        </w:tc>
        <w:tc>
          <w:tcPr/>
          <w:p>
            <w:pPr>
              <w:pStyle w:val="Compact"/>
              <w:jc w:val="left"/>
            </w:pPr>
            <w:r>
              <w:t xml:space="preserve">Tie</w:t>
            </w:r>
          </w:p>
        </w:tc>
      </w:tr>
      <w:tr>
        <w:tc>
          <w:tcPr/>
          <w:p>
            <w:pPr>
              <w:pStyle w:val="Compact"/>
              <w:jc w:val="left"/>
            </w:pPr>
            <w:r>
              <w:t xml:space="preserve">Renewal net rent negotiated down $2/sf</w:t>
            </w:r>
          </w:p>
        </w:tc>
        <w:tc>
          <w:tcPr/>
          <w:p>
            <w:pPr>
              <w:pStyle w:val="Compact"/>
              <w:jc w:val="right"/>
            </w:pPr>
            <w:r>
              <w:t xml:space="preserve">$16.60m</w:t>
            </w:r>
          </w:p>
        </w:tc>
        <w:tc>
          <w:tcPr/>
          <w:p>
            <w:pPr>
              <w:pStyle w:val="Compact"/>
              <w:jc w:val="right"/>
            </w:pPr>
            <w:r>
              <w:t xml:space="preserve">$17.33m</w:t>
            </w:r>
          </w:p>
        </w:tc>
        <w:tc>
          <w:tcPr/>
          <w:p>
            <w:pPr>
              <w:pStyle w:val="Compact"/>
              <w:jc w:val="left"/>
            </w:pPr>
            <w:r>
              <w:t xml:space="preserve">Renew</w:t>
            </w:r>
          </w:p>
        </w:tc>
      </w:tr>
      <w:tr>
        <w:tc>
          <w:tcPr/>
          <w:p>
            <w:pPr>
              <w:pStyle w:val="Compact"/>
              <w:jc w:val="left"/>
            </w:pPr>
            <w:r>
              <w:t xml:space="preserve">Relocation fit-out overruns 15% ($0.9m)</w:t>
            </w:r>
          </w:p>
        </w:tc>
        <w:tc>
          <w:tcPr/>
          <w:p>
            <w:pPr>
              <w:pStyle w:val="Compact"/>
              <w:jc w:val="right"/>
            </w:pPr>
            <w:r>
              <w:t xml:space="preserve">$17.28m</w:t>
            </w:r>
          </w:p>
        </w:tc>
        <w:tc>
          <w:tcPr/>
          <w:p>
            <w:pPr>
              <w:pStyle w:val="Compact"/>
              <w:jc w:val="right"/>
            </w:pPr>
            <w:r>
              <w:t xml:space="preserve">$18.23m</w:t>
            </w:r>
          </w:p>
        </w:tc>
        <w:tc>
          <w:tcPr/>
          <w:p>
            <w:pPr>
              <w:pStyle w:val="Compact"/>
              <w:jc w:val="left"/>
            </w:pPr>
            <w:r>
              <w:t xml:space="preserve">Renew</w:t>
            </w:r>
          </w:p>
        </w:tc>
      </w:tr>
      <w:tr>
        <w:tc>
          <w:tcPr/>
          <w:p>
            <w:pPr>
              <w:pStyle w:val="Compact"/>
              <w:jc w:val="left"/>
            </w:pPr>
            <w:r>
              <w:t xml:space="preserve">Headcount growth means 45,000 sf needed</w:t>
            </w:r>
          </w:p>
        </w:tc>
        <w:tc>
          <w:tcPr/>
          <w:p>
            <w:pPr>
              <w:pStyle w:val="Compact"/>
              <w:jc w:val="right"/>
            </w:pPr>
            <w:r>
              <w:t xml:space="preserve">$17.28m</w:t>
            </w:r>
          </w:p>
        </w:tc>
        <w:tc>
          <w:tcPr/>
          <w:p>
            <w:pPr>
              <w:pStyle w:val="Compact"/>
              <w:jc w:val="right"/>
            </w:pPr>
            <w:r>
              <w:t xml:space="preserve">$18.93m</w:t>
            </w:r>
          </w:p>
        </w:tc>
        <w:tc>
          <w:tcPr/>
          <w:p>
            <w:pPr>
              <w:pStyle w:val="Compact"/>
              <w:jc w:val="left"/>
            </w:pPr>
            <w:r>
              <w:t xml:space="preserve">Renew</w:t>
            </w:r>
          </w:p>
        </w:tc>
      </w:tr>
    </w:tbl>
    <w:p>
      <w:pPr>
        <w:pStyle w:val="BodyText"/>
      </w:pPr>
      <w:r>
        <w:rPr>
          <w:bCs/>
          <w:b/>
        </w:rPr>
        <w:t xml:space="preserve">Senior-director answer:</w:t>
      </w:r>
      <w:r>
        <w:t xml:space="preserve"> </w:t>
      </w:r>
      <w:r>
        <w:t xml:space="preserve">“</w:t>
      </w:r>
      <w:r>
        <w:t xml:space="preserve">On cost alone this is a tie, so cost should not decide it. The relocation option’s main value is leverage: a credible alternative lets us negotiate the renewal. I would run both tracks before the option notice date, push for rent reduction or TI on renewal, and choose relocation only if it delivers something renewal cannot: a better workplace for a four-day policy, consolidation, or resilience. The 40,000 sf assumption needs to survive our peak-day model first.</w:t>
      </w:r>
      <w:r>
        <w:t xml:space="preserve">”</w:t>
      </w:r>
    </w:p>
    <w:p>
      <w:pPr>
        <w:pStyle w:val="BodyText"/>
      </w:pPr>
      <w:r>
        <w:rPr>
          <w:bCs/>
          <w:b/>
        </w:rPr>
        <w:t xml:space="preserve">What earns credit:</w:t>
      </w:r>
      <w:r>
        <w:t xml:space="preserve"> </w:t>
      </w:r>
      <w:r>
        <w:t xml:space="preserve">spotting the tie, using the alternative as negotiating leverage, respecting the notice date, and stress-testing the denser plan against attendance policy.</w:t>
      </w:r>
    </w:p>
    <w:bookmarkEnd w:id="43"/>
    <w:bookmarkEnd w:id="44"/>
    <w:bookmarkStart w:id="52" w:name="Xd36ea25c351d6138de8147a29ef390d0112016d"/>
    <w:p>
      <w:pPr>
        <w:pStyle w:val="Heading2"/>
      </w:pPr>
      <w:r>
        <w:t xml:space="preserve">Module 3 — Build the analytics function around decisions</w:t>
      </w:r>
    </w:p>
    <w:p>
      <w:pPr>
        <w:pStyle w:val="FirstParagraph"/>
      </w:pPr>
      <w:r>
        <w:t xml:space="preserve">For every proposed dashboard or model ask:</w:t>
      </w:r>
      <w:r>
        <w:t xml:space="preserve"> </w:t>
      </w:r>
      <w:r>
        <w:rPr>
          <w:bCs/>
          <w:b/>
        </w:rPr>
        <w:t xml:space="preserve">who will make what decision, by when, using this, and what changes if the number moves?</w:t>
      </w:r>
      <w:r>
        <w:t xml:space="preserve"> </w:t>
      </w:r>
      <w:r>
        <w:t xml:space="preserve">Prioritize six decision products: lease events and options; occupancy and capacity; financial forecast and cost drivers; capital project intervention; facilities reliability and vendor performance; benefits realization.</w:t>
      </w:r>
    </w:p>
    <w:bookmarkStart w:id="45" w:name="kpi-set"/>
    <w:p>
      <w:pPr>
        <w:pStyle w:val="Heading3"/>
      </w:pPr>
      <w:r>
        <w:t xml:space="preserve">KPI set</w:t>
      </w:r>
    </w:p>
    <w:p>
      <w:pPr>
        <w:pStyle w:val="FirstParagraph"/>
      </w:pPr>
      <w:r>
        <w:t xml:space="preserve">Top outcome: a cost-effective, reliable and adaptable portfolio that serves the business. Rows marked</w:t>
      </w:r>
      <w:r>
        <w:t xml:space="preserve"> </w:t>
      </w:r>
      <w:r>
        <w:rPr>
          <w:bCs/>
          <w:b/>
        </w:rPr>
        <w:t xml:space="preserve">new</w:t>
      </w:r>
      <w:r>
        <w:t xml:space="preserve"> </w:t>
      </w:r>
      <w:r>
        <w:t xml:space="preserve">are the transaction and portfolio metrics a real estate executive expects you to know.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Outcome</w:t>
            </w:r>
          </w:p>
        </w:tc>
        <w:tc>
          <w:tcPr/>
          <w:p>
            <w:pPr>
              <w:pStyle w:val="Compact"/>
              <w:jc w:val="left"/>
            </w:pPr>
            <w:r>
              <w:t xml:space="preserve">Metric</w:t>
            </w:r>
          </w:p>
        </w:tc>
        <w:tc>
          <w:tcPr/>
          <w:p>
            <w:pPr>
              <w:pStyle w:val="Compact"/>
              <w:jc w:val="left"/>
            </w:pPr>
            <w:r>
              <w:t xml:space="preserve">Guardrail</w:t>
            </w:r>
          </w:p>
        </w:tc>
      </w:tr>
      <w:tr>
        <w:tc>
          <w:tcPr/>
          <w:p>
            <w:pPr>
              <w:pStyle w:val="Compact"/>
              <w:jc w:val="left"/>
            </w:pPr>
            <w:r>
              <w:t xml:space="preserve">Cost efficiency</w:t>
            </w:r>
          </w:p>
        </w:tc>
        <w:tc>
          <w:tcPr/>
          <w:p>
            <w:pPr>
              <w:pStyle w:val="Compact"/>
              <w:jc w:val="left"/>
            </w:pPr>
            <w:r>
              <w:t xml:space="preserve">Occupancy cost ÷ rentable area</w:t>
            </w:r>
          </w:p>
        </w:tc>
        <w:tc>
          <w:tcPr/>
          <w:p>
            <w:pPr>
              <w:pStyle w:val="Compact"/>
              <w:jc w:val="left"/>
            </w:pPr>
            <w:r>
              <w:t xml:space="preserve">Same area standard and cost scope everywhere</w:t>
            </w:r>
          </w:p>
        </w:tc>
      </w:tr>
      <w:tr>
        <w:tc>
          <w:tcPr/>
          <w:p>
            <w:pPr>
              <w:pStyle w:val="Compact"/>
              <w:jc w:val="left"/>
            </w:pPr>
            <w:r>
              <w:t xml:space="preserve">Workforce efficiency</w:t>
            </w:r>
          </w:p>
        </w:tc>
        <w:tc>
          <w:tcPr/>
          <w:p>
            <w:pPr>
              <w:pStyle w:val="Compact"/>
              <w:jc w:val="left"/>
            </w:pPr>
            <w:r>
              <w:t xml:space="preserve">Office cost ÷ supported FTE, and cost per seat</w:t>
            </w:r>
          </w:p>
        </w:tc>
        <w:tc>
          <w:tcPr/>
          <w:p>
            <w:pPr>
              <w:pStyle w:val="Compact"/>
              <w:jc w:val="left"/>
            </w:pPr>
            <w:r>
              <w:t xml:space="preserve">Separate offices, branches, critical sites</w:t>
            </w:r>
          </w:p>
        </w:tc>
      </w:tr>
      <w:tr>
        <w:tc>
          <w:tcPr/>
          <w:p>
            <w:pPr>
              <w:pStyle w:val="Compact"/>
              <w:jc w:val="left"/>
            </w:pPr>
            <w:r>
              <w:t xml:space="preserve">Capacity</w:t>
            </w:r>
          </w:p>
        </w:tc>
        <w:tc>
          <w:tcPr/>
          <w:p>
            <w:pPr>
              <w:pStyle w:val="Compact"/>
              <w:jc w:val="left"/>
            </w:pPr>
            <w:r>
              <w:t xml:space="preserve">Peak concurrent occupants ÷ usable seats</w:t>
            </w:r>
          </w:p>
        </w:tc>
        <w:tc>
          <w:tcPr/>
          <w:p>
            <w:pPr>
              <w:pStyle w:val="Compact"/>
              <w:jc w:val="left"/>
            </w:pPr>
            <w:r>
              <w:t xml:space="preserve">State interval, period and capacity definition</w:t>
            </w:r>
          </w:p>
        </w:tc>
      </w:tr>
      <w:tr>
        <w:tc>
          <w:tcPr/>
          <w:p>
            <w:pPr>
              <w:pStyle w:val="Compact"/>
              <w:jc w:val="left"/>
            </w:pPr>
            <w:r>
              <w:t xml:space="preserve">Attendance</w:t>
            </w:r>
          </w:p>
        </w:tc>
        <w:tc>
          <w:tcPr/>
          <w:p>
            <w:pPr>
              <w:pStyle w:val="Compact"/>
              <w:jc w:val="left"/>
            </w:pPr>
            <w:r>
              <w:t xml:space="preserve">Daily unique attendees ÷ assigned population</w:t>
            </w:r>
          </w:p>
        </w:tc>
        <w:tc>
          <w:tcPr/>
          <w:p>
            <w:pPr>
              <w:pStyle w:val="Compact"/>
              <w:jc w:val="left"/>
            </w:pPr>
            <w:r>
              <w:t xml:space="preserve">Compare to policy expectation, not just to last year</w:t>
            </w:r>
          </w:p>
        </w:tc>
      </w:tr>
      <w:tr>
        <w:tc>
          <w:tcPr/>
          <w:p>
            <w:pPr>
              <w:pStyle w:val="Compact"/>
              <w:jc w:val="left"/>
            </w:pPr>
            <w:r>
              <w:rPr>
                <w:bCs/>
                <w:b/>
              </w:rPr>
              <w:t xml:space="preserve">Lease exposure (new)</w:t>
            </w:r>
          </w:p>
        </w:tc>
        <w:tc>
          <w:tcPr/>
          <w:p>
            <w:pPr>
              <w:pStyle w:val="Compact"/>
              <w:jc w:val="left"/>
            </w:pPr>
            <w:r>
              <w:t xml:space="preserve">WALT: weighted average lease term remaining</w:t>
            </w:r>
          </w:p>
        </w:tc>
        <w:tc>
          <w:tcPr/>
          <w:p>
            <w:pPr>
              <w:pStyle w:val="Compact"/>
              <w:jc w:val="left"/>
            </w:pPr>
            <w:r>
              <w:t xml:space="preserve">Short WALT = flexibility and renewal risk at once</w:t>
            </w:r>
          </w:p>
        </w:tc>
      </w:tr>
      <w:tr>
        <w:tc>
          <w:tcPr/>
          <w:p>
            <w:pPr>
              <w:pStyle w:val="Compact"/>
              <w:jc w:val="left"/>
            </w:pPr>
            <w:r>
              <w:rPr>
                <w:bCs/>
                <w:b/>
              </w:rPr>
              <w:t xml:space="preserve">Expiry concentration (new)</w:t>
            </w:r>
          </w:p>
        </w:tc>
        <w:tc>
          <w:tcPr/>
          <w:p>
            <w:pPr>
              <w:pStyle w:val="Compact"/>
              <w:jc w:val="left"/>
            </w:pPr>
            <w:r>
              <w:t xml:space="preserve">% of rentable area expiring per year (expiry ladder)</w:t>
            </w:r>
          </w:p>
        </w:tc>
        <w:tc>
          <w:tcPr/>
          <w:p>
            <w:pPr>
              <w:pStyle w:val="Compact"/>
              <w:jc w:val="left"/>
            </w:pPr>
            <w:r>
              <w:t xml:space="preserve">Clusters remove leverage and strain capital budgets</w:t>
            </w:r>
          </w:p>
        </w:tc>
      </w:tr>
      <w:tr>
        <w:tc>
          <w:tcPr/>
          <w:p>
            <w:pPr>
              <w:pStyle w:val="Compact"/>
              <w:jc w:val="left"/>
            </w:pPr>
            <w:r>
              <w:rPr>
                <w:bCs/>
                <w:b/>
              </w:rPr>
              <w:t xml:space="preserve">Lease readiness</w:t>
            </w:r>
          </w:p>
        </w:tc>
        <w:tc>
          <w:tcPr/>
          <w:p>
            <w:pPr>
              <w:pStyle w:val="Compact"/>
              <w:jc w:val="left"/>
            </w:pPr>
            <w:r>
              <w:t xml:space="preserve">Events with approved strategy ÷ events with notice due in window</w:t>
            </w:r>
          </w:p>
        </w:tc>
        <w:tc>
          <w:tcPr/>
          <w:p>
            <w:pPr>
              <w:pStyle w:val="Compact"/>
              <w:jc w:val="left"/>
            </w:pPr>
            <w:r>
              <w:t xml:space="preserve">Track option-notice dates, not expiry dates</w:t>
            </w:r>
          </w:p>
        </w:tc>
      </w:tr>
      <w:tr>
        <w:tc>
          <w:tcPr/>
          <w:p>
            <w:pPr>
              <w:pStyle w:val="Compact"/>
              <w:jc w:val="left"/>
            </w:pPr>
            <w:r>
              <w:rPr>
                <w:bCs/>
                <w:b/>
              </w:rPr>
              <w:t xml:space="preserve">Market position (new)</w:t>
            </w:r>
          </w:p>
        </w:tc>
        <w:tc>
          <w:tcPr/>
          <w:p>
            <w:pPr>
              <w:pStyle w:val="Compact"/>
              <w:jc w:val="left"/>
            </w:pPr>
            <w:r>
              <w:t xml:space="preserve">Net effective rent vs submarket benchmark</w:t>
            </w:r>
          </w:p>
        </w:tc>
        <w:tc>
          <w:tcPr/>
          <w:p>
            <w:pPr>
              <w:pStyle w:val="Compact"/>
              <w:jc w:val="left"/>
            </w:pPr>
            <w:r>
              <w:t xml:space="preserve">Benchmarks from brokers; compare like class and term</w:t>
            </w:r>
          </w:p>
        </w:tc>
      </w:tr>
      <w:tr>
        <w:tc>
          <w:tcPr/>
          <w:p>
            <w:pPr>
              <w:pStyle w:val="Compact"/>
              <w:jc w:val="left"/>
            </w:pPr>
            <w:r>
              <w:rPr>
                <w:bCs/>
                <w:b/>
              </w:rPr>
              <w:t xml:space="preserve">Surplus recovery (new)</w:t>
            </w:r>
          </w:p>
        </w:tc>
        <w:tc>
          <w:tcPr/>
          <w:p>
            <w:pPr>
              <w:pStyle w:val="Compact"/>
              <w:jc w:val="left"/>
            </w:pPr>
            <w:r>
              <w:t xml:space="preserve">Sublease income ÷ committed cost of surplus space</w:t>
            </w:r>
          </w:p>
        </w:tc>
        <w:tc>
          <w:tcPr/>
          <w:p>
            <w:pPr>
              <w:pStyle w:val="Compact"/>
              <w:jc w:val="left"/>
            </w:pPr>
            <w:r>
              <w:t xml:space="preserve">Report stranded cost separately</w:t>
            </w:r>
          </w:p>
        </w:tc>
      </w:tr>
      <w:tr>
        <w:tc>
          <w:tcPr/>
          <w:p>
            <w:pPr>
              <w:pStyle w:val="Compact"/>
              <w:jc w:val="left"/>
            </w:pPr>
            <w:r>
              <w:t xml:space="preserve">Reliability</w:t>
            </w:r>
          </w:p>
        </w:tc>
        <w:tc>
          <w:tcPr/>
          <w:p>
            <w:pPr>
              <w:pStyle w:val="Compact"/>
              <w:jc w:val="left"/>
            </w:pPr>
            <w:r>
              <w:t xml:space="preserve">Unplanned unavailable service-hours ÷ required hours</w:t>
            </w:r>
          </w:p>
        </w:tc>
        <w:tc>
          <w:tcPr/>
          <w:p>
            <w:pPr>
              <w:pStyle w:val="Compact"/>
              <w:jc w:val="left"/>
            </w:pPr>
            <w:r>
              <w:t xml:space="preserve">Report critical operations separately</w:t>
            </w:r>
          </w:p>
        </w:tc>
      </w:tr>
      <w:tr>
        <w:tc>
          <w:tcPr/>
          <w:p>
            <w:pPr>
              <w:pStyle w:val="Compact"/>
              <w:jc w:val="left"/>
            </w:pPr>
            <w:r>
              <w:t xml:space="preserve">Maintenance</w:t>
            </w:r>
          </w:p>
        </w:tc>
        <w:tc>
          <w:tcPr/>
          <w:p>
            <w:pPr>
              <w:pStyle w:val="Compact"/>
              <w:jc w:val="left"/>
            </w:pPr>
            <w:r>
              <w:t xml:space="preserve">Preventive jobs on time ÷ due</w:t>
            </w:r>
          </w:p>
        </w:tc>
        <w:tc>
          <w:tcPr/>
          <w:p>
            <w:pPr>
              <w:pStyle w:val="Compact"/>
              <w:jc w:val="left"/>
            </w:pPr>
            <w:r>
              <w:t xml:space="preserve">Watch for reset due dates</w:t>
            </w:r>
          </w:p>
        </w:tc>
      </w:tr>
      <w:tr>
        <w:tc>
          <w:tcPr/>
          <w:p>
            <w:pPr>
              <w:pStyle w:val="Compact"/>
              <w:jc w:val="left"/>
            </w:pPr>
            <w:r>
              <w:t xml:space="preserve">Vendor service</w:t>
            </w:r>
          </w:p>
        </w:tc>
        <w:tc>
          <w:tcPr/>
          <w:p>
            <w:pPr>
              <w:pStyle w:val="Compact"/>
              <w:jc w:val="left"/>
            </w:pPr>
            <w:r>
              <w:t xml:space="preserve">SLA-compliant incidents ÷ eligible incidents</w:t>
            </w:r>
          </w:p>
        </w:tc>
        <w:tc>
          <w:tcPr/>
          <w:p>
            <w:pPr>
              <w:pStyle w:val="Compact"/>
              <w:jc w:val="left"/>
            </w:pPr>
            <w:r>
              <w:t xml:space="preserve">Show critical breaches even when the rate is high</w:t>
            </w:r>
          </w:p>
        </w:tc>
      </w:tr>
      <w:tr>
        <w:tc>
          <w:tcPr/>
          <w:p>
            <w:pPr>
              <w:pStyle w:val="Compact"/>
              <w:jc w:val="left"/>
            </w:pPr>
            <w:r>
              <w:t xml:space="preserve">Project delivery</w:t>
            </w:r>
          </w:p>
        </w:tc>
        <w:tc>
          <w:tcPr/>
          <w:p>
            <w:pPr>
              <w:pStyle w:val="Compact"/>
              <w:jc w:val="left"/>
            </w:pPr>
            <w:r>
              <w:t xml:space="preserve">Forecast final cost − approved budget</w:t>
            </w:r>
          </w:p>
        </w:tc>
        <w:tc>
          <w:tcPr/>
          <w:p>
            <w:pPr>
              <w:pStyle w:val="Compact"/>
              <w:jc w:val="left"/>
            </w:pPr>
            <w:r>
              <w:t xml:space="preserve">Keep original baseline and approved changes</w:t>
            </w:r>
          </w:p>
        </w:tc>
      </w:tr>
      <w:tr>
        <w:tc>
          <w:tcPr/>
          <w:p>
            <w:pPr>
              <w:pStyle w:val="Compact"/>
              <w:jc w:val="left"/>
            </w:pPr>
            <w:r>
              <w:t xml:space="preserve">Forecast quality</w:t>
            </w:r>
          </w:p>
        </w:tc>
        <w:tc>
          <w:tcPr/>
          <w:p>
            <w:pPr>
              <w:pStyle w:val="Compact"/>
              <w:jc w:val="left"/>
            </w:pPr>
            <w:r>
              <w:t xml:space="preserve">Σ|forecast − actual| ÷ Σ actual</w:t>
            </w:r>
          </w:p>
        </w:tc>
        <w:tc>
          <w:tcPr/>
          <w:p>
            <w:pPr>
              <w:pStyle w:val="Compact"/>
              <w:jc w:val="left"/>
            </w:pPr>
            <w:r>
              <w:t xml:space="preserve">Separate timing from structural error</w:t>
            </w:r>
          </w:p>
        </w:tc>
      </w:tr>
      <w:tr>
        <w:tc>
          <w:tcPr/>
          <w:p>
            <w:pPr>
              <w:pStyle w:val="Compact"/>
              <w:jc w:val="left"/>
            </w:pPr>
            <w:r>
              <w:t xml:space="preserve">Benefits</w:t>
            </w:r>
          </w:p>
        </w:tc>
        <w:tc>
          <w:tcPr/>
          <w:p>
            <w:pPr>
              <w:pStyle w:val="Compact"/>
              <w:jc w:val="left"/>
            </w:pPr>
            <w:r>
              <w:t xml:space="preserve">Validated realized ÷ approved planned benefit</w:t>
            </w:r>
          </w:p>
        </w:tc>
        <w:tc>
          <w:tcPr/>
          <w:p>
            <w:pPr>
              <w:pStyle w:val="Compact"/>
              <w:jc w:val="left"/>
            </w:pPr>
            <w:r>
              <w:t xml:space="preserve">Same baseline and recognition rules</w:t>
            </w:r>
          </w:p>
        </w:tc>
      </w:tr>
      <w:tr>
        <w:tc>
          <w:tcPr/>
          <w:p>
            <w:pPr>
              <w:pStyle w:val="Compact"/>
              <w:jc w:val="left"/>
            </w:pPr>
            <w:r>
              <w:rPr>
                <w:bCs/>
                <w:b/>
              </w:rPr>
              <w:t xml:space="preserve">Emissions (new)</w:t>
            </w:r>
          </w:p>
        </w:tc>
        <w:tc>
          <w:tcPr/>
          <w:p>
            <w:pPr>
              <w:pStyle w:val="Compact"/>
              <w:jc w:val="left"/>
            </w:pPr>
            <w:r>
              <w:t xml:space="preserve">Scope 1+2 tCO2e and energy per sf, weather-normalized</w:t>
            </w:r>
          </w:p>
        </w:tc>
        <w:tc>
          <w:tcPr/>
          <w:p>
            <w:pPr>
              <w:pStyle w:val="Compact"/>
              <w:jc w:val="left"/>
            </w:pPr>
            <w:r>
              <w:t xml:space="preserve">Disclosure-grade: tie to B-15 controls</w:t>
            </w:r>
          </w:p>
        </w:tc>
      </w:tr>
      <w:tr>
        <w:tc>
          <w:tcPr/>
          <w:p>
            <w:pPr>
              <w:pStyle w:val="Compact"/>
              <w:jc w:val="left"/>
            </w:pPr>
            <w:r>
              <w:t xml:space="preserve">Data trust</w:t>
            </w:r>
          </w:p>
        </w:tc>
        <w:tc>
          <w:tcPr/>
          <w:p>
            <w:pPr>
              <w:pStyle w:val="Compact"/>
              <w:jc w:val="left"/>
            </w:pPr>
            <w:r>
              <w:t xml:space="preserve">Valid critical records ÷ expected</w:t>
            </w:r>
          </w:p>
        </w:tc>
        <w:tc>
          <w:tcPr/>
          <w:p>
            <w:pPr>
              <w:pStyle w:val="Compact"/>
              <w:jc w:val="left"/>
            </w:pPr>
            <w:r>
              <w:t xml:space="preserve">Flag decision-critical defects separately</w:t>
            </w:r>
          </w:p>
        </w:tc>
      </w:tr>
    </w:tbl>
    <w:p>
      <w:pPr>
        <w:pStyle w:val="BodyText"/>
      </w:pPr>
      <w:r>
        <w:t xml:space="preserve">No universal targets: 90% peak occupancy is fine for one floor and dangerous for another.</w:t>
      </w:r>
    </w:p>
    <w:bookmarkEnd w:id="45"/>
    <w:bookmarkStart w:id="46" w:name="data-architecture-in-your-stack"/>
    <w:p>
      <w:pPr>
        <w:pStyle w:val="Heading3"/>
      </w:pPr>
      <w:r>
        <w:t xml:space="preserve">Data architecture, in your stack</w:t>
      </w:r>
    </w:p>
    <w:p>
      <w:pPr>
        <w:pStyle w:val="FirstParagraph"/>
      </w:pPr>
      <w:r>
        <w:t xml:space="preserve">The hard part is not tooling but identity, ownership and history. Your dbt/Databricks experience maps cleanly; say it in those terms if asked.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CRE content</w:t>
            </w:r>
          </w:p>
        </w:tc>
        <w:tc>
          <w:tcPr/>
          <w:p>
            <w:pPr>
              <w:pStyle w:val="Compact"/>
              <w:jc w:val="left"/>
            </w:pPr>
            <w:r>
              <w:t xml:space="preserve">How you would build it</w:t>
            </w:r>
          </w:p>
        </w:tc>
      </w:tr>
      <w:tr>
        <w:tc>
          <w:tcPr/>
          <w:p>
            <w:pPr>
              <w:pStyle w:val="Compact"/>
              <w:jc w:val="left"/>
            </w:pPr>
            <w:r>
              <w:t xml:space="preserve">Sources</w:t>
            </w:r>
          </w:p>
        </w:tc>
        <w:tc>
          <w:tcPr/>
          <w:p>
            <w:pPr>
              <w:pStyle w:val="Compact"/>
              <w:jc w:val="left"/>
            </w:pPr>
            <w:r>
              <w:t xml:space="preserve">Lease admin, property master, GL, HR, badge/booking/sensor, work orders, projects, procurement, utilities</w:t>
            </w:r>
          </w:p>
        </w:tc>
        <w:tc>
          <w:tcPr/>
          <w:p>
            <w:pPr>
              <w:pStyle w:val="Compact"/>
              <w:jc w:val="left"/>
            </w:pPr>
            <w:r>
              <w:t xml:space="preserve">Ingest; many sit with outsourced providers, so negotiate feeds and SLAs</w:t>
            </w:r>
          </w:p>
        </w:tc>
      </w:tr>
      <w:tr>
        <w:tc>
          <w:tcPr/>
          <w:p>
            <w:pPr>
              <w:pStyle w:val="Compact"/>
              <w:jc w:val="left"/>
            </w:pPr>
            <w:r>
              <w:t xml:space="preserve">Conformed dimensions</w:t>
            </w:r>
          </w:p>
        </w:tc>
        <w:tc>
          <w:tcPr/>
          <w:p>
            <w:pPr>
              <w:pStyle w:val="Compact"/>
              <w:jc w:val="left"/>
            </w:pPr>
            <w:r>
              <w:rPr>
                <w:rStyle w:val="VerbatimChar"/>
              </w:rPr>
              <w:t xml:space="preserve">dim_site</w:t>
            </w:r>
            <w:r>
              <w:t xml:space="preserve"> </w:t>
            </w:r>
            <w:r>
              <w:t xml:space="preserve">with effective dating; mappings to lease, cost centre, meter, vendor</w:t>
            </w:r>
          </w:p>
        </w:tc>
        <w:tc>
          <w:tcPr/>
          <w:p>
            <w:pPr>
              <w:pStyle w:val="Compact"/>
              <w:jc w:val="left"/>
            </w:pPr>
            <w:r>
              <w:t xml:space="preserve">dbt snapshots (SCD2) for site use, area and org assignment</w:t>
            </w:r>
          </w:p>
        </w:tc>
      </w:tr>
      <w:tr>
        <w:tc>
          <w:tcPr/>
          <w:p>
            <w:pPr>
              <w:pStyle w:val="Compact"/>
              <w:jc w:val="left"/>
            </w:pPr>
            <w:r>
              <w:t xml:space="preserve">Facts at their own grain</w:t>
            </w:r>
          </w:p>
        </w:tc>
        <w:tc>
          <w:tcPr/>
          <w:p>
            <w:pPr>
              <w:pStyle w:val="Compact"/>
              <w:jc w:val="left"/>
            </w:pPr>
            <w:r>
              <w:t xml:space="preserve">Site-month cost, lease-payment schedule, site-interval occupancy, work order, project-month forecast</w:t>
            </w:r>
          </w:p>
        </w:tc>
        <w:tc>
          <w:tcPr/>
          <w:p>
            <w:pPr>
              <w:pStyle w:val="Compact"/>
              <w:jc w:val="left"/>
            </w:pPr>
            <w:r>
              <w:t xml:space="preserve">Separate fact models; never join across grains without aggregation</w:t>
            </w:r>
          </w:p>
        </w:tc>
      </w:tr>
      <w:tr>
        <w:tc>
          <w:tcPr/>
          <w:p>
            <w:pPr>
              <w:pStyle w:val="Compact"/>
              <w:jc w:val="left"/>
            </w:pPr>
            <w:r>
              <w:t xml:space="preserve">Tests and controls</w:t>
            </w:r>
          </w:p>
        </w:tc>
        <w:tc>
          <w:tcPr/>
          <w:p>
            <w:pPr>
              <w:pStyle w:val="Compact"/>
              <w:jc w:val="left"/>
            </w:pPr>
            <w:r>
              <w:t xml:space="preserve">Lease-to-ledger reconciliation, area totals, critical-field completeness</w:t>
            </w:r>
          </w:p>
        </w:tc>
        <w:tc>
          <w:tcPr/>
          <w:p>
            <w:pPr>
              <w:pStyle w:val="Compact"/>
              <w:jc w:val="left"/>
            </w:pPr>
            <w:r>
              <w:t xml:space="preserve">dbt tests plus the QA-framework discipline you built for regulatory pipelines</w:t>
            </w:r>
          </w:p>
        </w:tc>
      </w:tr>
      <w:tr>
        <w:tc>
          <w:tcPr/>
          <w:p>
            <w:pPr>
              <w:pStyle w:val="Compact"/>
              <w:jc w:val="left"/>
            </w:pPr>
            <w:r>
              <w:t xml:space="preserve">Semantic layer</w:t>
            </w:r>
          </w:p>
        </w:tc>
        <w:tc>
          <w:tcPr/>
          <w:p>
            <w:pPr>
              <w:pStyle w:val="Compact"/>
              <w:jc w:val="left"/>
            </w:pPr>
            <w:r>
              <w:t xml:space="preserve">One definition of</w:t>
            </w:r>
            <w:r>
              <w:t xml:space="preserve"> </w:t>
            </w:r>
            <w:r>
              <w:t xml:space="preserve">“</w:t>
            </w:r>
            <w:r>
              <w:t xml:space="preserve">occupancy</w:t>
            </w:r>
            <w:r>
              <w:t xml:space="preserve">”</w:t>
            </w:r>
            <w:r>
              <w:t xml:space="preserve">,</w:t>
            </w:r>
            <w:r>
              <w:t xml:space="preserve"> </w:t>
            </w:r>
            <w:r>
              <w:t xml:space="preserve">“</w:t>
            </w:r>
            <w:r>
              <w:t xml:space="preserve">cost per seat</w:t>
            </w:r>
            <w:r>
              <w:t xml:space="preserve">”</w:t>
            </w:r>
            <w:r>
              <w:t xml:space="preserve">,</w:t>
            </w:r>
            <w:r>
              <w:t xml:space="preserve"> </w:t>
            </w:r>
            <w:r>
              <w:t xml:space="preserve">“</w:t>
            </w:r>
            <w:r>
              <w:t xml:space="preserve">WALT</w:t>
            </w:r>
            <w:r>
              <w:t xml:space="preserve">”</w:t>
            </w:r>
          </w:p>
        </w:tc>
        <w:tc>
          <w:tcPr/>
          <w:p>
            <w:pPr>
              <w:pStyle w:val="Compact"/>
              <w:jc w:val="left"/>
            </w:pPr>
            <w:r>
              <w:t xml:space="preserve">Governed metrics so every dashboard agrees</w:t>
            </w:r>
          </w:p>
        </w:tc>
      </w:tr>
    </w:tbl>
    <w:p>
      <w:pPr>
        <w:pStyle w:val="BodyText"/>
      </w:pPr>
      <w:r>
        <w:t xml:space="preserve">Employee-location data needs aggregation, restricted access and privacy review. Occupancy planning is not attendance surveillance; say so before you’re asked.</w:t>
      </w:r>
    </w:p>
    <w:bookmarkEnd w:id="46"/>
    <w:bookmarkStart w:id="47" w:name="governance"/>
    <w:p>
      <w:pPr>
        <w:pStyle w:val="Heading3"/>
      </w:pPr>
      <w:r>
        <w:t xml:space="preserve">Governance</w:t>
      </w:r>
    </w:p>
    <w:p>
      <w:pPr>
        <w:pStyle w:val="FirstParagraph"/>
      </w:pPr>
      <w:r>
        <w:t xml:space="preserve">Per critical metric: definition and decision, source and business owner, refresh and latency, reconciliation checks, access controls, change history, known limits and escalation path.</w:t>
      </w:r>
    </w:p>
    <w:bookmarkEnd w:id="47"/>
    <w:bookmarkStart w:id="48" w:name="executive-reporting"/>
    <w:p>
      <w:pPr>
        <w:pStyle w:val="Heading3"/>
      </w:pPr>
      <w:r>
        <w:t xml:space="preserve">Executive reporting</w:t>
      </w:r>
    </w:p>
    <w:p>
      <w:pPr>
        <w:pStyle w:val="FirstParagraph"/>
      </w:pPr>
      <w:r>
        <w:t xml:space="preserve">A monthly page answers: what changed, why, what’s the forecast, which decision is needed, what happens if we defer. Illustrative example:</w:t>
      </w:r>
    </w:p>
    <w:p>
      <w:pPr>
        <w:pStyle w:val="BlockText"/>
      </w:pPr>
      <w:r>
        <w:t xml:space="preserve">“</w:t>
      </w:r>
      <w:r>
        <w:t xml:space="preserve">Forecast is $3m over plan: $1.5m energy, $1m delayed exits, $0.5m emergency maintenance. We recommend accelerating two approved exits and protecting preventive maintenance. Finance has validated $1.2m recoverable; the rest needs a budget decision.</w:t>
      </w:r>
      <w:r>
        <w:t xml:space="preserve">”</w:t>
      </w:r>
    </w:p>
    <w:p>
      <w:pPr>
        <w:pStyle w:val="FirstParagraph"/>
      </w:pPr>
      <w:r>
        <w:rPr>
          <w:bCs/>
          <w:b/>
        </w:rPr>
        <w:t xml:space="preserve">Link to your MBR work:</w:t>
      </w:r>
      <w:r>
        <w:t xml:space="preserve"> </w:t>
      </w:r>
      <w:r>
        <w:t xml:space="preserve">this is the descriptive → diagnostic → predictive → prescriptive progression you are already pitching for your own Monthly Business Review. Use it as proof you’ve already led this shift.</w:t>
      </w:r>
    </w:p>
    <w:bookmarkEnd w:id="48"/>
    <w:bookmarkStart w:id="49" w:name="forecasts-scenarios-and-ai"/>
    <w:p>
      <w:pPr>
        <w:pStyle w:val="Heading3"/>
      </w:pPr>
      <w:r>
        <w:t xml:space="preserve">Forecasts, scenarios and AI</w:t>
      </w:r>
    </w:p>
    <w:p>
      <w:pPr>
        <w:pStyle w:val="FirstParagraph"/>
      </w:pPr>
      <w:r>
        <w:t xml:space="preserve">Drive forecasts from contracts (rent), consumption, weather and tariffs (utilities), service scope and asset condition (facilities), workforce × policy × compliance (capacity), and milestones (projects). Publish base, downside and stress cases.</w:t>
      </w:r>
    </w:p>
    <w:p>
      <w:pPr>
        <w:pStyle w:val="BodyText"/>
      </w:pPr>
      <w:r>
        <w:t xml:space="preserve">Good AI uses: lease-abstract extraction with human verification, work-order categorization, source-grounded report drafting. Avoid: autonomous contract interpretation, unsupervised closure recommendations, opaque employee scoring.</w:t>
      </w:r>
    </w:p>
    <w:bookmarkEnd w:id="49"/>
    <w:bookmarkStart w:id="50" w:name="benefits-realization"/>
    <w:p>
      <w:pPr>
        <w:pStyle w:val="Heading3"/>
      </w:pPr>
      <w:r>
        <w:t xml:space="preserve">Benefits realization</w:t>
      </w:r>
    </w:p>
    <w:p>
      <w:pPr>
        <w:pStyle w:val="FirstParagraph"/>
      </w:pPr>
      <w:r>
        <w:t xml:space="preserve">Separate cash savings, cost avoidance, capacity released and risk reduction. Document baseline, counterfactual, costs, owner, timing and Finance validation. Never double-count one lease exit across two programs.</w:t>
      </w:r>
    </w:p>
    <w:bookmarkEnd w:id="50"/>
    <w:bookmarkStart w:id="51" w:name="Xe522d68f2f9613d4a5fb44ffa6048fac92ff42b"/>
    <w:p>
      <w:pPr>
        <w:pStyle w:val="Heading3"/>
      </w:pPr>
      <w:r>
        <w:t xml:space="preserve">Case 2 — allocate a $700k analytics budget (verified)</w:t>
      </w:r>
    </w:p>
    <w:p>
      <w:pPr>
        <w:pStyle w:val="FirstParagraph"/>
      </w:pPr>
      <w:r>
        <w:t xml:space="preserve">Three-year horizon, 8%, annuity factor 2.5771, probability-adjusted net benefits, CAD thousands.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Initiative</w:t>
            </w:r>
          </w:p>
        </w:tc>
        <w:tc>
          <w:tcPr/>
          <w:p>
            <w:pPr>
              <w:pStyle w:val="Compact"/>
              <w:jc w:val="right"/>
            </w:pPr>
            <w:r>
              <w:t xml:space="preserve">Upfront</w:t>
            </w:r>
          </w:p>
        </w:tc>
        <w:tc>
          <w:tcPr/>
          <w:p>
            <w:pPr>
              <w:pStyle w:val="Compact"/>
              <w:jc w:val="right"/>
            </w:pPr>
            <w:r>
              <w:t xml:space="preserve">Annual net benefit</w:t>
            </w:r>
          </w:p>
        </w:tc>
        <w:tc>
          <w:tcPr/>
          <w:p>
            <w:pPr>
              <w:pStyle w:val="Compact"/>
              <w:jc w:val="right"/>
            </w:pPr>
            <w:r>
              <w:t xml:space="preserve">3-yr NPV</w:t>
            </w:r>
          </w:p>
        </w:tc>
      </w:tr>
      <w:tr>
        <w:tc>
          <w:tcPr/>
          <w:p>
            <w:pPr>
              <w:pStyle w:val="Compact"/>
              <w:jc w:val="left"/>
            </w:pPr>
            <w:r>
              <w:t xml:space="preserve">A: Lease-event controls</w:t>
            </w:r>
          </w:p>
        </w:tc>
        <w:tc>
          <w:tcPr/>
          <w:p>
            <w:pPr>
              <w:pStyle w:val="Compact"/>
              <w:jc w:val="right"/>
            </w:pPr>
            <w:r>
              <w:t xml:space="preserve">$200k</w:t>
            </w:r>
          </w:p>
        </w:tc>
        <w:tc>
          <w:tcPr/>
          <w:p>
            <w:pPr>
              <w:pStyle w:val="Compact"/>
              <w:jc w:val="right"/>
            </w:pPr>
            <w:r>
              <w:t xml:space="preserve">$180k</w:t>
            </w:r>
          </w:p>
        </w:tc>
        <w:tc>
          <w:tcPr/>
          <w:p>
            <w:pPr>
              <w:pStyle w:val="Compact"/>
              <w:jc w:val="right"/>
            </w:pPr>
            <w:r>
              <w:t xml:space="preserve">$264k</w:t>
            </w:r>
          </w:p>
        </w:tc>
      </w:tr>
      <w:tr>
        <w:tc>
          <w:tcPr/>
          <w:p>
            <w:pPr>
              <w:pStyle w:val="Compact"/>
              <w:jc w:val="left"/>
            </w:pPr>
            <w:r>
              <w:t xml:space="preserve">B: Occupancy decision product</w:t>
            </w:r>
          </w:p>
        </w:tc>
        <w:tc>
          <w:tcPr/>
          <w:p>
            <w:pPr>
              <w:pStyle w:val="Compact"/>
              <w:jc w:val="right"/>
            </w:pPr>
            <w:r>
              <w:t xml:space="preserve">$400k</w:t>
            </w:r>
          </w:p>
        </w:tc>
        <w:tc>
          <w:tcPr/>
          <w:p>
            <w:pPr>
              <w:pStyle w:val="Compact"/>
              <w:jc w:val="right"/>
            </w:pPr>
            <w:r>
              <w:t xml:space="preserve">$250k</w:t>
            </w:r>
          </w:p>
        </w:tc>
        <w:tc>
          <w:tcPr/>
          <w:p>
            <w:pPr>
              <w:pStyle w:val="Compact"/>
              <w:jc w:val="right"/>
            </w:pPr>
            <w:r>
              <w:t xml:space="preserve">$244k</w:t>
            </w:r>
          </w:p>
        </w:tc>
      </w:tr>
      <w:tr>
        <w:tc>
          <w:tcPr/>
          <w:p>
            <w:pPr>
              <w:pStyle w:val="Compact"/>
              <w:jc w:val="left"/>
            </w:pPr>
            <w:r>
              <w:t xml:space="preserve">C: Predictive maintenance pilot</w:t>
            </w:r>
          </w:p>
        </w:tc>
        <w:tc>
          <w:tcPr/>
          <w:p>
            <w:pPr>
              <w:pStyle w:val="Compact"/>
              <w:jc w:val="right"/>
            </w:pPr>
            <w:r>
              <w:t xml:space="preserve">$300k</w:t>
            </w:r>
          </w:p>
        </w:tc>
        <w:tc>
          <w:tcPr/>
          <w:p>
            <w:pPr>
              <w:pStyle w:val="Compact"/>
              <w:jc w:val="right"/>
            </w:pPr>
            <w:r>
              <w:t xml:space="preserve">$140k</w:t>
            </w:r>
          </w:p>
        </w:tc>
        <w:tc>
          <w:tcPr/>
          <w:p>
            <w:pPr>
              <w:pStyle w:val="Compact"/>
              <w:jc w:val="right"/>
            </w:pPr>
            <w:r>
              <w:t xml:space="preserve">$61k</w:t>
            </w:r>
          </w:p>
        </w:tc>
      </w:tr>
      <w:tr>
        <w:tc>
          <w:tcPr/>
          <w:p>
            <w:pPr>
              <w:pStyle w:val="Compact"/>
              <w:jc w:val="left"/>
            </w:pPr>
            <w:r>
              <w:t xml:space="preserve">D: Executive visual redesign</w:t>
            </w:r>
          </w:p>
        </w:tc>
        <w:tc>
          <w:tcPr/>
          <w:p>
            <w:pPr>
              <w:pStyle w:val="Compact"/>
              <w:jc w:val="right"/>
            </w:pPr>
            <w:r>
              <w:t xml:space="preserve">$150k</w:t>
            </w:r>
          </w:p>
        </w:tc>
        <w:tc>
          <w:tcPr/>
          <w:p>
            <w:pPr>
              <w:pStyle w:val="Compact"/>
              <w:jc w:val="right"/>
            </w:pPr>
            <w:r>
              <w:t xml:space="preserve">$30k</w:t>
            </w:r>
          </w:p>
        </w:tc>
        <w:tc>
          <w:tcPr/>
          <w:p>
            <w:pPr>
              <w:pStyle w:val="Compact"/>
              <w:jc w:val="right"/>
            </w:pPr>
            <w:r>
              <w:t xml:space="preserve">−$73k</w:t>
            </w:r>
          </w:p>
        </w:tc>
      </w:tr>
    </w:tbl>
    <w:p>
      <w:pPr>
        <w:pStyle w:val="BodyText"/>
      </w:pPr>
      <w:r>
        <w:rPr>
          <w:bCs/>
          <w:b/>
        </w:rPr>
        <w:t xml:space="preserve">Answer:</w:t>
      </w:r>
      <w:r>
        <w:t xml:space="preserve"> </w:t>
      </w:r>
      <w:r>
        <w:t xml:space="preserve">A + B ($600k, NPV ≈ $508k) beats A + C ($325k) and B + C ($305k). Hold the remaining $100k as contingency. Before approval, test shared data dependencies, delivery capacity, benefit overlap and adoption.</w:t>
      </w:r>
    </w:p>
    <w:p>
      <w:pPr>
        <w:pStyle w:val="BodyText"/>
      </w:pPr>
      <w:r>
        <w:rPr>
          <w:bCs/>
          <w:b/>
        </w:rPr>
        <w:t xml:space="preserve">New follow-up the interviewer may add:</w:t>
      </w:r>
      <w:r>
        <w:t xml:space="preserve"> </w:t>
      </w:r>
      <w:r>
        <w:t xml:space="preserve">“</w:t>
      </w:r>
      <w:r>
        <w:t xml:space="preserve">B and A both depend on a clean</w:t>
      </w:r>
      <w:r>
        <w:t xml:space="preserve"> </w:t>
      </w:r>
      <w:r>
        <w:rPr>
          <w:rStyle w:val="VerbatimChar"/>
        </w:rPr>
        <w:t xml:space="preserve">dim_site</w:t>
      </w:r>
      <w:r>
        <w:t xml:space="preserve">. If that foundation costs $150k, does the answer change?</w:t>
      </w:r>
      <w:r>
        <w:t xml:space="preserve">”</w:t>
      </w:r>
      <w:r>
        <w:t xml:space="preserve"> </w:t>
      </w:r>
      <w:r>
        <w:t xml:space="preserve">Yes: A + B + foundation = $750k, over budget. The best answer is to fund the foundation and A ($350k, NPV ≈ $114k after the foundation cost), and phase B into the next cycle once the foundation proves out, or argue for the extra $50k because B’s NPV of $244k easily covers it. Showing you see shared dependencies is the point.</w:t>
      </w:r>
    </w:p>
    <w:bookmarkEnd w:id="51"/>
    <w:bookmarkEnd w:id="52"/>
    <w:bookmarkStart w:id="55" w:name="X614a28a1bd815586ae619b9e9b0e6c40912dd8d"/>
    <w:p>
      <w:pPr>
        <w:pStyle w:val="Heading2"/>
      </w:pPr>
      <w:r>
        <w:t xml:space="preserve">Module 4 — Translate your AML and BI experience honestly</w:t>
      </w:r>
    </w:p>
    <w:p>
      <w:pPr>
        <w:pStyle w:val="FirstParagraph"/>
      </w:pPr>
      <w:r>
        <w:t xml:space="preserve">Your gap is specific, not general: you haven’t yet shown judgment in lease economics, physical asset operations and property transactions. Everything else transfers, and you have concrete proof points. Replace the bracketed parts with real numbers.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What you’ve done</w:t>
            </w:r>
          </w:p>
        </w:tc>
        <w:tc>
          <w:tcPr/>
          <w:p>
            <w:pPr>
              <w:pStyle w:val="Compact"/>
              <w:jc w:val="left"/>
            </w:pPr>
            <w:r>
              <w:t xml:space="preserve">CRE equivalent</w:t>
            </w:r>
          </w:p>
        </w:tc>
        <w:tc>
          <w:tcPr/>
          <w:p>
            <w:pPr>
              <w:pStyle w:val="Compact"/>
              <w:jc w:val="left"/>
            </w:pPr>
            <w:r>
              <w:t xml:space="preserve">Proof point to quote</w:t>
            </w:r>
          </w:p>
        </w:tc>
        <w:tc>
          <w:tcPr/>
          <w:p>
            <w:pPr>
              <w:pStyle w:val="Compact"/>
              <w:jc w:val="left"/>
            </w:pPr>
            <w:r>
              <w:t xml:space="preserve">What you still must learn</w:t>
            </w:r>
          </w:p>
        </w:tc>
      </w:tr>
      <w:tr>
        <w:tc>
          <w:tcPr/>
          <w:p>
            <w:pPr>
              <w:pStyle w:val="Compact"/>
              <w:jc w:val="left"/>
            </w:pPr>
            <w:r>
              <w:t xml:space="preserve">AML operations executive dashboard, KPI framework in Databricks/PySpark</w:t>
            </w:r>
          </w:p>
        </w:tc>
        <w:tc>
          <w:tcPr/>
          <w:p>
            <w:pPr>
              <w:pStyle w:val="Compact"/>
              <w:jc w:val="left"/>
            </w:pPr>
            <w:r>
              <w:t xml:space="preserve">Portfolio and capacity decision products</w:t>
            </w:r>
          </w:p>
        </w:tc>
        <w:tc>
          <w:tcPr/>
          <w:p>
            <w:pPr>
              <w:pStyle w:val="Compact"/>
              <w:jc w:val="left"/>
            </w:pPr>
            <w:r>
              <w:t xml:space="preserve">[Executives using it; decisions it changed]</w:t>
            </w:r>
          </w:p>
        </w:tc>
        <w:tc>
          <w:tcPr/>
          <w:p>
            <w:pPr>
              <w:pStyle w:val="Compact"/>
              <w:jc w:val="left"/>
            </w:pPr>
            <w:r>
              <w:t xml:space="preserve">Property economics, operating drivers</w:t>
            </w:r>
          </w:p>
        </w:tc>
      </w:tr>
      <w:tr>
        <w:tc>
          <w:tcPr/>
          <w:p>
            <w:pPr>
              <w:pStyle w:val="Compact"/>
              <w:jc w:val="left"/>
            </w:pPr>
            <w:r>
              <w:t xml:space="preserve">Case-management KPIs: cohort survival, aging metrics</w:t>
            </w:r>
          </w:p>
        </w:tc>
        <w:tc>
          <w:tcPr/>
          <w:p>
            <w:pPr>
              <w:pStyle w:val="Compact"/>
              <w:jc w:val="left"/>
            </w:pPr>
            <w:r>
              <w:t xml:space="preserve">Work-order backlog aging, project pipeline, lease-event pipeline</w:t>
            </w:r>
          </w:p>
        </w:tc>
        <w:tc>
          <w:tcPr/>
          <w:p>
            <w:pPr>
              <w:pStyle w:val="Compact"/>
              <w:jc w:val="left"/>
            </w:pPr>
            <w:r>
              <w:t xml:space="preserve">[Backlog reduction or SLA improvement]</w:t>
            </w:r>
          </w:p>
        </w:tc>
        <w:tc>
          <w:tcPr/>
          <w:p>
            <w:pPr>
              <w:pStyle w:val="Compact"/>
              <w:jc w:val="left"/>
            </w:pPr>
            <w:r>
              <w:t xml:space="preserve">Physical constraints, service criticality</w:t>
            </w:r>
          </w:p>
        </w:tc>
      </w:tr>
      <w:tr>
        <w:tc>
          <w:tcPr/>
          <w:p>
            <w:pPr>
              <w:pStyle w:val="Compact"/>
              <w:jc w:val="left"/>
            </w:pPr>
            <w:r>
              <w:t xml:space="preserve">QA frameworks for regulatory SQL-to-Excel pipelines</w:t>
            </w:r>
          </w:p>
        </w:tc>
        <w:tc>
          <w:tcPr/>
          <w:p>
            <w:pPr>
              <w:pStyle w:val="Compact"/>
              <w:jc w:val="left"/>
            </w:pPr>
            <w:r>
              <w:t xml:space="preserve">Lease-to-ledger reconciliation; disclosure-grade emissions data</w:t>
            </w:r>
          </w:p>
        </w:tc>
        <w:tc>
          <w:tcPr/>
          <w:p>
            <w:pPr>
              <w:pStyle w:val="Compact"/>
              <w:jc w:val="left"/>
            </w:pPr>
            <w:r>
              <w:t xml:space="preserve">[Defects caught, audit findings avoided]</w:t>
            </w:r>
          </w:p>
        </w:tc>
        <w:tc>
          <w:tcPr/>
          <w:p>
            <w:pPr>
              <w:pStyle w:val="Compact"/>
              <w:jc w:val="left"/>
            </w:pPr>
            <w:r>
              <w:t xml:space="preserve">Lease abstracts, measurement standards</w:t>
            </w:r>
          </w:p>
        </w:tc>
      </w:tr>
      <w:tr>
        <w:tc>
          <w:tcPr/>
          <w:p>
            <w:pPr>
              <w:pStyle w:val="Compact"/>
              <w:jc w:val="left"/>
            </w:pPr>
            <w:r>
              <w:t xml:space="preserve">MBR modernization: descriptive → prescriptive</w:t>
            </w:r>
          </w:p>
        </w:tc>
        <w:tc>
          <w:tcPr/>
          <w:p>
            <w:pPr>
              <w:pStyle w:val="Compact"/>
              <w:jc w:val="left"/>
            </w:pPr>
            <w:r>
              <w:t xml:space="preserve">Monthly CRE review that drives decisions, not just reports</w:t>
            </w:r>
          </w:p>
        </w:tc>
        <w:tc>
          <w:tcPr/>
          <w:p>
            <w:pPr>
              <w:pStyle w:val="Compact"/>
              <w:jc w:val="left"/>
            </w:pPr>
            <w:r>
              <w:t xml:space="preserve">[Executive buy-in, what changed]</w:t>
            </w:r>
          </w:p>
        </w:tc>
        <w:tc>
          <w:tcPr/>
          <w:p>
            <w:pPr>
              <w:pStyle w:val="Compact"/>
              <w:jc w:val="left"/>
            </w:pPr>
            <w:r>
              <w:t xml:space="preserve">Which CRE decisions matter most</w:t>
            </w:r>
          </w:p>
        </w:tc>
      </w:tr>
      <w:tr>
        <w:tc>
          <w:tcPr/>
          <w:p>
            <w:pPr>
              <w:pStyle w:val="Compact"/>
              <w:jc w:val="left"/>
            </w:pPr>
            <w:r>
              <w:t xml:space="preserve">Standing up BI team infrastructure: GitHub, runbooks, cadence, exec brief template</w:t>
            </w:r>
          </w:p>
        </w:tc>
        <w:tc>
          <w:tcPr/>
          <w:p>
            <w:pPr>
              <w:pStyle w:val="Compact"/>
              <w:jc w:val="left"/>
            </w:pPr>
            <w:r>
              <w:t xml:space="preserve">Operating model for a CRE analytics function</w:t>
            </w:r>
          </w:p>
        </w:tc>
        <w:tc>
          <w:tcPr/>
          <w:p>
            <w:pPr>
              <w:pStyle w:val="Compact"/>
              <w:jc w:val="left"/>
            </w:pPr>
            <w:r>
              <w:t xml:space="preserve">[Team scale, delivery improvement]</w:t>
            </w:r>
          </w:p>
        </w:tc>
        <w:tc>
          <w:tcPr/>
          <w:p>
            <w:pPr>
              <w:pStyle w:val="Compact"/>
              <w:jc w:val="left"/>
            </w:pPr>
            <w:r>
              <w:t xml:space="preserve">Vendor-held data, outsourced providers</w:t>
            </w:r>
          </w:p>
        </w:tc>
      </w:tr>
      <w:tr>
        <w:tc>
          <w:tcPr/>
          <w:p>
            <w:pPr>
              <w:pStyle w:val="Compact"/>
              <w:jc w:val="left"/>
            </w:pPr>
            <w:r>
              <w:t xml:space="preserve">dbt / Databricks / Snowflake architecture</w:t>
            </w:r>
          </w:p>
        </w:tc>
        <w:tc>
          <w:tcPr/>
          <w:p>
            <w:pPr>
              <w:pStyle w:val="Compact"/>
              <w:jc w:val="left"/>
            </w:pPr>
            <w:r>
              <w:t xml:space="preserve">Governed site dimension and semantic layer</w:t>
            </w:r>
          </w:p>
        </w:tc>
        <w:tc>
          <w:tcPr/>
          <w:p>
            <w:pPr>
              <w:pStyle w:val="Compact"/>
              <w:jc w:val="left"/>
            </w:pPr>
            <w:r>
              <w:t xml:space="preserve">[Platform outcome]</w:t>
            </w:r>
          </w:p>
        </w:tc>
        <w:tc>
          <w:tcPr/>
          <w:p>
            <w:pPr>
              <w:pStyle w:val="Compact"/>
              <w:jc w:val="left"/>
            </w:pPr>
            <w:r>
              <w:t xml:space="preserve">CRE source systems</w:t>
            </w:r>
          </w:p>
        </w:tc>
      </w:tr>
      <w:tr>
        <w:tc>
          <w:tcPr/>
          <w:p>
            <w:pPr>
              <w:pStyle w:val="Compact"/>
              <w:jc w:val="left"/>
            </w:pPr>
            <w:r>
              <w:t xml:space="preserve">Regulated environment, audit-ready evidence</w:t>
            </w:r>
          </w:p>
        </w:tc>
        <w:tc>
          <w:tcPr/>
          <w:p>
            <w:pPr>
              <w:pStyle w:val="Compact"/>
              <w:jc w:val="left"/>
            </w:pPr>
            <w:r>
              <w:t xml:space="preserve">B-10, E-21, B-15 evidence for real estate</w:t>
            </w:r>
          </w:p>
        </w:tc>
        <w:tc>
          <w:tcPr/>
          <w:p>
            <w:pPr>
              <w:pStyle w:val="Compact"/>
              <w:jc w:val="left"/>
            </w:pPr>
            <w:r>
              <w:t xml:space="preserve">[Regulatory exam or audit you supported]</w:t>
            </w:r>
          </w:p>
        </w:tc>
        <w:tc>
          <w:tcPr/>
          <w:p>
            <w:pPr>
              <w:pStyle w:val="Compact"/>
              <w:jc w:val="left"/>
            </w:pPr>
            <w:r>
              <w:t xml:space="preserve">CRE-specific regulatory touchpoints</w:t>
            </w:r>
          </w:p>
        </w:tc>
      </w:tr>
    </w:tbl>
    <w:p>
      <w:pPr>
        <w:pStyle w:val="BodyText"/>
      </w:pPr>
      <w:r>
        <w:rPr>
          <w:bCs/>
          <w:b/>
        </w:rPr>
        <w:t xml:space="preserve">Avoid:</w:t>
      </w:r>
      <w:r>
        <w:t xml:space="preserve"> </w:t>
      </w:r>
      <w:r>
        <w:t xml:space="preserve">“</w:t>
      </w:r>
      <w:r>
        <w:t xml:space="preserve">AML and real estate are basically the same.</w:t>
      </w:r>
      <w:r>
        <w:t xml:space="preserve">”</w:t>
      </w:r>
    </w:p>
    <w:p>
      <w:pPr>
        <w:pStyle w:val="BodyText"/>
      </w:pPr>
      <w:r>
        <w:rPr>
          <w:bCs/>
          <w:b/>
        </w:rPr>
        <w:t xml:space="preserve">Use:</w:t>
      </w:r>
      <w:r>
        <w:t xml:space="preserve"> </w:t>
      </w:r>
      <w:r>
        <w:t xml:space="preserve">“</w:t>
      </w:r>
      <w:r>
        <w:t xml:space="preserve">The leadership and data disciplines transfer directly; I’ve already built executive KPI frameworks and regulator-grade data controls. The economics and operating constraints I’d learn deliberately, alongside experienced real estate and Finance partners.</w:t>
      </w:r>
      <w:r>
        <w:t xml:space="preserve">”</w:t>
      </w:r>
    </w:p>
    <w:bookmarkStart w:id="53" w:name="X84299d982230d79e008aa4da7a69df2ae08edf1"/>
    <w:p>
      <w:pPr>
        <w:pStyle w:val="Heading3"/>
      </w:pPr>
      <w:r>
        <w:t xml:space="preserve">Close the gap visibly, starting before the interview</w:t>
      </w:r>
    </w:p>
    <w:p>
      <w:pPr>
        <w:numPr>
          <w:ilvl w:val="0"/>
          <w:numId w:val="1005"/>
        </w:numPr>
        <w:pStyle w:val="Compact"/>
      </w:pPr>
      <w:r>
        <w:rPr>
          <w:bCs/>
          <w:b/>
        </w:rPr>
        <w:t xml:space="preserve">Before the interview:</w:t>
      </w:r>
      <w:r>
        <w:t xml:space="preserve"> </w:t>
      </w:r>
      <w:r>
        <w:t xml:space="preserve">read one public big-bank real estate or sustainability disclosure; skim a current Toronto office market report; be able to define WALT, net effective rent and TI without notes.</w:t>
      </w:r>
    </w:p>
    <w:p>
      <w:pPr>
        <w:numPr>
          <w:ilvl w:val="0"/>
          <w:numId w:val="1005"/>
        </w:numPr>
        <w:pStyle w:val="Compact"/>
      </w:pPr>
      <w:r>
        <w:rPr>
          <w:bCs/>
          <w:b/>
        </w:rPr>
        <w:t xml:space="preserve">First 60 days:</w:t>
      </w:r>
      <w:r>
        <w:t xml:space="preserve"> </w:t>
      </w:r>
      <w:r>
        <w:t xml:space="preserve">shadow one renewal end to end; walk a branch, an office and a critical facility with operators; review one capital case with Finance; trace one facilities incident from fault to business impact; reconcile a small portfolio from lease to ledger.</w:t>
      </w:r>
    </w:p>
    <w:bookmarkEnd w:id="53"/>
    <w:bookmarkStart w:id="54" w:name="if-this-role-is-at-cibc-new"/>
    <w:p>
      <w:pPr>
        <w:pStyle w:val="Heading3"/>
      </w:pPr>
      <w:r>
        <w:t xml:space="preserve">If this role is at CIBC (new)</w:t>
      </w:r>
    </w:p>
    <w:p>
      <w:pPr>
        <w:pStyle w:val="FirstParagraph"/>
      </w:pPr>
      <w:r>
        <w:t xml:space="preserve">An internal move changes the conversation. Use it, but don’t lean on it.</w:t>
      </w:r>
    </w:p>
    <w:p>
      <w:pPr>
        <w:numPr>
          <w:ilvl w:val="0"/>
          <w:numId w:val="1006"/>
        </w:numPr>
        <w:pStyle w:val="Compact"/>
      </w:pPr>
      <w:r>
        <w:rPr>
          <w:bCs/>
          <w:b/>
        </w:rPr>
        <w:t xml:space="preserve">Advantage:</w:t>
      </w:r>
      <w:r>
        <w:t xml:space="preserve"> </w:t>
      </w:r>
      <w:r>
        <w:t xml:space="preserve">you already know the bank’s data platforms, governance, Finance partners and how decisions get made. Say how that shortens your ramp-up, concretely.</w:t>
      </w:r>
    </w:p>
    <w:p>
      <w:pPr>
        <w:numPr>
          <w:ilvl w:val="0"/>
          <w:numId w:val="1006"/>
        </w:numPr>
        <w:pStyle w:val="Compact"/>
      </w:pPr>
      <w:r>
        <w:rPr>
          <w:bCs/>
          <w:b/>
        </w:rPr>
        <w:t xml:space="preserve">Risk:</w:t>
      </w:r>
      <w:r>
        <w:t xml:space="preserve"> </w:t>
      </w:r>
      <w:r>
        <w:t xml:space="preserve">being seen as</w:t>
      </w:r>
      <w:r>
        <w:t xml:space="preserve"> </w:t>
      </w:r>
      <w:r>
        <w:t xml:space="preserve">“</w:t>
      </w:r>
      <w:r>
        <w:t xml:space="preserve">the AML BI person.</w:t>
      </w:r>
      <w:r>
        <w:t xml:space="preserve">”</w:t>
      </w:r>
      <w:r>
        <w:t xml:space="preserve"> </w:t>
      </w:r>
      <w:r>
        <w:t xml:space="preserve">Counter it by speaking real estate’s language fluently and talking about enterprise outcomes, not your current team.</w:t>
      </w:r>
    </w:p>
    <w:p>
      <w:pPr>
        <w:numPr>
          <w:ilvl w:val="0"/>
          <w:numId w:val="1006"/>
        </w:numPr>
        <w:pStyle w:val="Compact"/>
      </w:pPr>
      <w:r>
        <w:rPr>
          <w:bCs/>
          <w:b/>
        </w:rPr>
        <w:t xml:space="preserve">Do your homework:</w:t>
      </w:r>
      <w:r>
        <w:t xml:space="preserve"> </w:t>
      </w:r>
      <w:r>
        <w:t xml:space="preserve">find out the bank’s current in-office expectation for your target groups and the major real estate commitments, such as headquarters and large hubs, from internal sources. Don’t quote internal figures you can’t verify.</w:t>
      </w:r>
    </w:p>
    <w:p>
      <w:pPr>
        <w:numPr>
          <w:ilvl w:val="0"/>
          <w:numId w:val="1006"/>
        </w:numPr>
        <w:pStyle w:val="Compact"/>
      </w:pPr>
      <w:r>
        <w:rPr>
          <w:bCs/>
          <w:b/>
        </w:rPr>
        <w:t xml:space="preserve">Handle your current leader well:</w:t>
      </w:r>
      <w:r>
        <w:t xml:space="preserve"> </w:t>
      </w:r>
      <w:r>
        <w:t xml:space="preserve">tell them before the hiring manager hears it elsewhere, and have a transition plan for your team ready. Senior hiring managers notice how internal candidates leave.</w:t>
      </w:r>
    </w:p>
    <w:bookmarkEnd w:id="54"/>
    <w:bookmarkEnd w:id="55"/>
    <w:bookmarkStart w:id="58" w:name="module-5-show-senior-director-judgment"/>
    <w:p>
      <w:pPr>
        <w:pStyle w:val="Heading2"/>
      </w:pPr>
      <w:r>
        <w:t xml:space="preserve">Module 5 — Show senior-director judgment</w:t>
      </w:r>
    </w:p>
    <w:p>
      <w:pPr>
        <w:pStyle w:val="FirstParagraph"/>
      </w:pPr>
      <w:r>
        <w:t xml:space="preserve">Titles vary; the real distinction is scope of accountability. Interviewers are testing whether you already operate on the right-hand column.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Director emphasis</w:t>
            </w:r>
          </w:p>
        </w:tc>
        <w:tc>
          <w:tcPr/>
          <w:p>
            <w:pPr>
              <w:pStyle w:val="Compact"/>
              <w:jc w:val="left"/>
            </w:pPr>
            <w:r>
              <w:t xml:space="preserve">Senior-director evidence</w:t>
            </w:r>
          </w:p>
        </w:tc>
      </w:tr>
      <w:tr>
        <w:tc>
          <w:tcPr/>
          <w:p>
            <w:pPr>
              <w:pStyle w:val="Compact"/>
              <w:jc w:val="left"/>
            </w:pPr>
            <w:r>
              <w:t xml:space="preserve">Deliver a team’s commitments</w:t>
            </w:r>
          </w:p>
        </w:tc>
        <w:tc>
          <w:tcPr/>
          <w:p>
            <w:pPr>
              <w:pStyle w:val="Compact"/>
              <w:jc w:val="left"/>
            </w:pPr>
            <w:r>
              <w:t xml:space="preserve">Set priorities across competing business outcomes</w:t>
            </w:r>
          </w:p>
        </w:tc>
      </w:tr>
      <w:tr>
        <w:tc>
          <w:tcPr/>
          <w:p>
            <w:pPr>
              <w:pStyle w:val="Compact"/>
              <w:jc w:val="left"/>
            </w:pPr>
            <w:r>
              <w:t xml:space="preserve">Manage analysts and delivery</w:t>
            </w:r>
          </w:p>
        </w:tc>
        <w:tc>
          <w:tcPr/>
          <w:p>
            <w:pPr>
              <w:pStyle w:val="Compact"/>
              <w:jc w:val="left"/>
            </w:pPr>
            <w:r>
              <w:t xml:space="preserve">Build managers, succession and durable capability</w:t>
            </w:r>
          </w:p>
        </w:tc>
      </w:tr>
      <w:tr>
        <w:tc>
          <w:tcPr/>
          <w:p>
            <w:pPr>
              <w:pStyle w:val="Compact"/>
              <w:jc w:val="left"/>
            </w:pPr>
            <w:r>
              <w:t xml:space="preserve">Produce accurate analysis</w:t>
            </w:r>
          </w:p>
        </w:tc>
        <w:tc>
          <w:tcPr/>
          <w:p>
            <w:pPr>
              <w:pStyle w:val="Compact"/>
              <w:jc w:val="left"/>
            </w:pPr>
            <w:r>
              <w:t xml:space="preserve">Own recommendations and their trade-offs</w:t>
            </w:r>
          </w:p>
        </w:tc>
      </w:tr>
      <w:tr>
        <w:tc>
          <w:tcPr/>
          <w:p>
            <w:pPr>
              <w:pStyle w:val="Compact"/>
              <w:jc w:val="left"/>
            </w:pPr>
            <w:r>
              <w:t xml:space="preserve">Manage a project budget</w:t>
            </w:r>
          </w:p>
        </w:tc>
        <w:tc>
          <w:tcPr/>
          <w:p>
            <w:pPr>
              <w:pStyle w:val="Compact"/>
              <w:jc w:val="left"/>
            </w:pPr>
            <w:r>
              <w:t xml:space="preserve">Allocate resources across a portfolio</w:t>
            </w:r>
          </w:p>
        </w:tc>
      </w:tr>
      <w:tr>
        <w:tc>
          <w:tcPr/>
          <w:p>
            <w:pPr>
              <w:pStyle w:val="Compact"/>
              <w:jc w:val="left"/>
            </w:pPr>
            <w:r>
              <w:t xml:space="preserve">Escalate disagreements</w:t>
            </w:r>
          </w:p>
        </w:tc>
        <w:tc>
          <w:tcPr/>
          <w:p>
            <w:pPr>
              <w:pStyle w:val="Compact"/>
              <w:jc w:val="left"/>
            </w:pPr>
            <w:r>
              <w:t xml:space="preserve">Resolve them, or frame a clean executive decision</w:t>
            </w:r>
          </w:p>
        </w:tc>
      </w:tr>
      <w:tr>
        <w:tc>
          <w:tcPr/>
          <w:p>
            <w:pPr>
              <w:pStyle w:val="Compact"/>
              <w:jc w:val="left"/>
            </w:pPr>
            <w:r>
              <w:t xml:space="preserve">Keep stakeholders satisfied</w:t>
            </w:r>
          </w:p>
        </w:tc>
        <w:tc>
          <w:tcPr/>
          <w:p>
            <w:pPr>
              <w:pStyle w:val="Compact"/>
              <w:jc w:val="left"/>
            </w:pPr>
            <w:r>
              <w:t xml:space="preserve">Challenge requests that undermine enterprise value</w:t>
            </w:r>
          </w:p>
        </w:tc>
      </w:tr>
      <w:tr>
        <w:tc>
          <w:tcPr/>
          <w:p>
            <w:pPr>
              <w:pStyle w:val="Compact"/>
              <w:jc w:val="left"/>
            </w:pPr>
            <w:r>
              <w:t xml:space="preserve">Improve reporting</w:t>
            </w:r>
          </w:p>
        </w:tc>
        <w:tc>
          <w:tcPr/>
          <w:p>
            <w:pPr>
              <w:pStyle w:val="Compact"/>
              <w:jc w:val="left"/>
            </w:pPr>
            <w:r>
              <w:t xml:space="preserve">Change how decisions get made and benefits get proven</w:t>
            </w:r>
          </w:p>
        </w:tc>
      </w:tr>
    </w:tbl>
    <w:p>
      <w:pPr>
        <w:pStyle w:val="BodyText"/>
      </w:pPr>
      <w:r>
        <w:rPr>
          <w:bCs/>
          <w:b/>
        </w:rPr>
        <w:t xml:space="preserve">New — the three signals hiring panels look for at this level:</w:t>
      </w:r>
    </w:p>
    <w:p>
      <w:pPr>
        <w:numPr>
          <w:ilvl w:val="0"/>
          <w:numId w:val="1007"/>
        </w:numPr>
        <w:pStyle w:val="Compact"/>
      </w:pPr>
      <w:r>
        <w:rPr>
          <w:bCs/>
          <w:b/>
        </w:rPr>
        <w:t xml:space="preserve">You say no with a reason and an alternative.</w:t>
      </w:r>
      <w:r>
        <w:t xml:space="preserve"> </w:t>
      </w:r>
      <w:r>
        <w:t xml:space="preserve">Have one story where you declined or reshaped an executive request.</w:t>
      </w:r>
    </w:p>
    <w:p>
      <w:pPr>
        <w:numPr>
          <w:ilvl w:val="0"/>
          <w:numId w:val="1007"/>
        </w:numPr>
        <w:pStyle w:val="Compact"/>
      </w:pPr>
      <w:r>
        <w:rPr>
          <w:bCs/>
          <w:b/>
        </w:rPr>
        <w:t xml:space="preserve">Your team performs without you.</w:t>
      </w:r>
      <w:r>
        <w:t xml:space="preserve"> </w:t>
      </w:r>
      <w:r>
        <w:t xml:space="preserve">Name what your leads own end to end today.</w:t>
      </w:r>
    </w:p>
    <w:p>
      <w:pPr>
        <w:numPr>
          <w:ilvl w:val="0"/>
          <w:numId w:val="1007"/>
        </w:numPr>
        <w:pStyle w:val="Compact"/>
      </w:pPr>
      <w:r>
        <w:rPr>
          <w:bCs/>
          <w:b/>
        </w:rPr>
        <w:t xml:space="preserve">You talk in money and risk, not outputs.</w:t>
      </w:r>
      <w:r>
        <w:t xml:space="preserve"> </w:t>
      </w:r>
      <w:r>
        <w:t xml:space="preserve">“</w:t>
      </w:r>
      <w:r>
        <w:t xml:space="preserve">Saved $X</w:t>
      </w:r>
      <w:r>
        <w:t xml:space="preserve">”</w:t>
      </w:r>
      <w:r>
        <w:t xml:space="preserve"> </w:t>
      </w:r>
      <w:r>
        <w:t xml:space="preserve">or</w:t>
      </w:r>
      <w:r>
        <w:t xml:space="preserve"> </w:t>
      </w:r>
      <w:r>
        <w:t xml:space="preserve">“</w:t>
      </w:r>
      <w:r>
        <w:t xml:space="preserve">prevented a Y exposure,</w:t>
      </w:r>
      <w:r>
        <w:t xml:space="preserve">”</w:t>
      </w:r>
      <w:r>
        <w:t xml:space="preserve"> </w:t>
      </w:r>
      <w:r>
        <w:t xml:space="preserve">not</w:t>
      </w:r>
      <w:r>
        <w:t xml:space="preserve"> </w:t>
      </w:r>
      <w:r>
        <w:t xml:space="preserve">“</w:t>
      </w:r>
      <w:r>
        <w:t xml:space="preserve">built 14 dashboards.</w:t>
      </w:r>
      <w:r>
        <w:t xml:space="preserve">”</w:t>
      </w:r>
    </w:p>
    <w:bookmarkStart w:id="56" w:name="a-credible-organization-design"/>
    <w:p>
      <w:pPr>
        <w:pStyle w:val="Heading3"/>
      </w:pPr>
      <w:r>
        <w:t xml:space="preserve">A credible organization design</w:t>
      </w:r>
    </w:p>
    <w:p>
      <w:pPr>
        <w:pStyle w:val="FirstParagraph"/>
      </w:pPr>
      <w:r>
        <w:t xml:space="preserve">A starting hypothesis, not a hiring request:</w:t>
      </w:r>
    </w:p>
    <w:p>
      <w:pPr>
        <w:numPr>
          <w:ilvl w:val="0"/>
          <w:numId w:val="1008"/>
        </w:numPr>
        <w:pStyle w:val="Compact"/>
      </w:pPr>
      <w:r>
        <w:rPr>
          <w:bCs/>
          <w:b/>
        </w:rPr>
        <w:t xml:space="preserve">Two business-facing leads:</w:t>
      </w:r>
      <w:r>
        <w:t xml:space="preserve"> </w:t>
      </w:r>
      <w:r>
        <w:t xml:space="preserve">portfolio and workplace; operations, projects and vendors.</w:t>
      </w:r>
    </w:p>
    <w:p>
      <w:pPr>
        <w:numPr>
          <w:ilvl w:val="0"/>
          <w:numId w:val="1008"/>
        </w:numPr>
        <w:pStyle w:val="Compact"/>
      </w:pPr>
      <w:r>
        <w:rPr>
          <w:bCs/>
          <w:b/>
        </w:rPr>
        <w:t xml:space="preserve">Shared data and BI capability:</w:t>
      </w:r>
      <w:r>
        <w:t xml:space="preserve"> </w:t>
      </w:r>
      <w:r>
        <w:t xml:space="preserve">governed datasets, semantic layer, reporting.</w:t>
      </w:r>
    </w:p>
    <w:p>
      <w:pPr>
        <w:numPr>
          <w:ilvl w:val="0"/>
          <w:numId w:val="1008"/>
        </w:numPr>
        <w:pStyle w:val="Compact"/>
      </w:pPr>
      <w:r>
        <w:rPr>
          <w:bCs/>
          <w:b/>
        </w:rPr>
        <w:t xml:space="preserve">Specialist support as warranted:</w:t>
      </w:r>
      <w:r>
        <w:t xml:space="preserve"> </w:t>
      </w:r>
      <w:r>
        <w:t xml:space="preserve">forecasting, optimization, experimentation.</w:t>
      </w:r>
    </w:p>
    <w:p>
      <w:pPr>
        <w:pStyle w:val="FirstParagraph"/>
      </w:pPr>
      <w:r>
        <w:t xml:space="preserve">First learn what enterprise data teams and outsourced providers already do. Hold managers accountable for outcomes, stakeholder relationships and talent. Don’t become the person who fixes every SQL query.</w:t>
      </w:r>
    </w:p>
    <w:bookmarkEnd w:id="56"/>
    <w:bookmarkStart w:id="57" w:name="operating-rhythm"/>
    <w:p>
      <w:pPr>
        <w:pStyle w:val="Heading3"/>
      </w:pPr>
      <w:r>
        <w:t xml:space="preserve">Operating rhythm</w:t>
      </w:r>
    </w:p>
    <w:p>
      <w:pPr>
        <w:numPr>
          <w:ilvl w:val="0"/>
          <w:numId w:val="1009"/>
        </w:numPr>
        <w:pStyle w:val="Compact"/>
      </w:pPr>
      <w:r>
        <w:rPr>
          <w:bCs/>
          <w:b/>
        </w:rPr>
        <w:t xml:space="preserve">Weekly:</w:t>
      </w:r>
      <w:r>
        <w:t xml:space="preserve"> </w:t>
      </w:r>
      <w:r>
        <w:t xml:space="preserve">blocked decisions, delivery risks, resource conflicts.</w:t>
      </w:r>
    </w:p>
    <w:p>
      <w:pPr>
        <w:numPr>
          <w:ilvl w:val="0"/>
          <w:numId w:val="1009"/>
        </w:numPr>
        <w:pStyle w:val="Compact"/>
      </w:pPr>
      <w:r>
        <w:rPr>
          <w:bCs/>
          <w:b/>
        </w:rPr>
        <w:t xml:space="preserve">Monthly:</w:t>
      </w:r>
      <w:r>
        <w:t xml:space="preserve"> </w:t>
      </w:r>
      <w:r>
        <w:t xml:space="preserve">performance, forecast, benefits, vendor exceptions, upcoming option notices.</w:t>
      </w:r>
    </w:p>
    <w:p>
      <w:pPr>
        <w:numPr>
          <w:ilvl w:val="0"/>
          <w:numId w:val="1009"/>
        </w:numPr>
        <w:pStyle w:val="Compact"/>
      </w:pPr>
      <w:r>
        <w:rPr>
          <w:bCs/>
          <w:b/>
        </w:rPr>
        <w:t xml:space="preserve">Quarterly:</w:t>
      </w:r>
      <w:r>
        <w:t xml:space="preserve"> </w:t>
      </w:r>
      <w:r>
        <w:t xml:space="preserve">priorities, investment allocation, talent.</w:t>
      </w:r>
    </w:p>
    <w:p>
      <w:pPr>
        <w:numPr>
          <w:ilvl w:val="0"/>
          <w:numId w:val="1009"/>
        </w:numPr>
        <w:pStyle w:val="Compact"/>
      </w:pPr>
      <w:r>
        <w:rPr>
          <w:bCs/>
          <w:b/>
        </w:rPr>
        <w:t xml:space="preserve">Periodically:</w:t>
      </w:r>
      <w:r>
        <w:t xml:space="preserve"> </w:t>
      </w:r>
      <w:r>
        <w:t xml:space="preserve">succession, resilience exercises, capability gaps.</w:t>
      </w:r>
    </w:p>
    <w:p>
      <w:pPr>
        <w:pStyle w:val="FirstParagraph"/>
      </w:pPr>
      <w:r>
        <w:rPr>
          <w:bCs/>
          <w:b/>
        </w:rPr>
        <w:t xml:space="preserve">Exercise:</w:t>
      </w:r>
      <w:r>
        <w:t xml:space="preserve"> </w:t>
      </w:r>
      <w:r>
        <w:t xml:space="preserve">the CFO wants 10% off; Facilities wants to protect its budget.</w:t>
      </w:r>
      <w:r>
        <w:t xml:space="preserve"> </w:t>
      </w:r>
      <w:r>
        <w:rPr>
          <w:bCs/>
          <w:b/>
        </w:rPr>
        <w:t xml:space="preserve">Answer:</w:t>
      </w:r>
      <w:r>
        <w:t xml:space="preserve"> </w:t>
      </w:r>
      <w:r>
        <w:t xml:space="preserve">clarify the baseline and deadline; split committed from discretionary spend; build options with service and risk impacts; protect mandatory and critical-control work; present staged choices rather than an across-the-board cut.</w:t>
      </w:r>
    </w:p>
    <w:bookmarkEnd w:id="57"/>
    <w:bookmarkEnd w:id="58"/>
    <w:bookmarkStart w:id="60" w:name="Xf72663b7edfd1e3c428966fceebb64365607e06"/>
    <w:p>
      <w:pPr>
        <w:pStyle w:val="Heading2"/>
      </w:pPr>
      <w:r>
        <w:t xml:space="preserve">Module 6 — Your first 90 days and first year</w:t>
      </w:r>
    </w:p>
    <w:p>
      <w:pPr>
        <w:pStyle w:val="FirstParagraph"/>
      </w:pPr>
      <w:r>
        <w:t xml:space="preserve">The single most useful early artifact is a</w:t>
      </w:r>
      <w:r>
        <w:t xml:space="preserve"> </w:t>
      </w:r>
      <w:r>
        <w:rPr>
          <w:bCs/>
          <w:b/>
        </w:rPr>
        <w:t xml:space="preserve">lease-event calendar</w:t>
      </w:r>
      <w:r>
        <w:t xml:space="preserve">: every option notice date in the next 24 months, with an owner and a strategy status. It is quick to build, it prevents expensive misses, and it earns trust with the transactions team immediately.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w:t>
            </w:r>
          </w:p>
        </w:tc>
        <w:tc>
          <w:tcPr/>
          <w:p>
            <w:pPr>
              <w:pStyle w:val="Compact"/>
              <w:jc w:val="left"/>
            </w:pPr>
            <w:r>
              <w:t xml:space="preserve">Actions</w:t>
            </w:r>
          </w:p>
        </w:tc>
        <w:tc>
          <w:tcPr/>
          <w:p>
            <w:pPr>
              <w:pStyle w:val="Compact"/>
              <w:jc w:val="left"/>
            </w:pPr>
            <w:r>
              <w:t xml:space="preserve">Outputs</w:t>
            </w:r>
          </w:p>
        </w:tc>
      </w:tr>
      <w:tr>
        <w:tc>
          <w:tcPr/>
          <w:p>
            <w:pPr>
              <w:pStyle w:val="Compact"/>
              <w:jc w:val="left"/>
            </w:pPr>
            <w:r>
              <w:t xml:space="preserve">Days 1–30</w:t>
            </w:r>
          </w:p>
        </w:tc>
        <w:tc>
          <w:tcPr/>
          <w:p>
            <w:pPr>
              <w:pStyle w:val="Compact"/>
              <w:jc w:val="left"/>
            </w:pPr>
            <w:r>
              <w:t xml:space="preserve">Listen to operators and executives; visit sites; review leases, budgets, reports; assess team</w:t>
            </w:r>
          </w:p>
        </w:tc>
        <w:tc>
          <w:tcPr/>
          <w:p>
            <w:pPr>
              <w:pStyle w:val="Compact"/>
              <w:jc w:val="left"/>
            </w:pPr>
            <w:r>
              <w:t xml:space="preserve">Decision inventory, stakeholder map, maturity baseline,</w:t>
            </w:r>
            <w:r>
              <w:t xml:space="preserve"> </w:t>
            </w:r>
            <w:r>
              <w:rPr>
                <w:bCs/>
                <w:b/>
              </w:rPr>
              <w:t xml:space="preserve">lease-event calendar</w:t>
            </w:r>
          </w:p>
        </w:tc>
      </w:tr>
      <w:tr>
        <w:tc>
          <w:tcPr/>
          <w:p>
            <w:pPr>
              <w:pStyle w:val="Compact"/>
              <w:jc w:val="left"/>
            </w:pPr>
            <w:r>
              <w:t xml:space="preserve">Days 31–60</w:t>
            </w:r>
          </w:p>
        </w:tc>
        <w:tc>
          <w:tcPr/>
          <w:p>
            <w:pPr>
              <w:pStyle w:val="Compact"/>
              <w:jc w:val="left"/>
            </w:pPr>
            <w:r>
              <w:t xml:space="preserve">Agree definitions with Finance and operators; pick two high-value pilots; set owners and governance</w:t>
            </w:r>
          </w:p>
        </w:tc>
        <w:tc>
          <w:tcPr/>
          <w:p>
            <w:pPr>
              <w:pStyle w:val="Compact"/>
              <w:jc w:val="left"/>
            </w:pPr>
            <w:r>
              <w:t xml:space="preserve">KPI dictionary, prioritized backlog, pilot cases, team responsibilities</w:t>
            </w:r>
          </w:p>
        </w:tc>
      </w:tr>
      <w:tr>
        <w:tc>
          <w:tcPr/>
          <w:p>
            <w:pPr>
              <w:pStyle w:val="Compact"/>
              <w:jc w:val="left"/>
            </w:pPr>
            <w:r>
              <w:t xml:space="preserve">Days 61–90</w:t>
            </w:r>
          </w:p>
        </w:tc>
        <w:tc>
          <w:tcPr/>
          <w:p>
            <w:pPr>
              <w:pStyle w:val="Compact"/>
              <w:jc w:val="left"/>
            </w:pPr>
            <w:r>
              <w:t xml:space="preserve">Deliver pilot evidence; start executive decision reviews; validate benefit assumptions</w:t>
            </w:r>
          </w:p>
        </w:tc>
        <w:tc>
          <w:tcPr/>
          <w:p>
            <w:pPr>
              <w:pStyle w:val="Compact"/>
              <w:jc w:val="left"/>
            </w:pPr>
            <w:r>
              <w:t xml:space="preserve">First decision products, documented recommendations, 12-month roadmap and resource ask</w:t>
            </w:r>
          </w:p>
        </w:tc>
      </w:tr>
      <w:tr>
        <w:tc>
          <w:tcPr/>
          <w:p>
            <w:pPr>
              <w:pStyle w:val="Compact"/>
              <w:jc w:val="left"/>
            </w:pPr>
            <w:r>
              <w:t xml:space="preserve">Months 4–6</w:t>
            </w:r>
          </w:p>
        </w:tc>
        <w:tc>
          <w:tcPr/>
          <w:p>
            <w:pPr>
              <w:pStyle w:val="Compact"/>
              <w:jc w:val="left"/>
            </w:pPr>
            <w:r>
              <w:t xml:space="preserve">Stabilize property master and lease-to-ledger reconciliation; scale pilots</w:t>
            </w:r>
          </w:p>
        </w:tc>
        <w:tc>
          <w:tcPr/>
          <w:p>
            <w:pPr>
              <w:pStyle w:val="Compact"/>
              <w:jc w:val="left"/>
            </w:pPr>
            <w:r>
              <w:t xml:space="preserve">Trusted recurring portfolio and cost views</w:t>
            </w:r>
          </w:p>
        </w:tc>
      </w:tr>
      <w:tr>
        <w:tc>
          <w:tcPr/>
          <w:p>
            <w:pPr>
              <w:pStyle w:val="Compact"/>
              <w:jc w:val="left"/>
            </w:pPr>
            <w:r>
              <w:t xml:space="preserve">Months 7–9</w:t>
            </w:r>
          </w:p>
        </w:tc>
        <w:tc>
          <w:tcPr/>
          <w:p>
            <w:pPr>
              <w:pStyle w:val="Compact"/>
              <w:jc w:val="left"/>
            </w:pPr>
            <w:r>
              <w:t xml:space="preserve">Add scenarios, vendor insight, project forecasting, emissions data controls</w:t>
            </w:r>
          </w:p>
        </w:tc>
        <w:tc>
          <w:tcPr/>
          <w:p>
            <w:pPr>
              <w:pStyle w:val="Compact"/>
              <w:jc w:val="left"/>
            </w:pPr>
            <w:r>
              <w:t xml:space="preserve">Integrated investment and operating decisions</w:t>
            </w:r>
          </w:p>
        </w:tc>
      </w:tr>
      <w:tr>
        <w:tc>
          <w:tcPr/>
          <w:p>
            <w:pPr>
              <w:pStyle w:val="Compact"/>
              <w:jc w:val="left"/>
            </w:pPr>
            <w:r>
              <w:t xml:space="preserve">Months 10–12</w:t>
            </w:r>
          </w:p>
        </w:tc>
        <w:tc>
          <w:tcPr/>
          <w:p>
            <w:pPr>
              <w:pStyle w:val="Compact"/>
              <w:jc w:val="left"/>
            </w:pPr>
            <w:r>
              <w:t xml:space="preserve">Measure realized outcomes; retire low-value reports; strengthen succession</w:t>
            </w:r>
          </w:p>
        </w:tc>
        <w:tc>
          <w:tcPr/>
          <w:p>
            <w:pPr>
              <w:pStyle w:val="Compact"/>
              <w:jc w:val="left"/>
            </w:pPr>
            <w:r>
              <w:t xml:space="preserve">Finance-validated benefits, next-year strategy, stronger managers</w:t>
            </w:r>
          </w:p>
        </w:tc>
      </w:tr>
    </w:tbl>
    <w:p>
      <w:pPr>
        <w:pStyle w:val="BodyText"/>
      </w:pPr>
      <w:r>
        <w:t xml:space="preserve">Don’t promise consolidation savings in 90 days; lease windows and capital delivery run on longer clocks.</w:t>
      </w:r>
    </w:p>
    <w:bookmarkStart w:id="59" w:name="X1cfbfaf7af7bcc23a66e592864c8cc19d0df897"/>
    <w:p>
      <w:pPr>
        <w:pStyle w:val="Heading3"/>
      </w:pPr>
      <w:r>
        <w:t xml:space="preserve">Leadership case — conflicting evidence under pressure</w:t>
      </w:r>
    </w:p>
    <w:p>
      <w:pPr>
        <w:pStyle w:val="FirstParagraph"/>
      </w:pPr>
      <w:r>
        <w:t xml:space="preserve">The CFO wants two floors closed. HR forecasts higher attendance under the new policy. The real estate lead says badge data proves spare capacity. Your manager reports missing badge feeds at one entrance.</w:t>
      </w:r>
    </w:p>
    <w:p>
      <w:pPr>
        <w:pStyle w:val="BodyText"/>
      </w:pPr>
      <w:r>
        <w:rPr>
          <w:bCs/>
          <w:b/>
        </w:rPr>
        <w:t xml:space="preserve">Strong two-minute answer:</w:t>
      </w:r>
    </w:p>
    <w:p>
      <w:pPr>
        <w:pStyle w:val="BlockText"/>
      </w:pPr>
      <w:r>
        <w:t xml:space="preserve">“</w:t>
      </w:r>
      <w:r>
        <w:t xml:space="preserve">First I separate the decision deadline from the data defect: when do lease notice or project commitments become irreversible? I disclose the coverage gap immediately, then triangulate badges with bookings and a sampled headcount, and model attendance with HR under the policy, not just history. We proceed with reversible planning and hold irreversible commitments until capacity and continuity are validated. I bring the CFO three options: full closure, partial consolidation or delayed exit, each with savings, one-time costs and operating conditions. The accountable executive chooses with documented assumptions; my team monitors agreed triggers.</w:t>
      </w:r>
      <w:r>
        <w:t xml:space="preserve">”</w:t>
      </w:r>
    </w:p>
    <w:p>
      <w:pPr>
        <w:pStyle w:val="FirstParagraph"/>
      </w:pPr>
      <w:r>
        <w:rPr>
          <w:bCs/>
          <w:b/>
        </w:rPr>
        <w:t xml:space="preserve">Earns credit:</w:t>
      </w:r>
      <w:r>
        <w:t xml:space="preserve"> </w:t>
      </w:r>
      <w:r>
        <w:t xml:space="preserve">transparency, urgency, proportionate validation, reversible steps, clear ownership, options.</w:t>
      </w:r>
      <w:r>
        <w:t xml:space="preserve"> </w:t>
      </w:r>
      <w:r>
        <w:rPr>
          <w:bCs/>
          <w:b/>
        </w:rPr>
        <w:t xml:space="preserve">Loses credit:</w:t>
      </w:r>
      <w:r>
        <w:t xml:space="preserve"> </w:t>
      </w:r>
      <w:r>
        <w:t xml:space="preserve">hiding the defect, demanding perfect data, or letting rank decide.</w:t>
      </w:r>
    </w:p>
    <w:p>
      <w:pPr>
        <w:pStyle w:val="BodyText"/>
      </w:pPr>
      <w:r>
        <w:rPr>
          <w:bCs/>
          <w:b/>
        </w:rPr>
        <w:t xml:space="preserve">New wrinkle to prepare for:</w:t>
      </w:r>
      <w:r>
        <w:t xml:space="preserve"> </w:t>
      </w:r>
      <w:r>
        <w:t xml:space="preserve">“</w:t>
      </w:r>
      <w:r>
        <w:t xml:space="preserve">Badge data from the last 12 months is pre-policy. Is it still useful?</w:t>
      </w:r>
      <w:r>
        <w:t xml:space="preserve">”</w:t>
      </w:r>
      <w:r>
        <w:t xml:space="preserve"> </w:t>
      </w:r>
      <w:r>
        <w:t xml:space="preserve">Answer: only for patterns like day-of-week shape and team clustering; the level must come from the policy plus a measured compliance rate from the first months after it took effect.</w:t>
      </w:r>
    </w:p>
    <w:bookmarkEnd w:id="59"/>
    <w:bookmarkEnd w:id="60"/>
    <w:bookmarkStart w:id="64" w:name="module-7-interview-drills"/>
    <w:p>
      <w:pPr>
        <w:pStyle w:val="Heading2"/>
      </w:pPr>
      <w:r>
        <w:t xml:space="preserve">Module 7 — Interview drills</w:t>
      </w:r>
    </w:p>
    <w:p>
      <w:pPr>
        <w:pStyle w:val="FirstParagraph"/>
      </w:pPr>
      <w:r>
        <w:t xml:space="preserve">Answer in 90–120 seconds: lead with your judgment, explain the approach, finish with evidence or a decision criterion. Score 0–2 on each of: answers directly; commercial and quantitative judgment; risk and uncertainty; ownership and execution; credible evidence without overclaiming. 8–10 strong, 6–7 sharpen, under 6 too generic.</w:t>
      </w:r>
    </w:p>
    <w:bookmarkStart w:id="61" w:name="rehearse-these-eight-first"/>
    <w:p>
      <w:pPr>
        <w:pStyle w:val="Heading3"/>
      </w:pPr>
      <w:r>
        <w:t xml:space="preserve">Rehearse these eight first</w:t>
      </w:r>
    </w:p>
    <w:p>
      <w:pPr>
        <w:pStyle w:val="FirstParagraph"/>
      </w:pPr>
      <w:r>
        <w:t xml:space="preserve">They are the most likely, and the ones where a weak answer costs most.</w:t>
      </w:r>
    </w:p>
    <w:tbl>
      <w:tblPr>
        <w:tblStyle w:val="Table"/>
        <w:tblW w:type="pct" w:w="5000"/>
        <w:tblLook w:firstRow="1" w:lastRow="0" w:firstColumn="0" w:lastColumn="0" w:noHBand="0" w:noVBand="0" w:val="0020"/>
        <w:jc w:val="start"/>
      </w:tblPr>
      <w:tblGrid>
        <w:gridCol w:w="1980"/>
        <w:gridCol w:w="1485"/>
        <w:gridCol w:w="1485"/>
        <w:gridCol w:w="1485"/>
        <w:gridCol w:w="1485"/>
      </w:tblGrid>
      <w:tr>
        <w:trPr>
          <w:tblHeader w:val="true"/>
        </w:trPr>
        <w:tc>
          <w:tcPr/>
          <w:p>
            <w:pPr>
              <w:pStyle w:val="Compact"/>
              <w:jc w:val="right"/>
            </w:pPr>
            <w:r>
              <w:t xml:space="preserve">#</w:t>
            </w:r>
          </w:p>
        </w:tc>
        <w:tc>
          <w:tcPr/>
          <w:p>
            <w:pPr>
              <w:pStyle w:val="Compact"/>
              <w:jc w:val="left"/>
            </w:pPr>
            <w:r>
              <w:t xml:space="preserve">Question</w:t>
            </w:r>
          </w:p>
        </w:tc>
        <w:tc>
          <w:tcPr/>
          <w:p>
            <w:pPr>
              <w:pStyle w:val="Compact"/>
              <w:jc w:val="left"/>
            </w:pPr>
            <w:r>
              <w:t xml:space="preserve">Structure</w:t>
            </w:r>
          </w:p>
        </w:tc>
        <w:tc>
          <w:tcPr/>
          <w:p>
            <w:pPr>
              <w:pStyle w:val="Compact"/>
              <w:jc w:val="left"/>
            </w:pPr>
            <w:r>
              <w:t xml:space="preserve">Probe</w:t>
            </w:r>
          </w:p>
        </w:tc>
        <w:tc>
          <w:tcPr/>
          <w:p>
            <w:pPr>
              <w:pStyle w:val="Compact"/>
              <w:jc w:val="left"/>
            </w:pPr>
            <w:r>
              <w:t xml:space="preserve">Trap</w:t>
            </w:r>
          </w:p>
        </w:tc>
      </w:tr>
      <w:tr>
        <w:tc>
          <w:tcPr/>
          <w:p>
            <w:pPr>
              <w:pStyle w:val="Compact"/>
              <w:jc w:val="right"/>
            </w:pPr>
            <w:r>
              <w:t xml:space="preserve">1</w:t>
            </w:r>
          </w:p>
        </w:tc>
        <w:tc>
          <w:tcPr/>
          <w:p>
            <w:pPr>
              <w:pStyle w:val="Compact"/>
              <w:jc w:val="left"/>
            </w:pPr>
            <w:r>
              <w:t xml:space="preserve">Why hire you without real estate experience?</w:t>
            </w:r>
          </w:p>
        </w:tc>
        <w:tc>
          <w:tcPr/>
          <w:p>
            <w:pPr>
              <w:pStyle w:val="Compact"/>
              <w:jc w:val="left"/>
            </w:pPr>
            <w:r>
              <w:t xml:space="preserve">Leadership evidence → specific gap → learning plan → contribution</w:t>
            </w:r>
          </w:p>
        </w:tc>
        <w:tc>
          <w:tcPr/>
          <w:p>
            <w:pPr>
              <w:pStyle w:val="Compact"/>
              <w:jc w:val="left"/>
            </w:pPr>
            <w:r>
              <w:t xml:space="preserve">“</w:t>
            </w:r>
            <w:r>
              <w:t xml:space="preserve">What would you get wrong first?</w:t>
            </w:r>
            <w:r>
              <w:t xml:space="preserve">”</w:t>
            </w:r>
          </w:p>
        </w:tc>
        <w:tc>
          <w:tcPr/>
          <w:p>
            <w:pPr>
              <w:pStyle w:val="Compact"/>
              <w:jc w:val="left"/>
            </w:pPr>
            <w:r>
              <w:t xml:space="preserve">Saying domain expertise doesn’t matter</w:t>
            </w:r>
          </w:p>
        </w:tc>
      </w:tr>
      <w:tr>
        <w:tc>
          <w:tcPr/>
          <w:p>
            <w:pPr>
              <w:pStyle w:val="Compact"/>
              <w:jc w:val="right"/>
            </w:pPr>
            <w:r>
              <w:t xml:space="preserve">2</w:t>
            </w:r>
          </w:p>
        </w:tc>
        <w:tc>
          <w:tcPr/>
          <w:p>
            <w:pPr>
              <w:pStyle w:val="Compact"/>
              <w:jc w:val="left"/>
            </w:pPr>
            <w:r>
              <w:t xml:space="preserve">Why are you ready for senior director?</w:t>
            </w:r>
          </w:p>
        </w:tc>
        <w:tc>
          <w:tcPr/>
          <w:p>
            <w:pPr>
              <w:pStyle w:val="Compact"/>
              <w:jc w:val="left"/>
            </w:pPr>
            <w:r>
              <w:t xml:space="preserve">Broader scope shown → hard trade-off → leading through others → result</w:t>
            </w:r>
          </w:p>
        </w:tc>
        <w:tc>
          <w:tcPr/>
          <w:p>
            <w:pPr>
              <w:pStyle w:val="Compact"/>
              <w:jc w:val="left"/>
            </w:pPr>
            <w:r>
              <w:t xml:space="preserve">“</w:t>
            </w:r>
            <w:r>
              <w:t xml:space="preserve">What do your managers own without you?</w:t>
            </w:r>
            <w:r>
              <w:t xml:space="preserve">”</w:t>
            </w:r>
          </w:p>
        </w:tc>
        <w:tc>
          <w:tcPr/>
          <w:p>
            <w:pPr>
              <w:pStyle w:val="Compact"/>
              <w:jc w:val="left"/>
            </w:pPr>
            <w:r>
              <w:t xml:space="preserve">Equating readiness with tenure or technical skill</w:t>
            </w:r>
          </w:p>
        </w:tc>
      </w:tr>
      <w:tr>
        <w:tc>
          <w:tcPr/>
          <w:p>
            <w:pPr>
              <w:pStyle w:val="Compact"/>
              <w:jc w:val="right"/>
            </w:pPr>
            <w:r>
              <w:t xml:space="preserve">3</w:t>
            </w:r>
          </w:p>
        </w:tc>
        <w:tc>
          <w:tcPr/>
          <w:p>
            <w:pPr>
              <w:pStyle w:val="Compact"/>
              <w:jc w:val="left"/>
            </w:pPr>
            <w:r>
              <w:t xml:space="preserve">The CFO needs 10% savings this year.</w:t>
            </w:r>
          </w:p>
        </w:tc>
        <w:tc>
          <w:tcPr/>
          <w:p>
            <w:pPr>
              <w:pStyle w:val="Compact"/>
              <w:jc w:val="left"/>
            </w:pPr>
            <w:r>
              <w:t xml:space="preserve">Baseline → committed vs avoidable → options → timing → protect critical services</w:t>
            </w:r>
          </w:p>
        </w:tc>
        <w:tc>
          <w:tcPr/>
          <w:p>
            <w:pPr>
              <w:pStyle w:val="Compact"/>
              <w:jc w:val="left"/>
            </w:pPr>
            <w:r>
              <w:t xml:space="preserve">“</w:t>
            </w:r>
            <w:r>
              <w:t xml:space="preserve">What if it’s impossible?</w:t>
            </w:r>
            <w:r>
              <w:t xml:space="preserve">”</w:t>
            </w:r>
          </w:p>
        </w:tc>
        <w:tc>
          <w:tcPr/>
          <w:p>
            <w:pPr>
              <w:pStyle w:val="Compact"/>
              <w:jc w:val="left"/>
            </w:pPr>
            <w:r>
              <w:t xml:space="preserve">Promising the number before reading the contracts</w:t>
            </w:r>
          </w:p>
        </w:tc>
      </w:tr>
      <w:tr>
        <w:tc>
          <w:tcPr/>
          <w:p>
            <w:pPr>
              <w:pStyle w:val="Compact"/>
              <w:jc w:val="right"/>
            </w:pPr>
            <w:r>
              <w:t xml:space="preserve">4</w:t>
            </w:r>
          </w:p>
        </w:tc>
        <w:tc>
          <w:tcPr/>
          <w:p>
            <w:pPr>
              <w:pStyle w:val="Compact"/>
              <w:jc w:val="left"/>
            </w:pPr>
            <w:r>
              <w:t xml:space="preserve">Two executives disagree on utilization. Who’s right?</w:t>
            </w:r>
          </w:p>
        </w:tc>
        <w:tc>
          <w:tcPr/>
          <w:p>
            <w:pPr>
              <w:pStyle w:val="Compact"/>
              <w:jc w:val="left"/>
            </w:pPr>
            <w:r>
              <w:t xml:space="preserve">Define metric and decision → coverage and denominator → reconcile → publish range</w:t>
            </w:r>
          </w:p>
        </w:tc>
        <w:tc>
          <w:tcPr/>
          <w:p>
            <w:pPr>
              <w:pStyle w:val="Compact"/>
              <w:jc w:val="left"/>
            </w:pPr>
            <w:r>
              <w:t xml:space="preserve">“</w:t>
            </w:r>
            <w:r>
              <w:t xml:space="preserve">You have 48 hours.</w:t>
            </w:r>
            <w:r>
              <w:t xml:space="preserve">”</w:t>
            </w:r>
          </w:p>
        </w:tc>
        <w:tc>
          <w:tcPr/>
          <w:p>
            <w:pPr>
              <w:pStyle w:val="Compact"/>
              <w:jc w:val="left"/>
            </w:pPr>
            <w:r>
              <w:t xml:space="preserve">Trusting a dashboard because it’s automated</w:t>
            </w:r>
          </w:p>
        </w:tc>
      </w:tr>
      <w:tr>
        <w:tc>
          <w:tcPr/>
          <w:p>
            <w:pPr>
              <w:pStyle w:val="Compact"/>
              <w:jc w:val="right"/>
            </w:pPr>
            <w:r>
              <w:t xml:space="preserve">5</w:t>
            </w:r>
          </w:p>
        </w:tc>
        <w:tc>
          <w:tcPr/>
          <w:p>
            <w:pPr>
              <w:pStyle w:val="Compact"/>
              <w:jc w:val="left"/>
            </w:pPr>
            <w:r>
              <w:t xml:space="preserve">How would you forecast office demand? (</w:t>
            </w:r>
            <w:r>
              <w:rPr>
                <w:bCs/>
                <w:b/>
              </w:rPr>
              <w:t xml:space="preserve">now critical</w:t>
            </w:r>
            <w:r>
              <w:t xml:space="preserve">)</w:t>
            </w:r>
          </w:p>
        </w:tc>
        <w:tc>
          <w:tcPr/>
          <w:p>
            <w:pPr>
              <w:pStyle w:val="Compact"/>
              <w:jc w:val="left"/>
            </w:pPr>
            <w:r>
              <w:t xml:space="preserve">Workforce × policy × compliance → peak day → team constraints → stress test</w:t>
            </w:r>
          </w:p>
        </w:tc>
        <w:tc>
          <w:tcPr/>
          <w:p>
            <w:pPr>
              <w:pStyle w:val="Compact"/>
              <w:jc w:val="left"/>
            </w:pPr>
            <w:r>
              <w:t xml:space="preserve">“</w:t>
            </w:r>
            <w:r>
              <w:t xml:space="preserve">What if policy changes again?</w:t>
            </w:r>
            <w:r>
              <w:t xml:space="preserve">”</w:t>
            </w:r>
          </w:p>
        </w:tc>
        <w:tc>
          <w:tcPr/>
          <w:p>
            <w:pPr>
              <w:pStyle w:val="Compact"/>
              <w:jc w:val="left"/>
            </w:pPr>
            <w:r>
              <w:t xml:space="preserve">Extrapolating average attendance</w:t>
            </w:r>
          </w:p>
        </w:tc>
      </w:tr>
      <w:tr>
        <w:tc>
          <w:tcPr/>
          <w:p>
            <w:pPr>
              <w:pStyle w:val="Compact"/>
              <w:jc w:val="right"/>
            </w:pPr>
            <w:r>
              <w:t xml:space="preserve">6</w:t>
            </w:r>
          </w:p>
        </w:tc>
        <w:tc>
          <w:tcPr/>
          <w:p>
            <w:pPr>
              <w:pStyle w:val="Compact"/>
              <w:jc w:val="left"/>
            </w:pPr>
            <w:r>
              <w:t xml:space="preserve">How do you prove analytics caused savings?</w:t>
            </w:r>
          </w:p>
        </w:tc>
        <w:tc>
          <w:tcPr/>
          <w:p>
            <w:pPr>
              <w:pStyle w:val="Compact"/>
              <w:jc w:val="left"/>
            </w:pPr>
            <w:r>
              <w:t xml:space="preserve">Baseline → counterfactual → adoption → financial change → Finance sign-off</w:t>
            </w:r>
          </w:p>
        </w:tc>
        <w:tc>
          <w:tcPr/>
          <w:p>
            <w:pPr>
              <w:pStyle w:val="Compact"/>
              <w:jc w:val="left"/>
            </w:pPr>
            <w:r>
              <w:t xml:space="preserve">“</w:t>
            </w:r>
            <w:r>
              <w:t xml:space="preserve">The lease team says it would have happened anyway.</w:t>
            </w:r>
            <w:r>
              <w:t xml:space="preserve">”</w:t>
            </w:r>
          </w:p>
        </w:tc>
        <w:tc>
          <w:tcPr/>
          <w:p>
            <w:pPr>
              <w:pStyle w:val="Compact"/>
              <w:jc w:val="left"/>
            </w:pPr>
            <w:r>
              <w:t xml:space="preserve">Claiming every saving near a dashboard</w:t>
            </w:r>
          </w:p>
        </w:tc>
      </w:tr>
      <w:tr>
        <w:tc>
          <w:tcPr/>
          <w:p>
            <w:pPr>
              <w:pStyle w:val="Compact"/>
              <w:jc w:val="right"/>
            </w:pPr>
            <w:r>
              <w:t xml:space="preserve">7</w:t>
            </w:r>
          </w:p>
        </w:tc>
        <w:tc>
          <w:tcPr/>
          <w:p>
            <w:pPr>
              <w:pStyle w:val="Compact"/>
              <w:jc w:val="left"/>
            </w:pPr>
            <w:r>
              <w:t xml:space="preserve">The data is poor. How do you deliver value?</w:t>
            </w:r>
          </w:p>
        </w:tc>
        <w:tc>
          <w:tcPr/>
          <w:p>
            <w:pPr>
              <w:pStyle w:val="Compact"/>
              <w:jc w:val="left"/>
            </w:pPr>
            <w:r>
              <w:t xml:space="preserve">Decision-critical fields → minimum controls → bounded pilot → foundations</w:t>
            </w:r>
          </w:p>
        </w:tc>
        <w:tc>
          <w:tcPr/>
          <w:p>
            <w:pPr>
              <w:pStyle w:val="Compact"/>
              <w:jc w:val="left"/>
            </w:pPr>
            <w:r>
              <w:t xml:space="preserve">“</w:t>
            </w:r>
            <w:r>
              <w:t xml:space="preserve">What quality is enough?</w:t>
            </w:r>
            <w:r>
              <w:t xml:space="preserve">”</w:t>
            </w:r>
          </w:p>
        </w:tc>
        <w:tc>
          <w:tcPr/>
          <w:p>
            <w:pPr>
              <w:pStyle w:val="Compact"/>
              <w:jc w:val="left"/>
            </w:pPr>
            <w:r>
              <w:t xml:space="preserve">A year-long cleanup before any delivery</w:t>
            </w:r>
          </w:p>
        </w:tc>
      </w:tr>
      <w:tr>
        <w:tc>
          <w:tcPr/>
          <w:p>
            <w:pPr>
              <w:pStyle w:val="Compact"/>
              <w:jc w:val="right"/>
            </w:pPr>
            <w:r>
              <w:t xml:space="preserve">8</w:t>
            </w:r>
          </w:p>
        </w:tc>
        <w:tc>
          <w:tcPr/>
          <w:p>
            <w:pPr>
              <w:pStyle w:val="Compact"/>
              <w:jc w:val="left"/>
            </w:pPr>
            <w:r>
              <w:t xml:space="preserve">Tell me about a recommendation you got wrong.</w:t>
            </w:r>
          </w:p>
        </w:tc>
        <w:tc>
          <w:tcPr/>
          <w:p>
            <w:pPr>
              <w:pStyle w:val="Compact"/>
              <w:jc w:val="left"/>
            </w:pPr>
            <w:r>
              <w:t xml:space="preserve">Decision → flawed assumption → consequence → correction → lasting control</w:t>
            </w:r>
          </w:p>
        </w:tc>
        <w:tc>
          <w:tcPr/>
          <w:p>
            <w:pPr>
              <w:pStyle w:val="Compact"/>
              <w:jc w:val="left"/>
            </w:pPr>
            <w:r>
              <w:t xml:space="preserve">“</w:t>
            </w:r>
            <w:r>
              <w:t xml:space="preserve">How soon did you tell people?</w:t>
            </w:r>
            <w:r>
              <w:t xml:space="preserve">”</w:t>
            </w:r>
          </w:p>
        </w:tc>
        <w:tc>
          <w:tcPr/>
          <w:p>
            <w:pPr>
              <w:pStyle w:val="Compact"/>
              <w:jc w:val="left"/>
            </w:pPr>
            <w:r>
              <w:t xml:space="preserve">A disguised success story</w:t>
            </w:r>
          </w:p>
        </w:tc>
      </w:tr>
    </w:tbl>
    <w:bookmarkEnd w:id="61"/>
    <w:bookmarkStart w:id="62" w:name="model-answers-for-the-four-hardest"/>
    <w:p>
      <w:pPr>
        <w:pStyle w:val="Heading3"/>
      </w:pPr>
      <w:r>
        <w:t xml:space="preserve">Model answers for the four hardest</w:t>
      </w:r>
    </w:p>
    <w:p>
      <w:pPr>
        <w:pStyle w:val="FirstParagraph"/>
      </w:pPr>
      <w:r>
        <w:t xml:space="preserve">Adapt the words; keep the shape. Bracketed items are yours to fill.</w:t>
      </w:r>
    </w:p>
    <w:p>
      <w:pPr>
        <w:pStyle w:val="BodyText"/>
      </w:pPr>
      <w:r>
        <w:rPr>
          <w:bCs/>
          <w:b/>
        </w:rPr>
        <w:t xml:space="preserve">Q1 — Why hire you without real estate experience?</w:t>
      </w:r>
    </w:p>
    <w:p>
      <w:pPr>
        <w:pStyle w:val="BlockText"/>
      </w:pPr>
      <w:r>
        <w:t xml:space="preserve">“</w:t>
      </w:r>
      <w:r>
        <w:t xml:space="preserve">Because the hardest part of this job isn’t knowing what a TI allowance is; it’s building analytics executives trust enough to act on. I’ve done that in AML, where the bar is a regulator. I built [the operations executive dashboard and KPI framework] that [changed X decision], and QA controls on regulatory pipelines that [result]. What I don’t have yet is judgment on lease economics and building operations. I’d close that deliberately: shadow renewals, walk sites with operators, and pair every early recommendation with a transactions or Finance partner until my calls prove out. Where I’d likely be wrong first is underestimating how long physical change takes, so I’d build lead times into every plan from day one.</w:t>
      </w:r>
      <w:r>
        <w:t xml:space="preserve">”</w:t>
      </w:r>
    </w:p>
    <w:p>
      <w:pPr>
        <w:pStyle w:val="FirstParagraph"/>
      </w:pPr>
      <w:r>
        <w:rPr>
          <w:bCs/>
          <w:b/>
        </w:rPr>
        <w:t xml:space="preserve">Q2 — Why are you ready for senior director?</w:t>
      </w:r>
    </w:p>
    <w:p>
      <w:pPr>
        <w:pStyle w:val="BlockText"/>
      </w:pPr>
      <w:r>
        <w:t xml:space="preserve">“</w:t>
      </w:r>
      <w:r>
        <w:t xml:space="preserve">Three reasons. First, I already set priorities across competing stakeholders: I lead BI for a line of business with [N] sub-teams, and I [declined or reshaped request Y] because it didn’t serve the enterprise outcome. Second, I build durable capability, not just deliverables: I stood up our team’s operating model, [repo structure, runbooks, cadence], so [lead names] own delivery end to end without me. Third, I’m already moving executives from reporting to decision-making: I’m leading the shift of our Monthly Business Review from descriptive to diagnostic and predictive. Senior director is the same work at portfolio scale, with more money and more consequence.</w:t>
      </w:r>
      <w:r>
        <w:t xml:space="preserve">”</w:t>
      </w:r>
    </w:p>
    <w:p>
      <w:pPr>
        <w:pStyle w:val="FirstParagraph"/>
      </w:pPr>
      <w:r>
        <w:rPr>
          <w:bCs/>
          <w:b/>
        </w:rPr>
        <w:t xml:space="preserve">Q3 — The CFO needs 10% savings this year.</w:t>
      </w:r>
    </w:p>
    <w:p>
      <w:pPr>
        <w:pStyle w:val="BlockText"/>
      </w:pPr>
      <w:r>
        <w:t xml:space="preserve">“</w:t>
      </w:r>
      <w:r>
        <w:t xml:space="preserve">First I’d confirm the baseline and whether this year means cash or P&amp;L, because in real estate those differ. Then I’d split spend: most rent is contractually committed this year, so the real pool is discretionary facilities spend, project timing, energy and any exits with notice dates we can still hit. I’d come back within two weeks with an achievable range, say it’s 4 to 6 percent this year with more next year, each option priced with its service and risk impact, and preventive maintenance and critical-site controls protected. If 10 is a hard number, the gap becomes an explicit executive choice about deferring capital or accepting risk, not something I hide in an optimistic forecast.</w:t>
      </w:r>
      <w:r>
        <w:t xml:space="preserve">”</w:t>
      </w:r>
    </w:p>
    <w:p>
      <w:pPr>
        <w:pStyle w:val="FirstParagraph"/>
      </w:pPr>
      <w:r>
        <w:rPr>
          <w:bCs/>
          <w:b/>
        </w:rPr>
        <w:t xml:space="preserve">Q5 — How would you forecast office demand?</w:t>
      </w:r>
    </w:p>
    <w:p>
      <w:pPr>
        <w:pStyle w:val="BlockText"/>
      </w:pPr>
      <w:r>
        <w:t xml:space="preserve">“</w:t>
      </w:r>
      <w:r>
        <w:t xml:space="preserve">Not from last year’s badge data, because the four-day policy moved the level. I’d build it bottom-up: assigned headcount by team and site from HR, times the policy expectation, times a measured compliance rate from the months since it took effect, adjusted for leave, travel and exemptions. Then I’d model the peak day, not the average, since midweek is when we run out of seats, and layer in team adjacency and growth plans. I’d publish base, low and high cases, and flag the sites where the high case exceeds capacity. Those become the decision list: buy flex space, reassign neighbourhoods, or stagger team days.</w:t>
      </w:r>
      <w:r>
        <w:t xml:space="preserve">”</w:t>
      </w:r>
    </w:p>
    <w:bookmarkEnd w:id="62"/>
    <w:bookmarkStart w:id="63" w:name="the-remaining-fourteen"/>
    <w:p>
      <w:pPr>
        <w:pStyle w:val="Heading3"/>
      </w:pPr>
      <w:r>
        <w:t xml:space="preserve">The remaining fourteen</w:t>
      </w:r>
    </w:p>
    <w:p>
      <w:pPr>
        <w:pStyle w:val="FirstParagraph"/>
      </w:pPr>
      <w:r>
        <w:t xml:space="preserve">Run these once each after the top eight.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Full-credit signal</w:t>
            </w:r>
          </w:p>
        </w:tc>
      </w:tr>
      <w:tr>
        <w:tc>
          <w:tcPr/>
          <w:p>
            <w:pPr>
              <w:pStyle w:val="Compact"/>
              <w:jc w:val="left"/>
            </w:pPr>
            <w:r>
              <w:t xml:space="preserve">Would you recommend an unpopular site closure?</w:t>
            </w:r>
          </w:p>
        </w:tc>
        <w:tc>
          <w:tcPr/>
          <w:p>
            <w:pPr>
              <w:pStyle w:val="Compact"/>
              <w:jc w:val="left"/>
            </w:pPr>
            <w:r>
              <w:t xml:space="preserve">NPV is necessary, not sufficient; includes customers, staff, regulatory notice, transition</w:t>
            </w:r>
          </w:p>
        </w:tc>
      </w:tr>
      <w:tr>
        <w:tc>
          <w:tcPr/>
          <w:p>
            <w:pPr>
              <w:pStyle w:val="Compact"/>
              <w:jc w:val="left"/>
            </w:pPr>
            <w:r>
              <w:t xml:space="preserve">Vendor meets SLAs but users are unhappy. Why?</w:t>
            </w:r>
          </w:p>
        </w:tc>
        <w:tc>
          <w:tcPr/>
          <w:p>
            <w:pPr>
              <w:pStyle w:val="Compact"/>
              <w:jc w:val="left"/>
            </w:pPr>
            <w:r>
              <w:t xml:space="preserve">Separates contract compliance from service adequacy; fixes SLA design</w:t>
            </w:r>
          </w:p>
        </w:tc>
      </w:tr>
      <w:tr>
        <w:tc>
          <w:tcPr/>
          <w:p>
            <w:pPr>
              <w:pStyle w:val="Compact"/>
              <w:jc w:val="left"/>
            </w:pPr>
            <w:r>
              <w:t xml:space="preserve">HR wants collaboration; Finance wants fewer desks.</w:t>
            </w:r>
          </w:p>
        </w:tc>
        <w:tc>
          <w:tcPr/>
          <w:p>
            <w:pPr>
              <w:pStyle w:val="Compact"/>
              <w:jc w:val="left"/>
            </w:pPr>
            <w:r>
              <w:t xml:space="preserve">Clarifies who decides and on what criteria; pilots before committing</w:t>
            </w:r>
          </w:p>
        </w:tc>
      </w:tr>
      <w:tr>
        <w:tc>
          <w:tcPr/>
          <w:p>
            <w:pPr>
              <w:pStyle w:val="Compact"/>
              <w:jc w:val="left"/>
            </w:pPr>
            <w:r>
              <w:t xml:space="preserve">What are your first three metrics?</w:t>
            </w:r>
          </w:p>
        </w:tc>
        <w:tc>
          <w:tcPr/>
          <w:p>
            <w:pPr>
              <w:pStyle w:val="Compact"/>
              <w:jc w:val="left"/>
            </w:pPr>
            <w:r>
              <w:t xml:space="preserve">Cost forecast, capacity exposure, critical-site reliability, each tied to a decision; add the lease-event calendar</w:t>
            </w:r>
          </w:p>
        </w:tc>
      </w:tr>
      <w:tr>
        <w:tc>
          <w:tcPr/>
          <w:p>
            <w:pPr>
              <w:pStyle w:val="Compact"/>
              <w:jc w:val="left"/>
            </w:pPr>
            <w:r>
              <w:t xml:space="preserve">Would you replace Tableau with Power BI?</w:t>
            </w:r>
          </w:p>
        </w:tc>
        <w:tc>
          <w:tcPr/>
          <w:p>
            <w:pPr>
              <w:pStyle w:val="Compact"/>
              <w:jc w:val="left"/>
            </w:pPr>
            <w:r>
              <w:t xml:space="preserve">Starts from users and enterprise standards; counts migration and adoption cost</w:t>
            </w:r>
          </w:p>
        </w:tc>
      </w:tr>
      <w:tr>
        <w:tc>
          <w:tcPr/>
          <w:p>
            <w:pPr>
              <w:pStyle w:val="Compact"/>
              <w:jc w:val="left"/>
            </w:pPr>
            <w:r>
              <w:t xml:space="preserve">What would you stop doing?</w:t>
            </w:r>
          </w:p>
        </w:tc>
        <w:tc>
          <w:tcPr/>
          <w:p>
            <w:pPr>
              <w:pStyle w:val="Compact"/>
              <w:jc w:val="left"/>
            </w:pPr>
            <w:r>
              <w:t xml:space="preserve">Retires reports without owners after checking control obligations; meets the underlying need</w:t>
            </w:r>
          </w:p>
        </w:tc>
      </w:tr>
      <w:tr>
        <w:tc>
          <w:tcPr/>
          <w:p>
            <w:pPr>
              <w:pStyle w:val="Compact"/>
              <w:jc w:val="left"/>
            </w:pPr>
            <w:r>
              <w:t xml:space="preserve">How would you prioritize capital projects?</w:t>
            </w:r>
          </w:p>
        </w:tc>
        <w:tc>
          <w:tcPr/>
          <w:p>
            <w:pPr>
              <w:pStyle w:val="Compact"/>
              <w:jc w:val="left"/>
            </w:pPr>
            <w:r>
              <w:t xml:space="preserve">Safety and continuity gates first, then condition, value, lifecycle cost, capacity</w:t>
            </w:r>
          </w:p>
        </w:tc>
      </w:tr>
      <w:tr>
        <w:tc>
          <w:tcPr/>
          <w:p>
            <w:pPr>
              <w:pStyle w:val="Compact"/>
              <w:jc w:val="left"/>
            </w:pPr>
            <w:r>
              <w:t xml:space="preserve">How do you lead managers stronger technically than you?</w:t>
            </w:r>
          </w:p>
        </w:tc>
        <w:tc>
          <w:tcPr/>
          <w:p>
            <w:pPr>
              <w:pStyle w:val="Compact"/>
              <w:jc w:val="left"/>
            </w:pPr>
            <w:r>
              <w:t xml:space="preserve">Sets outcomes and standards; clear intervention thresholds</w:t>
            </w:r>
          </w:p>
        </w:tc>
      </w:tr>
      <w:tr>
        <w:tc>
          <w:tcPr/>
          <w:p>
            <w:pPr>
              <w:pStyle w:val="Compact"/>
              <w:jc w:val="left"/>
            </w:pPr>
            <w:r>
              <w:t xml:space="preserve">Your best analyst can’t influence stakeholders.</w:t>
            </w:r>
          </w:p>
        </w:tc>
        <w:tc>
          <w:tcPr/>
          <w:p>
            <w:pPr>
              <w:pStyle w:val="Compact"/>
              <w:jc w:val="left"/>
            </w:pPr>
            <w:r>
              <w:t xml:space="preserve">Specific coaching; credible specialist path</w:t>
            </w:r>
          </w:p>
        </w:tc>
      </w:tr>
      <w:tr>
        <w:tc>
          <w:tcPr/>
          <w:p>
            <w:pPr>
              <w:pStyle w:val="Compact"/>
              <w:jc w:val="left"/>
            </w:pPr>
            <w:r>
              <w:t xml:space="preserve">What is your AI strategy?</w:t>
            </w:r>
          </w:p>
        </w:tc>
        <w:tc>
          <w:tcPr/>
          <w:p>
            <w:pPr>
              <w:pStyle w:val="Compact"/>
              <w:jc w:val="left"/>
            </w:pPr>
            <w:r>
              <w:t xml:space="preserve">Bounded uses, human review, measured accuracy; lease extraction needs source traceability</w:t>
            </w:r>
          </w:p>
        </w:tc>
      </w:tr>
      <w:tr>
        <w:tc>
          <w:tcPr/>
          <w:p>
            <w:pPr>
              <w:pStyle w:val="Compact"/>
              <w:jc w:val="left"/>
            </w:pPr>
            <w:r>
              <w:t xml:space="preserve">A business unit rejects your cost allocation.</w:t>
            </w:r>
          </w:p>
        </w:tc>
        <w:tc>
          <w:tcPr/>
          <w:p>
            <w:pPr>
              <w:pStyle w:val="Compact"/>
              <w:jc w:val="left"/>
            </w:pPr>
            <w:r>
              <w:t xml:space="preserve">Separates total cost from allocation; weighs fairness and incentives</w:t>
            </w:r>
          </w:p>
        </w:tc>
      </w:tr>
      <w:tr>
        <w:tc>
          <w:tcPr/>
          <w:p>
            <w:pPr>
              <w:pStyle w:val="Compact"/>
              <w:jc w:val="left"/>
            </w:pPr>
            <w:r>
              <w:t xml:space="preserve">Your roadmap is twice your capacity.</w:t>
            </w:r>
          </w:p>
        </w:tc>
        <w:tc>
          <w:tcPr/>
          <w:p>
            <w:pPr>
              <w:pStyle w:val="Compact"/>
              <w:jc w:val="left"/>
            </w:pPr>
            <w:r>
              <w:t xml:space="preserve">Makes trade-offs visible and gets explicit deferral decisions</w:t>
            </w:r>
          </w:p>
        </w:tc>
      </w:tr>
      <w:tr>
        <w:tc>
          <w:tcPr/>
          <w:p>
            <w:pPr>
              <w:pStyle w:val="Compact"/>
              <w:jc w:val="left"/>
            </w:pPr>
            <w:r>
              <w:t xml:space="preserve">How does real estate support resilience?</w:t>
            </w:r>
          </w:p>
        </w:tc>
        <w:tc>
          <w:tcPr/>
          <w:p>
            <w:pPr>
              <w:pStyle w:val="Compact"/>
              <w:jc w:val="left"/>
            </w:pPr>
            <w:r>
              <w:t xml:space="preserve">Maps critical operations to sites; a backup building is not tested recovery</w:t>
            </w:r>
          </w:p>
        </w:tc>
      </w:tr>
      <w:tr>
        <w:tc>
          <w:tcPr/>
          <w:p>
            <w:pPr>
              <w:pStyle w:val="Compact"/>
              <w:jc w:val="left"/>
            </w:pPr>
            <w:r>
              <w:t xml:space="preserve">What should we expect from you after a year?</w:t>
            </w:r>
          </w:p>
        </w:tc>
        <w:tc>
          <w:tcPr/>
          <w:p>
            <w:pPr>
              <w:pStyle w:val="Compact"/>
              <w:jc w:val="left"/>
            </w:pPr>
            <w:r>
              <w:t xml:space="preserve">A process for credible targets, not invented savings</w:t>
            </w:r>
          </w:p>
        </w:tc>
      </w:tr>
    </w:tbl>
    <w:p>
      <w:pPr>
        <w:pStyle w:val="BodyText"/>
      </w:pPr>
      <w:r>
        <w:rPr>
          <w:bCs/>
          <w:b/>
        </w:rPr>
        <w:t xml:space="preserve">New questions to add to your practice: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Full-credit signal</w:t>
            </w:r>
          </w:p>
        </w:tc>
      </w:tr>
      <w:tr>
        <w:tc>
          <w:tcPr/>
          <w:p>
            <w:pPr>
              <w:pStyle w:val="Compact"/>
              <w:jc w:val="left"/>
            </w:pPr>
            <w:r>
              <w:t xml:space="preserve">The market’s tightened. How does that change our strategy?</w:t>
            </w:r>
          </w:p>
        </w:tc>
        <w:tc>
          <w:tcPr/>
          <w:p>
            <w:pPr>
              <w:pStyle w:val="Compact"/>
              <w:jc w:val="left"/>
            </w:pPr>
            <w:r>
              <w:t xml:space="preserve">Earlier renewal engagement, more value on existing options, sublease surplus now recovers more</w:t>
            </w:r>
          </w:p>
        </w:tc>
      </w:tr>
      <w:tr>
        <w:tc>
          <w:tcPr/>
          <w:p>
            <w:pPr>
              <w:pStyle w:val="Compact"/>
              <w:jc w:val="left"/>
            </w:pPr>
            <w:r>
              <w:t xml:space="preserve">How would you support climate disclosure?</w:t>
            </w:r>
          </w:p>
        </w:tc>
        <w:tc>
          <w:tcPr/>
          <w:p>
            <w:pPr>
              <w:pStyle w:val="Compact"/>
              <w:jc w:val="left"/>
            </w:pPr>
            <w:r>
              <w:t xml:space="preserve">Buildings drive Scope 1 and 2; energy data needs disclosure-grade controls like regulatory reporting</w:t>
            </w:r>
          </w:p>
        </w:tc>
      </w:tr>
      <w:tr>
        <w:tc>
          <w:tcPr/>
          <w:p>
            <w:pPr>
              <w:pStyle w:val="Compact"/>
              <w:jc w:val="left"/>
            </w:pPr>
            <w:r>
              <w:t xml:space="preserve">Our outsourced provider owns the data. What do you do?</w:t>
            </w:r>
          </w:p>
        </w:tc>
        <w:tc>
          <w:tcPr/>
          <w:p>
            <w:pPr>
              <w:pStyle w:val="Compact"/>
              <w:jc w:val="left"/>
            </w:pPr>
            <w:r>
              <w:t xml:space="preserve">Contract rights to data and quality; joint definitions; reconcile, don’t just consume</w:t>
            </w:r>
          </w:p>
        </w:tc>
      </w:tr>
    </w:tbl>
    <w:bookmarkEnd w:id="63"/>
    <w:bookmarkEnd w:id="64"/>
    <w:bookmarkStart w:id="72" w:name="pitch-stories-questions-and-cheat-sheet"/>
    <w:p>
      <w:pPr>
        <w:pStyle w:val="Heading2"/>
      </w:pPr>
      <w:r>
        <w:t xml:space="preserve">Pitch, stories, questions and cheat sheet</w:t>
      </w:r>
    </w:p>
    <w:bookmarkStart w:id="65" w:name="second-positioning-pitch"/>
    <w:p>
      <w:pPr>
        <w:pStyle w:val="Heading3"/>
      </w:pPr>
      <w:r>
        <w:t xml:space="preserve">90-second positioning pitch</w:t>
      </w:r>
    </w:p>
    <w:p>
      <w:pPr>
        <w:pStyle w:val="FirstParagraph"/>
      </w:pPr>
      <w:r>
        <w:t xml:space="preserve">Revised to carry a proof point in the first 30 seconds, rather than saving it for the end.</w:t>
      </w:r>
    </w:p>
    <w:p>
      <w:pPr>
        <w:pStyle w:val="BlockText"/>
      </w:pPr>
      <w:r>
        <w:t xml:space="preserve">“I lead business intelligence for an AML line of business, where the bar for data is a regulator and the bar for insight is an executive making a consequential call. I’ve built [the operations executive dashboard and KPI framework] that [changed X], and I’m now moving our Monthly Business Review from describing what happened to recommending what to do.</w:t>
      </w:r>
    </w:p>
    <w:p>
      <w:pPr>
        <w:pStyle w:val="BlockText"/>
      </w:pPr>
      <w:r>
        <w:t xml:space="preserve">“This role interests me because corporate real estate is where those disciplines meet some of the bank’s largest long-term commitments, and the context just changed: four-day office expectations and a tighter Toronto market mean capacity and renewal leverage now matter as much as cost.</w:t>
      </w:r>
    </w:p>
    <w:p>
      <w:pPr>
        <w:pStyle w:val="BlockText"/>
      </w:pPr>
      <w:r>
        <w:t xml:space="preserve">“I’d be explicit about what I need to learn: lease economics, transactions and building operations. I’d partner closely with experienced real estate and Finance leaders on those.</w:t>
      </w:r>
    </w:p>
    <w:p>
      <w:pPr>
        <w:pStyle w:val="BlockText"/>
      </w:pPr>
      <w:r>
        <w:t xml:space="preserve">“</w:t>
      </w:r>
      <w:r>
        <w:t xml:space="preserve">At senior-director level my focus would be the function: priorities set around decisions, strong managers, trusted measures, and analysis that leads to accountable action. Early on I’d build the lease-event calendar, establish trust in the critical data, and prove value on a small number of high-stakes decisions.</w:t>
      </w:r>
      <w:r>
        <w:t xml:space="preserve">”</w:t>
      </w:r>
    </w:p>
    <w:bookmarkEnd w:id="65"/>
    <w:bookmarkStart w:id="66" w:name="five-star-stories-pre-mapped"/>
    <w:p>
      <w:pPr>
        <w:pStyle w:val="Heading3"/>
      </w:pPr>
      <w:r>
        <w:t xml:space="preserve">Five STAR stories, pre-mapped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Story</w:t>
            </w:r>
          </w:p>
        </w:tc>
        <w:tc>
          <w:tcPr/>
          <w:p>
            <w:pPr>
              <w:pStyle w:val="Compact"/>
              <w:jc w:val="left"/>
            </w:pPr>
            <w:r>
              <w:t xml:space="preserve">Candidate from your work</w:t>
            </w:r>
          </w:p>
        </w:tc>
        <w:tc>
          <w:tcPr/>
          <w:p>
            <w:pPr>
              <w:pStyle w:val="Compact"/>
              <w:jc w:val="left"/>
            </w:pPr>
            <w:r>
              <w:t xml:space="preserve">Fill in</w:t>
            </w:r>
          </w:p>
        </w:tc>
      </w:tr>
      <w:tr>
        <w:tc>
          <w:tcPr/>
          <w:p>
            <w:pPr>
              <w:pStyle w:val="Compact"/>
              <w:jc w:val="left"/>
            </w:pPr>
            <w:r>
              <w:t xml:space="preserve">Challenged an executive</w:t>
            </w:r>
          </w:p>
        </w:tc>
        <w:tc>
          <w:tcPr/>
          <w:p>
            <w:pPr>
              <w:pStyle w:val="Compact"/>
              <w:jc w:val="left"/>
            </w:pPr>
            <w:r>
              <w:t xml:space="preserve">MBR modernization pitch: pushing beyond descriptive reporting</w:t>
            </w:r>
          </w:p>
        </w:tc>
        <w:tc>
          <w:tcPr/>
          <w:p>
            <w:pPr>
              <w:pStyle w:val="Compact"/>
              <w:jc w:val="left"/>
            </w:pPr>
            <w:r>
              <w:t xml:space="preserve">Resistance you met, evidence used, decision and result</w:t>
            </w:r>
          </w:p>
        </w:tc>
      </w:tr>
      <w:tr>
        <w:tc>
          <w:tcPr/>
          <w:p>
            <w:pPr>
              <w:pStyle w:val="Compact"/>
              <w:jc w:val="left"/>
            </w:pPr>
            <w:r>
              <w:t xml:space="preserve">Fixed disputed data</w:t>
            </w:r>
          </w:p>
        </w:tc>
        <w:tc>
          <w:tcPr/>
          <w:p>
            <w:pPr>
              <w:pStyle w:val="Compact"/>
              <w:jc w:val="left"/>
            </w:pPr>
            <w:r>
              <w:t xml:space="preserve">QA framework for regulatory SQL-to-Excel pipelines</w:t>
            </w:r>
          </w:p>
        </w:tc>
        <w:tc>
          <w:tcPr/>
          <w:p>
            <w:pPr>
              <w:pStyle w:val="Compact"/>
              <w:jc w:val="left"/>
            </w:pPr>
            <w:r>
              <w:t xml:space="preserve">Consequence, root cause, control added, improvement</w:t>
            </w:r>
          </w:p>
        </w:tc>
      </w:tr>
      <w:tr>
        <w:tc>
          <w:tcPr/>
          <w:p>
            <w:pPr>
              <w:pStyle w:val="Compact"/>
              <w:jc w:val="left"/>
            </w:pPr>
            <w:r>
              <w:t xml:space="preserve">Prioritized scarce resources</w:t>
            </w:r>
          </w:p>
        </w:tc>
        <w:tc>
          <w:tcPr/>
          <w:p>
            <w:pPr>
              <w:pStyle w:val="Compact"/>
              <w:jc w:val="left"/>
            </w:pPr>
            <w:r>
              <w:t xml:space="preserve">BI team serving multiple sub-teams</w:t>
            </w:r>
          </w:p>
        </w:tc>
        <w:tc>
          <w:tcPr/>
          <w:p>
            <w:pPr>
              <w:pStyle w:val="Compact"/>
              <w:jc w:val="left"/>
            </w:pPr>
            <w:r>
              <w:t xml:space="preserve">Competing asks, criteria, what you declined, outcome</w:t>
            </w:r>
          </w:p>
        </w:tc>
      </w:tr>
      <w:tr>
        <w:tc>
          <w:tcPr/>
          <w:p>
            <w:pPr>
              <w:pStyle w:val="Compact"/>
              <w:jc w:val="left"/>
            </w:pPr>
            <w:r>
              <w:t xml:space="preserve">Developed a leader</w:t>
            </w:r>
          </w:p>
        </w:tc>
        <w:tc>
          <w:tcPr/>
          <w:p>
            <w:pPr>
              <w:pStyle w:val="Compact"/>
              <w:jc w:val="left"/>
            </w:pPr>
            <w:r>
              <w:t xml:space="preserve">A lead who now owns delivery under your team’s operating model</w:t>
            </w:r>
          </w:p>
        </w:tc>
        <w:tc>
          <w:tcPr/>
          <w:p>
            <w:pPr>
              <w:pStyle w:val="Compact"/>
              <w:jc w:val="left"/>
            </w:pPr>
            <w:r>
              <w:t xml:space="preserve">Gap, delegation and coaching, independent result</w:t>
            </w:r>
          </w:p>
        </w:tc>
      </w:tr>
      <w:tr>
        <w:tc>
          <w:tcPr/>
          <w:p>
            <w:pPr>
              <w:pStyle w:val="Compact"/>
              <w:jc w:val="left"/>
            </w:pPr>
            <w:r>
              <w:t xml:space="preserve">Owned a failure</w:t>
            </w:r>
          </w:p>
        </w:tc>
        <w:tc>
          <w:tcPr/>
          <w:p>
            <w:pPr>
              <w:pStyle w:val="Compact"/>
              <w:jc w:val="left"/>
            </w:pPr>
            <w:r>
              <w:t xml:space="preserve">[Your example]</w:t>
            </w:r>
          </w:p>
        </w:tc>
        <w:tc>
          <w:tcPr/>
          <w:p>
            <w:pPr>
              <w:pStyle w:val="Compact"/>
              <w:jc w:val="left"/>
            </w:pPr>
            <w:r>
              <w:t xml:space="preserve">Decision, mistake, how quickly you disclosed it, fix, changed process</w:t>
            </w:r>
          </w:p>
        </w:tc>
      </w:tr>
    </w:tbl>
    <w:p>
      <w:pPr>
        <w:pStyle w:val="BodyText"/>
      </w:pPr>
      <w:r>
        <w:t xml:space="preserve">State your contribution vs the team’s, with a result you can substantiate. If you haven’t managed managers, say so and describe the closest scope.</w:t>
      </w:r>
    </w:p>
    <w:bookmarkEnd w:id="66"/>
    <w:bookmarkStart w:id="67" w:name="questions-to-ask-the-hiring-executive"/>
    <w:p>
      <w:pPr>
        <w:pStyle w:val="Heading3"/>
      </w:pPr>
      <w:r>
        <w:t xml:space="preserve">Questions to ask the hiring executive</w:t>
      </w:r>
    </w:p>
    <w:p>
      <w:pPr>
        <w:pStyle w:val="FirstParagraph"/>
      </w:pPr>
      <w:r>
        <w:t xml:space="preserve">Ask three or four; the first two signal senior-director thinking.</w:t>
      </w:r>
    </w:p>
    <w:p>
      <w:pPr>
        <w:numPr>
          <w:ilvl w:val="0"/>
          <w:numId w:val="1010"/>
        </w:numPr>
        <w:pStyle w:val="Compact"/>
      </w:pPr>
      <w:r>
        <w:t xml:space="preserve">Which three decisions most need better evidence today?</w:t>
      </w:r>
    </w:p>
    <w:p>
      <w:pPr>
        <w:numPr>
          <w:ilvl w:val="0"/>
          <w:numId w:val="1010"/>
        </w:numPr>
        <w:pStyle w:val="Compact"/>
      </w:pPr>
      <w:r>
        <w:t xml:space="preserve">Is this a reporting, transformation or decision-support mandate?</w:t>
      </w:r>
    </w:p>
    <w:p>
      <w:pPr>
        <w:numPr>
          <w:ilvl w:val="0"/>
          <w:numId w:val="1010"/>
        </w:numPr>
        <w:pStyle w:val="Compact"/>
      </w:pPr>
      <w:r>
        <w:t xml:space="preserve">How has the four-day expectation changed your capacity picture and renewal plans? (</w:t>
      </w:r>
      <w:r>
        <w:rPr>
          <w:bCs/>
          <w:b/>
        </w:rPr>
        <w:t xml:space="preserve">new</w:t>
      </w:r>
      <w:r>
        <w:t xml:space="preserve">)</w:t>
      </w:r>
    </w:p>
    <w:p>
      <w:pPr>
        <w:numPr>
          <w:ilvl w:val="0"/>
          <w:numId w:val="1010"/>
        </w:numPr>
        <w:pStyle w:val="Compact"/>
      </w:pPr>
      <w:r>
        <w:t xml:space="preserve">Which major lease events or capital decisions are coming in the next 24 months?</w:t>
      </w:r>
    </w:p>
    <w:p>
      <w:pPr>
        <w:numPr>
          <w:ilvl w:val="0"/>
          <w:numId w:val="1010"/>
        </w:numPr>
        <w:pStyle w:val="Compact"/>
      </w:pPr>
      <w:r>
        <w:t xml:space="preserve">Where does lease and facilities data live, and how much sits with outsourced providers? (</w:t>
      </w:r>
      <w:r>
        <w:rPr>
          <w:bCs/>
          <w:b/>
        </w:rPr>
        <w:t xml:space="preserve">new</w:t>
      </w:r>
      <w:r>
        <w:t xml:space="preserve">)</w:t>
      </w:r>
    </w:p>
    <w:p>
      <w:pPr>
        <w:numPr>
          <w:ilvl w:val="0"/>
          <w:numId w:val="1010"/>
        </w:numPr>
        <w:pStyle w:val="Compact"/>
      </w:pPr>
      <w:r>
        <w:t xml:space="preserve">Where does accountability sit for portfolio strategy, workplace policy and benefits?</w:t>
      </w:r>
    </w:p>
    <w:p>
      <w:pPr>
        <w:numPr>
          <w:ilvl w:val="0"/>
          <w:numId w:val="1010"/>
        </w:numPr>
        <w:pStyle w:val="Compact"/>
      </w:pPr>
      <w:r>
        <w:t xml:space="preserve">What has stopped past analytics efforts from changing decisions?</w:t>
      </w:r>
    </w:p>
    <w:p>
      <w:pPr>
        <w:numPr>
          <w:ilvl w:val="0"/>
          <w:numId w:val="1010"/>
        </w:numPr>
        <w:pStyle w:val="Compact"/>
      </w:pPr>
      <w:r>
        <w:t xml:space="preserve">How are third-party performance and critical-site resilience assessed?</w:t>
      </w:r>
    </w:p>
    <w:p>
      <w:pPr>
        <w:numPr>
          <w:ilvl w:val="0"/>
          <w:numId w:val="1010"/>
        </w:numPr>
        <w:pStyle w:val="Compact"/>
      </w:pPr>
      <w:r>
        <w:t xml:space="preserve">What authority would this role have over priorities, talent and budget?</w:t>
      </w:r>
    </w:p>
    <w:p>
      <w:pPr>
        <w:numPr>
          <w:ilvl w:val="0"/>
          <w:numId w:val="1010"/>
        </w:numPr>
        <w:pStyle w:val="Compact"/>
      </w:pPr>
      <w:r>
        <w:t xml:space="preserve">What would make you say after a year that hiring me was right?</w:t>
      </w:r>
    </w:p>
    <w:bookmarkEnd w:id="67"/>
    <w:bookmarkStart w:id="68" w:name="glossary"/>
    <w:p>
      <w:pPr>
        <w:pStyle w:val="Heading3"/>
      </w:pPr>
      <w:r>
        <w:t xml:space="preserve">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Additional rent</w:t>
            </w:r>
          </w:p>
        </w:tc>
        <w:tc>
          <w:tcPr/>
          <w:p>
            <w:pPr>
              <w:pStyle w:val="Compact"/>
              <w:jc w:val="left"/>
            </w:pPr>
            <w:r>
              <w:t xml:space="preserve">Operating costs and taxes passed through on top of net rent</w:t>
            </w:r>
          </w:p>
        </w:tc>
      </w:tr>
      <w:tr>
        <w:tc>
          <w:tcPr/>
          <w:p>
            <w:pPr>
              <w:pStyle w:val="Compact"/>
              <w:jc w:val="left"/>
            </w:pPr>
            <w:r>
              <w:t xml:space="preserve">Critical operation</w:t>
            </w:r>
          </w:p>
        </w:tc>
        <w:tc>
          <w:tcPr/>
          <w:p>
            <w:pPr>
              <w:pStyle w:val="Compact"/>
              <w:jc w:val="left"/>
            </w:pPr>
            <w:r>
              <w:t xml:space="preserve">An operation whose disruption has material consequences</w:t>
            </w:r>
          </w:p>
        </w:tc>
      </w:tr>
      <w:tr>
        <w:tc>
          <w:tcPr/>
          <w:p>
            <w:pPr>
              <w:pStyle w:val="Compact"/>
              <w:jc w:val="left"/>
            </w:pPr>
            <w:r>
              <w:t xml:space="preserve">Cost avoidance</w:t>
            </w:r>
          </w:p>
        </w:tc>
        <w:tc>
          <w:tcPr/>
          <w:p>
            <w:pPr>
              <w:pStyle w:val="Compact"/>
              <w:jc w:val="left"/>
            </w:pPr>
            <w:r>
              <w:t xml:space="preserve">Future spending prevented against a credible baseline</w:t>
            </w:r>
          </w:p>
        </w:tc>
      </w:tr>
      <w:tr>
        <w:tc>
          <w:tcPr/>
          <w:p>
            <w:pPr>
              <w:pStyle w:val="Compact"/>
              <w:jc w:val="left"/>
            </w:pPr>
            <w:r>
              <w:t xml:space="preserve">Counterfactual</w:t>
            </w:r>
          </w:p>
        </w:tc>
        <w:tc>
          <w:tcPr/>
          <w:p>
            <w:pPr>
              <w:pStyle w:val="Compact"/>
              <w:jc w:val="left"/>
            </w:pPr>
            <w:r>
              <w:t xml:space="preserve">What would likely have happened without the initiative</w:t>
            </w:r>
          </w:p>
        </w:tc>
      </w:tr>
      <w:tr>
        <w:tc>
          <w:tcPr/>
          <w:p>
            <w:pPr>
              <w:pStyle w:val="Compact"/>
              <w:jc w:val="left"/>
            </w:pPr>
            <w:r>
              <w:t xml:space="preserve">Deferred maintenance</w:t>
            </w:r>
          </w:p>
        </w:tc>
        <w:tc>
          <w:tcPr/>
          <w:p>
            <w:pPr>
              <w:pStyle w:val="Compact"/>
              <w:jc w:val="left"/>
            </w:pPr>
            <w:r>
              <w:t xml:space="preserve">Maintenance pushed into a future period</w:t>
            </w:r>
          </w:p>
        </w:tc>
      </w:tr>
      <w:tr>
        <w:tc>
          <w:tcPr/>
          <w:p>
            <w:pPr>
              <w:pStyle w:val="Compact"/>
              <w:jc w:val="left"/>
            </w:pPr>
            <w:r>
              <w:t xml:space="preserve">Expiry ladder</w:t>
            </w:r>
          </w:p>
        </w:tc>
        <w:tc>
          <w:tcPr/>
          <w:p>
            <w:pPr>
              <w:pStyle w:val="Compact"/>
              <w:jc w:val="left"/>
            </w:pPr>
            <w:r>
              <w:t xml:space="preserve">Share of area expiring by year</w:t>
            </w:r>
          </w:p>
        </w:tc>
      </w:tr>
      <w:tr>
        <w:tc>
          <w:tcPr/>
          <w:p>
            <w:pPr>
              <w:pStyle w:val="Compact"/>
              <w:jc w:val="left"/>
            </w:pPr>
            <w:r>
              <w:t xml:space="preserve">Fit-out</w:t>
            </w:r>
          </w:p>
        </w:tc>
        <w:tc>
          <w:tcPr/>
          <w:p>
            <w:pPr>
              <w:pStyle w:val="Compact"/>
              <w:jc w:val="left"/>
            </w:pPr>
            <w:r>
              <w:t xml:space="preserve">Work that makes space ready to occupy</w:t>
            </w:r>
          </w:p>
        </w:tc>
      </w:tr>
      <w:tr>
        <w:tc>
          <w:tcPr/>
          <w:p>
            <w:pPr>
              <w:pStyle w:val="Compact"/>
              <w:jc w:val="left"/>
            </w:pPr>
            <w:r>
              <w:t xml:space="preserve">IFM</w:t>
            </w:r>
          </w:p>
        </w:tc>
        <w:tc>
          <w:tcPr/>
          <w:p>
            <w:pPr>
              <w:pStyle w:val="Compact"/>
              <w:jc w:val="left"/>
            </w:pPr>
            <w:r>
              <w:t xml:space="preserve">Integrated facilities management: outsourced bundle of building services</w:t>
            </w:r>
          </w:p>
        </w:tc>
      </w:tr>
      <w:tr>
        <w:tc>
          <w:tcPr/>
          <w:p>
            <w:pPr>
              <w:pStyle w:val="Compact"/>
              <w:jc w:val="left"/>
            </w:pPr>
            <w:r>
              <w:t xml:space="preserve">Lease event</w:t>
            </w:r>
          </w:p>
        </w:tc>
        <w:tc>
          <w:tcPr/>
          <w:p>
            <w:pPr>
              <w:pStyle w:val="Compact"/>
              <w:jc w:val="left"/>
            </w:pPr>
            <w:r>
              <w:t xml:space="preserve">Expiry, option notice, rent review or other contractual milestone</w:t>
            </w:r>
          </w:p>
        </w:tc>
      </w:tr>
      <w:tr>
        <w:tc>
          <w:tcPr/>
          <w:p>
            <w:pPr>
              <w:pStyle w:val="Compact"/>
              <w:jc w:val="left"/>
            </w:pPr>
            <w:r>
              <w:t xml:space="preserve">Lease liability / right-of-use asset</w:t>
            </w:r>
          </w:p>
        </w:tc>
        <w:tc>
          <w:tcPr/>
          <w:p>
            <w:pPr>
              <w:pStyle w:val="Compact"/>
              <w:jc w:val="left"/>
            </w:pPr>
            <w:r>
              <w:t xml:space="preserve">IFRS 16 balance-sheet recognition of a lease</w:t>
            </w:r>
          </w:p>
        </w:tc>
      </w:tr>
      <w:tr>
        <w:tc>
          <w:tcPr/>
          <w:p>
            <w:pPr>
              <w:pStyle w:val="Compact"/>
              <w:jc w:val="left"/>
            </w:pPr>
            <w:r>
              <w:t xml:space="preserve">Net rent</w:t>
            </w:r>
          </w:p>
        </w:tc>
        <w:tc>
          <w:tcPr/>
          <w:p>
            <w:pPr>
              <w:pStyle w:val="Compact"/>
              <w:jc w:val="left"/>
            </w:pPr>
            <w:r>
              <w:t xml:space="preserve">Base rent before additional rent</w:t>
            </w:r>
          </w:p>
        </w:tc>
      </w:tr>
      <w:tr>
        <w:tc>
          <w:tcPr/>
          <w:p>
            <w:pPr>
              <w:pStyle w:val="Compact"/>
              <w:jc w:val="left"/>
            </w:pPr>
            <w:r>
              <w:t xml:space="preserve">Net effective rent</w:t>
            </w:r>
          </w:p>
        </w:tc>
        <w:tc>
          <w:tcPr/>
          <w:p>
            <w:pPr>
              <w:pStyle w:val="Compact"/>
              <w:jc w:val="left"/>
            </w:pPr>
            <w:r>
              <w:t xml:space="preserve">Average rent after free rent and TI inducements</w:t>
            </w:r>
          </w:p>
        </w:tc>
      </w:tr>
      <w:tr>
        <w:tc>
          <w:tcPr/>
          <w:p>
            <w:pPr>
              <w:pStyle w:val="Compact"/>
              <w:jc w:val="left"/>
            </w:pPr>
            <w:r>
              <w:t xml:space="preserve">Option notice date</w:t>
            </w:r>
          </w:p>
        </w:tc>
        <w:tc>
          <w:tcPr/>
          <w:p>
            <w:pPr>
              <w:pStyle w:val="Compact"/>
              <w:jc w:val="left"/>
            </w:pPr>
            <w:r>
              <w:t xml:space="preserve">Deadline to exercise a renewal or termination right</w:t>
            </w:r>
          </w:p>
        </w:tc>
      </w:tr>
      <w:tr>
        <w:tc>
          <w:tcPr/>
          <w:p>
            <w:pPr>
              <w:pStyle w:val="Compact"/>
              <w:jc w:val="left"/>
            </w:pPr>
            <w:r>
              <w:t xml:space="preserve">Rentable vs usable area</w:t>
            </w:r>
          </w:p>
        </w:tc>
        <w:tc>
          <w:tcPr/>
          <w:p>
            <w:pPr>
              <w:pStyle w:val="Compact"/>
              <w:jc w:val="left"/>
            </w:pPr>
            <w:r>
              <w:t xml:space="preserve">Rentable includes a share of common areas; usable is what you occupy</w:t>
            </w:r>
          </w:p>
        </w:tc>
      </w:tr>
      <w:tr>
        <w:tc>
          <w:tcPr/>
          <w:p>
            <w:pPr>
              <w:pStyle w:val="Compact"/>
              <w:jc w:val="left"/>
            </w:pPr>
            <w:r>
              <w:t xml:space="preserve">Restoration</w:t>
            </w:r>
          </w:p>
        </w:tc>
        <w:tc>
          <w:tcPr/>
          <w:p>
            <w:pPr>
              <w:pStyle w:val="Compact"/>
              <w:jc w:val="left"/>
            </w:pPr>
            <w:r>
              <w:t xml:space="preserve">Required make-good work or payment on exit</w:t>
            </w:r>
          </w:p>
        </w:tc>
      </w:tr>
      <w:tr>
        <w:tc>
          <w:tcPr/>
          <w:p>
            <w:pPr>
              <w:pStyle w:val="Compact"/>
              <w:jc w:val="left"/>
            </w:pPr>
            <w:r>
              <w:t xml:space="preserve">Scope 1 / Scope 2</w:t>
            </w:r>
          </w:p>
        </w:tc>
        <w:tc>
          <w:tcPr/>
          <w:p>
            <w:pPr>
              <w:pStyle w:val="Compact"/>
              <w:jc w:val="left"/>
            </w:pPr>
            <w:r>
              <w:t xml:space="preserve">Direct fuel emissions / purchased electricity emissions; largely buildings</w:t>
            </w:r>
          </w:p>
        </w:tc>
      </w:tr>
      <w:tr>
        <w:tc>
          <w:tcPr/>
          <w:p>
            <w:pPr>
              <w:pStyle w:val="Compact"/>
              <w:jc w:val="left"/>
            </w:pPr>
            <w:r>
              <w:t xml:space="preserve">Stranded cost</w:t>
            </w:r>
          </w:p>
        </w:tc>
        <w:tc>
          <w:tcPr/>
          <w:p>
            <w:pPr>
              <w:pStyle w:val="Compact"/>
              <w:jc w:val="left"/>
            </w:pPr>
            <w:r>
              <w:t xml:space="preserve">Cost remaining after space or activity is reduced</w:t>
            </w:r>
          </w:p>
        </w:tc>
      </w:tr>
      <w:tr>
        <w:tc>
          <w:tcPr/>
          <w:p>
            <w:pPr>
              <w:pStyle w:val="Compact"/>
              <w:jc w:val="left"/>
            </w:pPr>
            <w:r>
              <w:t xml:space="preserve">Sublease</w:t>
            </w:r>
          </w:p>
        </w:tc>
        <w:tc>
          <w:tcPr/>
          <w:p>
            <w:pPr>
              <w:pStyle w:val="Compact"/>
              <w:jc w:val="left"/>
            </w:pPr>
            <w:r>
              <w:t xml:space="preserve">Renting surplus space to another tenant</w:t>
            </w:r>
          </w:p>
        </w:tc>
      </w:tr>
      <w:tr>
        <w:tc>
          <w:tcPr/>
          <w:p>
            <w:pPr>
              <w:pStyle w:val="Compact"/>
              <w:jc w:val="left"/>
            </w:pPr>
            <w:r>
              <w:t xml:space="preserve">TI allowance</w:t>
            </w:r>
          </w:p>
        </w:tc>
        <w:tc>
          <w:tcPr/>
          <w:p>
            <w:pPr>
              <w:pStyle w:val="Compact"/>
              <w:jc w:val="left"/>
            </w:pPr>
            <w:r>
              <w:t xml:space="preserve">Landlord contribution to fit-out costs</w:t>
            </w:r>
          </w:p>
        </w:tc>
      </w:tr>
      <w:tr>
        <w:tc>
          <w:tcPr/>
          <w:p>
            <w:pPr>
              <w:pStyle w:val="Compact"/>
              <w:jc w:val="left"/>
            </w:pPr>
            <w:r>
              <w:t xml:space="preserve">WALT</w:t>
            </w:r>
          </w:p>
        </w:tc>
        <w:tc>
          <w:tcPr/>
          <w:p>
            <w:pPr>
              <w:pStyle w:val="Compact"/>
              <w:jc w:val="left"/>
            </w:pPr>
            <w:r>
              <w:t xml:space="preserve">Weighted average lease term remaining across the portfolio</w:t>
            </w:r>
          </w:p>
        </w:tc>
      </w:tr>
    </w:tbl>
    <w:bookmarkEnd w:id="68"/>
    <w:bookmarkStart w:id="69" w:name="final-cheat-sheet"/>
    <w:p>
      <w:pPr>
        <w:pStyle w:val="Heading3"/>
      </w:pPr>
      <w:r>
        <w:t xml:space="preserve">Final cheat sheet</w:t>
      </w:r>
    </w:p>
    <w:p>
      <w:pPr>
        <w:pStyle w:val="FirstParagraph"/>
      </w:pPr>
      <w:r>
        <w:t xml:space="preserve">Before answering, think:</w:t>
      </w:r>
      <w:r>
        <w:t xml:space="preserve"> </w:t>
      </w:r>
      <w:r>
        <w:rPr>
          <w:bCs/>
          <w:b/>
        </w:rPr>
        <w:t xml:space="preserve">decision → economics → evidence → risk → owner → execution → measurement.</w:t>
      </w:r>
    </w:p>
    <w:p>
      <w:pPr>
        <w:numPr>
          <w:ilvl w:val="0"/>
          <w:numId w:val="1011"/>
        </w:numPr>
        <w:pStyle w:val="Compact"/>
      </w:pPr>
      <w:r>
        <w:t xml:space="preserve">Vacated space is not an exited lease.</w:t>
      </w:r>
    </w:p>
    <w:p>
      <w:pPr>
        <w:numPr>
          <w:ilvl w:val="0"/>
          <w:numId w:val="1011"/>
        </w:numPr>
        <w:pStyle w:val="Compact"/>
      </w:pPr>
      <w:r>
        <w:t xml:space="preserve">Average attendance is not peak demand, and pre-policy data is not post-policy demand.</w:t>
      </w:r>
    </w:p>
    <w:p>
      <w:pPr>
        <w:numPr>
          <w:ilvl w:val="0"/>
          <w:numId w:val="1011"/>
        </w:numPr>
        <w:pStyle w:val="Compact"/>
      </w:pPr>
      <w:r>
        <w:t xml:space="preserve">Badge presence is not desk occupancy or productivity.</w:t>
      </w:r>
    </w:p>
    <w:p>
      <w:pPr>
        <w:numPr>
          <w:ilvl w:val="0"/>
          <w:numId w:val="1011"/>
        </w:numPr>
        <w:pStyle w:val="Compact"/>
      </w:pPr>
      <w:r>
        <w:t xml:space="preserve">Accounting expense is not cash; allocation changes are not enterprise savings.</w:t>
      </w:r>
    </w:p>
    <w:p>
      <w:pPr>
        <w:numPr>
          <w:ilvl w:val="0"/>
          <w:numId w:val="1011"/>
        </w:numPr>
        <w:pStyle w:val="Compact"/>
      </w:pPr>
      <w:r>
        <w:t xml:space="preserve">Quoted rent is not net effective rent.</w:t>
      </w:r>
    </w:p>
    <w:p>
      <w:pPr>
        <w:numPr>
          <w:ilvl w:val="0"/>
          <w:numId w:val="1011"/>
        </w:numPr>
        <w:pStyle w:val="Compact"/>
      </w:pPr>
      <w:r>
        <w:t xml:space="preserve">The option notice date matters more than the expiry date.</w:t>
      </w:r>
    </w:p>
    <w:p>
      <w:pPr>
        <w:numPr>
          <w:ilvl w:val="0"/>
          <w:numId w:val="1011"/>
        </w:numPr>
        <w:pStyle w:val="Compact"/>
      </w:pPr>
      <w:r>
        <w:t xml:space="preserve">A cost tie means something else should decide.</w:t>
      </w:r>
    </w:p>
    <w:p>
      <w:pPr>
        <w:numPr>
          <w:ilvl w:val="0"/>
          <w:numId w:val="1011"/>
        </w:numPr>
        <w:pStyle w:val="Compact"/>
      </w:pPr>
      <w:r>
        <w:t xml:space="preserve">SLA compliance is not good service.</w:t>
      </w:r>
    </w:p>
    <w:p>
      <w:pPr>
        <w:numPr>
          <w:ilvl w:val="0"/>
          <w:numId w:val="1011"/>
        </w:numPr>
        <w:pStyle w:val="Compact"/>
      </w:pPr>
      <w:r>
        <w:t xml:space="preserve">Contribution is not causal attribution.</w:t>
      </w:r>
    </w:p>
    <w:p>
      <w:pPr>
        <w:numPr>
          <w:ilvl w:val="0"/>
          <w:numId w:val="1011"/>
        </w:numPr>
        <w:pStyle w:val="Compact"/>
      </w:pPr>
      <w:r>
        <w:t xml:space="preserve">A positive NPV does not override mandatory constraints.</w:t>
      </w:r>
    </w:p>
    <w:p>
      <w:pPr>
        <w:numPr>
          <w:ilvl w:val="0"/>
          <w:numId w:val="1011"/>
        </w:numPr>
        <w:pStyle w:val="Compact"/>
      </w:pPr>
      <w:r>
        <w:t xml:space="preserve">Senior-director readiness is judgment shown through others.</w:t>
      </w:r>
    </w:p>
    <w:p>
      <w:pPr>
        <w:pStyle w:val="FirstParagraph"/>
      </w:pPr>
      <w:r>
        <w:t xml:space="preserve">The sentence to rehearse:</w:t>
      </w:r>
    </w:p>
    <w:p>
      <w:pPr>
        <w:pStyle w:val="BlockText"/>
      </w:pPr>
      <w:r>
        <w:rPr>
          <w:bCs/>
          <w:b/>
        </w:rPr>
        <w:t xml:space="preserve">“</w:t>
      </w:r>
      <w:r>
        <w:rPr>
          <w:bCs/>
          <w:b/>
        </w:rPr>
        <w:t xml:space="preserve">Here is the decision I recommend, the evidence for it, the assumptions that could change it, and who is accountable for delivering it.</w:t>
      </w:r>
      <w:r>
        <w:rPr>
          <w:bCs/>
          <w:b/>
        </w:rPr>
        <w:t xml:space="preserve">”</w:t>
      </w:r>
    </w:p>
    <w:bookmarkEnd w:id="69"/>
    <w:bookmarkStart w:id="71" w:name="sources"/>
    <w:p>
      <w:pPr>
        <w:pStyle w:val="Heading3"/>
      </w:pPr>
      <w:r>
        <w:t xml:space="preserve">Sources</w:t>
      </w:r>
    </w:p>
    <w:p>
      <w:pPr>
        <w:pStyle w:val="FirstParagraph"/>
      </w:pPr>
      <w:r>
        <w:t xml:space="preserve">Market and policy facts checked October 26, 2026:</w:t>
      </w:r>
      <w:r>
        <w:t xml:space="preserve"> </w:t>
      </w:r>
      <w:hyperlink r:id="rId24">
        <w:r>
          <w:rPr>
            <w:rStyle w:val="Hyperlink"/>
          </w:rPr>
          <w:t xml:space="preserve">CBRE Toronto Downtown Office Q3 2026</w:t>
        </w:r>
      </w:hyperlink>
      <w:r>
        <w:t xml:space="preserve"> </w:t>
      </w:r>
      <w:r>
        <w:t xml:space="preserve">·</w:t>
      </w:r>
      <w:r>
        <w:t xml:space="preserve"> </w:t>
      </w:r>
      <w:hyperlink r:id="rId25">
        <w:r>
          <w:rPr>
            <w:rStyle w:val="Hyperlink"/>
          </w:rPr>
          <w:t xml:space="preserve">Altus Group Canadian office update Q3 2026</w:t>
        </w:r>
      </w:hyperlink>
      <w:r>
        <w:t xml:space="preserve"> </w:t>
      </w:r>
      <w:r>
        <w:t xml:space="preserve">·</w:t>
      </w:r>
      <w:r>
        <w:t xml:space="preserve"> </w:t>
      </w:r>
      <w:hyperlink r:id="rId22">
        <w:r>
          <w:rPr>
            <w:rStyle w:val="Hyperlink"/>
          </w:rPr>
          <w:t xml:space="preserve">CTV/CP on TD four-day policy</w:t>
        </w:r>
      </w:hyperlink>
      <w:r>
        <w:t xml:space="preserve"> </w:t>
      </w:r>
      <w:r>
        <w:t xml:space="preserve">·</w:t>
      </w:r>
      <w:r>
        <w:t xml:space="preserve"> </w:t>
      </w:r>
      <w:hyperlink r:id="rId23">
        <w:r>
          <w:rPr>
            <w:rStyle w:val="Hyperlink"/>
          </w:rPr>
          <w:t xml:space="preserve">CP24 on BMO, CIBC and National Bank</w:t>
        </w:r>
      </w:hyperlink>
      <w:r>
        <w:t xml:space="preserve"> </w:t>
      </w:r>
      <w:r>
        <w:t xml:space="preserve">·</w:t>
      </w:r>
      <w:r>
        <w:t xml:space="preserve"> </w:t>
      </w:r>
      <w:hyperlink r:id="rId31">
        <w:r>
          <w:rPr>
            <w:rStyle w:val="Hyperlink"/>
          </w:rPr>
          <w:t xml:space="preserve">OSFI B-15 update</w:t>
        </w:r>
      </w:hyperlink>
      <w:r>
        <w:t xml:space="preserve"> </w:t>
      </w:r>
      <w:r>
        <w:t xml:space="preserve">·</w:t>
      </w:r>
      <w:r>
        <w:t xml:space="preserve"> </w:t>
      </w:r>
      <w:hyperlink r:id="rId70">
        <w:r>
          <w:rPr>
            <w:rStyle w:val="Hyperlink"/>
          </w:rPr>
          <w:t xml:space="preserve">Dentons on B-15 Scope 3 deferral</w:t>
        </w:r>
      </w:hyperlink>
      <w:r>
        <w:t xml:space="preserve">. Case figures are illustrative.</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 Target="https://admin.mondaq.com/canada/securities/1596952/aligning-osfis-guideline-b-15-on-climate-risk-management-with-new-cssb-standards" TargetMode="External" /><Relationship Type="http://schemas.openxmlformats.org/officeDocument/2006/relationships/hyperlink" Id="rId31" Target="https://osfi-bsif.gc.ca/en/guidance/guidance-library/letter-industry-we-are-updating-guideline-b-15-final-cssb-standards" TargetMode="External" /><Relationship Type="http://schemas.openxmlformats.org/officeDocument/2006/relationships/hyperlink" Id="rId25" Target="https://www.altusgroup.com/insights/canadian-office-market-update-q3-2026/" TargetMode="External" /><Relationship Type="http://schemas.openxmlformats.org/officeDocument/2006/relationships/hyperlink" Id="rId32" Target="https://www.canada.ca/en/financial-consumer-agency/services/rights-responsibilities/rights-banking/branch-closure.html" TargetMode="External" /><Relationship Type="http://schemas.openxmlformats.org/officeDocument/2006/relationships/hyperlink" Id="rId24" Target="https://www.cbre.com/insights/figures/toronto-downtown-office-figures-q3-2026" TargetMode="External" /><Relationship Type="http://schemas.openxmlformats.org/officeDocument/2006/relationships/hyperlink" Id="rId23" Target="https://www.cp24.com/news/money/2025/06/27/bmo-employees-to-start-working-four-days-in-office-similar-to-scotiabank-and-rbc/" TargetMode="External" /><Relationship Type="http://schemas.openxmlformats.org/officeDocument/2006/relationships/hyperlink" Id="rId22" Target="https://www.ctvnews.ca/business/article/td-bank-joins-its-peers-in-moving-to-require-four-days-in-office/" TargetMode="External" /><Relationship Type="http://schemas.openxmlformats.org/officeDocument/2006/relationships/hyperlink" Id="rId37" Target="https://www.ifrs.org/issued-standards/list-of-standards/ifrs-16-leases/" TargetMode="External" /><Relationship Type="http://schemas.openxmlformats.org/officeDocument/2006/relationships/hyperlink" Id="rId30" Target="https://www.osfi-bsif.gc.ca/en/guidance/guidance-library/operational-risk-management-resilience-letter" TargetMode="External" /><Relationship Type="http://schemas.openxmlformats.org/officeDocument/2006/relationships/hyperlink" Id="rId29" Target="https://www.osfi-bsif.gc.ca/en/guidance/guidance-library/third-party-risk-management-guideline" TargetMode="External" /></Relationships>
</file>

<file path=word/_rels/footnotes.xml.rels><?xml version="1.0" encoding="UTF-8"?><Relationships xmlns="http://schemas.openxmlformats.org/package/2006/relationships"><Relationship Type="http://schemas.openxmlformats.org/officeDocument/2006/relationships/hyperlink" Id="rId70" Target="https://admin.mondaq.com/canada/securities/1596952/aligning-osfis-guideline-b-15-on-climate-risk-management-with-new-cssb-standards" TargetMode="External" /><Relationship Type="http://schemas.openxmlformats.org/officeDocument/2006/relationships/hyperlink" Id="rId31" Target="https://osfi-bsif.gc.ca/en/guidance/guidance-library/letter-industry-we-are-updating-guideline-b-15-final-cssb-standards" TargetMode="External" /><Relationship Type="http://schemas.openxmlformats.org/officeDocument/2006/relationships/hyperlink" Id="rId25" Target="https://www.altusgroup.com/insights/canadian-office-market-update-q3-2026/" TargetMode="External" /><Relationship Type="http://schemas.openxmlformats.org/officeDocument/2006/relationships/hyperlink" Id="rId32" Target="https://www.canada.ca/en/financial-consumer-agency/services/rights-responsibilities/rights-banking/branch-closure.html" TargetMode="External" /><Relationship Type="http://schemas.openxmlformats.org/officeDocument/2006/relationships/hyperlink" Id="rId24" Target="https://www.cbre.com/insights/figures/toronto-downtown-office-figures-q3-2026" TargetMode="External" /><Relationship Type="http://schemas.openxmlformats.org/officeDocument/2006/relationships/hyperlink" Id="rId23" Target="https://www.cp24.com/news/money/2025/06/27/bmo-employees-to-start-working-four-days-in-office-similar-to-scotiabank-and-rbc/" TargetMode="External" /><Relationship Type="http://schemas.openxmlformats.org/officeDocument/2006/relationships/hyperlink" Id="rId22" Target="https://www.ctvnews.ca/business/article/td-bank-joins-its-peers-in-moving-to-require-four-days-in-office/" TargetMode="External" /><Relationship Type="http://schemas.openxmlformats.org/officeDocument/2006/relationships/hyperlink" Id="rId37" Target="https://www.ifrs.org/issued-standards/list-of-standards/ifrs-16-leases/" TargetMode="External" /><Relationship Type="http://schemas.openxmlformats.org/officeDocument/2006/relationships/hyperlink" Id="rId30" Target="https://www.osfi-bsif.gc.ca/en/guidance/guidance-library/operational-risk-management-resilience-letter" TargetMode="External" /><Relationship Type="http://schemas.openxmlformats.org/officeDocument/2006/relationships/hyperlink" Id="rId29" Target="https://www.osfi-bsif.gc.ca/en/guidance/guidance-library/third-party-risk-management-guidel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Real Estate Analytics — Senior Director Interview Course (v2)</dc:title>
  <dc:creator/>
  <cp:keywords/>
  <dcterms:created xsi:type="dcterms:W3CDTF">2026-10-27T00:46:01Z</dcterms:created>
  <dcterms:modified xsi:type="dcterms:W3CDTF">2026-10-27T00:46:01Z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26, 2026</vt:lpwstr>
  </property>
</Properties>
</file>