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Measuring Team Productivity in Operations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This report explores the best ways to measure team productivity within an operations environment, specifically for teams focused on closing cases. It draws upon various research articles and industry best practices to provide a comprehensive overview of relevant metrics, factors influencing productivity, and tools for tracking and improvement.</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240" w:before="0" w:lineRule="auto"/>
        <w:rPr>
          <w:color w:val="1b1c1d"/>
        </w:rPr>
      </w:pPr>
      <w:r w:rsidDel="00000000" w:rsidR="00000000" w:rsidRPr="00000000">
        <w:rPr>
          <w:color w:val="1b1c1d"/>
          <w:rtl w:val="0"/>
        </w:rPr>
        <w:t xml:space="preserve">Defining Productivity in an Operations Team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Productivity, in its simplest form, is a measure of efficiency: how much output is generated per unit of input. For an operations team focused on closing cases, the primary output is the number of cases closed. However, simply counting closed cases may not provide a complete picture of productivity. Other factors, such as case complexity, time to resolution, and quality of resolution, should also be considered. A truly productive team balances speed with quality and efficiency.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420" w:lineRule="auto"/>
        <w:rPr>
          <w:b w:val="1"/>
          <w:color w:val="1b1c1d"/>
        </w:rPr>
      </w:pPr>
      <w:r w:rsidDel="00000000" w:rsidR="00000000" w:rsidRPr="00000000">
        <w:rPr>
          <w:color w:val="1b1c1d"/>
          <w:rtl w:val="0"/>
        </w:rPr>
        <w:t xml:space="preserve">Therefore, a more nuanced definition of productivity in this context would be: </w:t>
      </w:r>
      <w:r w:rsidDel="00000000" w:rsidR="00000000" w:rsidRPr="00000000">
        <w:rPr>
          <w:b w:val="1"/>
          <w:color w:val="1b1c1d"/>
          <w:rtl w:val="0"/>
        </w:rPr>
        <w:t xml:space="preserve">the rate at which an operations team effectively and efficiently closes cases while maintaining a high quality of resolution.</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240" w:before="0" w:lineRule="auto"/>
        <w:rPr>
          <w:color w:val="1b1c1d"/>
        </w:rPr>
      </w:pPr>
      <w:r w:rsidDel="00000000" w:rsidR="00000000" w:rsidRPr="00000000">
        <w:rPr>
          <w:color w:val="1b1c1d"/>
          <w:rtl w:val="0"/>
        </w:rPr>
        <w:t xml:space="preserve">Key Metrics for Measuring Productivity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Several metrics can be used to measure productivity in an operations team that closes cases. To better understand their potential benefits, refer to the table below:</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tbl>
      <w:tblPr>
        <w:tblStyle w:val="Table1"/>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Metric</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Description</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Benefits</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Cases closed per employee per day</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This is a basic measure of individual productivity, calculated by dividing the total number of cases closed by an employee by the number of days worked.</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Provides a baseline understanding of individual employee output. Can be used to identify high-performing and underperforming employees.</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Average handling time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This metric measures the average time it takes to resolve a case from start to finish.</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Helps identify bottlenecks in the process and areas for improvement. Can be used to track the efficiency of case resolution over time.</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First contact resolution rate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This measures the percentage of cases resolved on the first interaction with the customer.</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 higher first contact resolution rate indicates greater efficiency and customer satisfaction. Can be used to identify areas where employee training or process improvements may be needed.</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Case resolution quality</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This can be measured through customer satisfaction surveys or internal quality assessments.</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Ensures that cases are not just closed quickly but also resolved effectively. Provides insights into customer satisfaction and areas where the team can improve its service.</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Backlog size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This refers to the number of open cases waiting to be processed.</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 growing backlog can indicate a decrease in productivity or an increase in workload. Helps identify potential resource allocation issues and areas where process improvements may be needed.</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Time spent on productive or billable hours</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This ratio assesses the proportion of workers' time spent on productive tasks.</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Helps identify time management issues and areas where employees may be spending time on non-essential tasks. Can be used to improve scheduling and resource allocation.</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It's important to track these metrics over time to identify trends and areas for improvement.</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after="240" w:before="0" w:lineRule="auto"/>
        <w:rPr>
          <w:color w:val="1b1c1d"/>
        </w:rPr>
      </w:pPr>
      <w:r w:rsidDel="00000000" w:rsidR="00000000" w:rsidRPr="00000000">
        <w:rPr>
          <w:color w:val="1b1c1d"/>
          <w:rtl w:val="0"/>
        </w:rPr>
        <w:t xml:space="preserve">Industry Practices for Measuring Productivity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20" w:lineRule="auto"/>
        <w:rPr>
          <w:color w:val="575b5f"/>
          <w:vertAlign w:val="superscript"/>
        </w:rPr>
      </w:pPr>
      <w:r w:rsidDel="00000000" w:rsidR="00000000" w:rsidRPr="00000000">
        <w:rPr>
          <w:color w:val="1b1c1d"/>
          <w:rtl w:val="0"/>
        </w:rPr>
        <w:t xml:space="preserve">In addition to the key metrics mentioned above, other companies in similar industries often use the following metrics to measure productivity: </w:t>
      </w:r>
      <w:r w:rsidDel="00000000" w:rsidR="00000000" w:rsidRPr="00000000">
        <w:rPr>
          <w:color w:val="575b5f"/>
          <w:vertAlign w:val="superscript"/>
          <w:rtl w:val="0"/>
        </w:rPr>
        <w:t xml:space="preserve">1</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Projects completed:</w:t>
      </w:r>
      <w:r w:rsidDel="00000000" w:rsidR="00000000" w:rsidRPr="00000000">
        <w:rPr>
          <w:color w:val="1b1c1d"/>
          <w:rtl w:val="0"/>
        </w:rPr>
        <w:t xml:space="preserve"> This metric tracks the number of projects or initiatives completed within a given timeframe.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Sales close rate:</w:t>
      </w:r>
      <w:r w:rsidDel="00000000" w:rsidR="00000000" w:rsidRPr="00000000">
        <w:rPr>
          <w:color w:val="1b1c1d"/>
          <w:rtl w:val="0"/>
        </w:rPr>
        <w:t xml:space="preserve"> This measures the percentage of sales leads that are converted into actual sales.</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Sales growth:</w:t>
      </w:r>
      <w:r w:rsidDel="00000000" w:rsidR="00000000" w:rsidRPr="00000000">
        <w:rPr>
          <w:color w:val="1b1c1d"/>
          <w:rtl w:val="0"/>
        </w:rPr>
        <w:t xml:space="preserve"> This tracks the rate at which sales revenue is increasing.</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Revenue per employee:</w:t>
      </w:r>
      <w:r w:rsidDel="00000000" w:rsidR="00000000" w:rsidRPr="00000000">
        <w:rPr>
          <w:color w:val="1b1c1d"/>
          <w:rtl w:val="0"/>
        </w:rPr>
        <w:t xml:space="preserve"> This metric measures the revenue generated per employee, providing insights into overall workforce productivity.</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Effectiveness ratio:</w:t>
      </w:r>
      <w:r w:rsidDel="00000000" w:rsidR="00000000" w:rsidRPr="00000000">
        <w:rPr>
          <w:color w:val="1b1c1d"/>
          <w:rtl w:val="0"/>
        </w:rPr>
        <w:t xml:space="preserve"> This assesses the efficiency of resource utilization by comparing actual output to planned output.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Total cost of workforce:</w:t>
      </w:r>
      <w:r w:rsidDel="00000000" w:rsidR="00000000" w:rsidRPr="00000000">
        <w:rPr>
          <w:color w:val="1b1c1d"/>
          <w:rtl w:val="0"/>
        </w:rPr>
        <w:t xml:space="preserve"> This metric tracks the overall cost of employing staff, including salaries, benefits, and other expenses.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Overtime hours:</w:t>
      </w:r>
      <w:r w:rsidDel="00000000" w:rsidR="00000000" w:rsidRPr="00000000">
        <w:rPr>
          <w:color w:val="1b1c1d"/>
          <w:rtl w:val="0"/>
        </w:rPr>
        <w:t xml:space="preserve"> This measures the amount of overtime worked by employees, which can indicate potential workload imbalances or inefficiencies.</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Turnover rate:</w:t>
      </w:r>
      <w:r w:rsidDel="00000000" w:rsidR="00000000" w:rsidRPr="00000000">
        <w:rPr>
          <w:color w:val="1b1c1d"/>
          <w:rtl w:val="0"/>
        </w:rPr>
        <w:t xml:space="preserve"> This tracks the rate at which employees leave the company, which can be an indicator of employee satisfaction and engagement.</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Recruiting conversion rate:</w:t>
      </w:r>
      <w:r w:rsidDel="00000000" w:rsidR="00000000" w:rsidRPr="00000000">
        <w:rPr>
          <w:color w:val="1b1c1d"/>
          <w:rtl w:val="0"/>
        </w:rPr>
        <w:t xml:space="preserve"> This measures the effectiveness of the company's recruiting efforts by tracking the percentage of job applicants who are hired.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420" w:before="240" w:lineRule="auto"/>
        <w:rPr>
          <w:color w:val="1b1c1d"/>
        </w:rPr>
      </w:pPr>
      <w:r w:rsidDel="00000000" w:rsidR="00000000" w:rsidRPr="00000000">
        <w:rPr>
          <w:color w:val="1b1c1d"/>
          <w:rtl w:val="0"/>
        </w:rPr>
        <w:t xml:space="preserve">By considering these metrics alongside the key metrics discussed earlier, you can gain a more comprehensive understanding of your team's productivity and identify areas for improvement.</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240" w:before="0" w:lineRule="auto"/>
        <w:rPr>
          <w:color w:val="1b1c1d"/>
        </w:rPr>
      </w:pPr>
      <w:r w:rsidDel="00000000" w:rsidR="00000000" w:rsidRPr="00000000">
        <w:rPr>
          <w:color w:val="1b1c1d"/>
          <w:rtl w:val="0"/>
        </w:rPr>
        <w:t xml:space="preserve">Factors Influencing Productivity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Several factors can influence the productivity of an operations team. These include:</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Technology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Access to up-to-date technology and tools can significantly impact efficiency. This includes case management systems, communication platforms, and automation tools. Automation and robotics can further enhance operational efficiency by automating repetitive tasks and streamlining workflows</w:t>
      </w:r>
      <w:r w:rsidDel="00000000" w:rsidR="00000000" w:rsidRPr="00000000">
        <w:rPr>
          <w:color w:val="575b5f"/>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Workplace Design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A well-designed workspace that promotes collaboration and minimizes distractions can improve focus and productivity.</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Employee Motivation and Engagement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Motivated and engaged employees are more likely to be productive. Factors such as clear goals, recognition, and opportunities for growth can contribute to motivation.</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Process Efficiency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Streamlined processes with clear workflows and minimal bottlenecks can improve efficiency and reduce wasted time.</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Communication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Effective communication within the team and with other departments is crucial for smooth operations and quick resolution of issues</w:t>
      </w:r>
      <w:r w:rsidDel="00000000" w:rsidR="00000000" w:rsidRPr="00000000">
        <w:rPr>
          <w:color w:val="575b5f"/>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Training and Development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Providing employees with the necessary skills and knowledge to handle cases efficiently can improve productivity</w:t>
      </w:r>
      <w:r w:rsidDel="00000000" w:rsidR="00000000" w:rsidRPr="00000000">
        <w:rPr>
          <w:color w:val="575b5f"/>
          <w:vertAlign w:val="superscript"/>
          <w:rtl w:val="0"/>
        </w:rPr>
        <w:t xml:space="preserve">3</w:t>
      </w:r>
      <w:r w:rsidDel="00000000" w:rsidR="00000000" w:rsidRPr="00000000">
        <w:rPr>
          <w:color w:val="1b1c1d"/>
          <w:rtl w:val="0"/>
        </w:rPr>
        <w:t xml:space="preserve">.</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Workload and Time Management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Ensuring a balanced workload and providing training on time management techniques can prevent burnout and improve efficiency</w:t>
      </w:r>
      <w:r w:rsidDel="00000000" w:rsidR="00000000" w:rsidRPr="00000000">
        <w:rPr>
          <w:color w:val="575b5f"/>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Employee Well-being</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Employee well-being, encompassing both physical and mental health, can significantly impact productivity. Wellness programs and initiatives that promote employee health and well-being can lead to improved focus, engagement, and overall performance</w:t>
      </w:r>
      <w:r w:rsidDel="00000000" w:rsidR="00000000" w:rsidRPr="00000000">
        <w:rPr>
          <w:color w:val="575b5f"/>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spacing w:after="240" w:before="0" w:lineRule="auto"/>
        <w:rPr>
          <w:color w:val="1b1c1d"/>
        </w:rPr>
      </w:pPr>
      <w:r w:rsidDel="00000000" w:rsidR="00000000" w:rsidRPr="00000000">
        <w:rPr>
          <w:color w:val="1b1c1d"/>
          <w:rtl w:val="0"/>
        </w:rPr>
        <w:t xml:space="preserve">Software Solutions for Productivity Tracking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Various tools and software can help track and measure team productivity. Here are some notable options:</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Productivity management software:</w:t>
      </w:r>
      <w:r w:rsidDel="00000000" w:rsidR="00000000" w:rsidRPr="00000000">
        <w:rPr>
          <w:color w:val="1b1c1d"/>
          <w:rtl w:val="0"/>
        </w:rPr>
        <w:t xml:space="preserve"> Platforms like ActivTrak, Monitask, and DeskTrack offer comprehensive solutions for tracking employee activity, providing insights into time spent on different tasks, and generating productivity reports</w:t>
      </w:r>
      <w:r w:rsidDel="00000000" w:rsidR="00000000" w:rsidRPr="00000000">
        <w:rPr>
          <w:color w:val="575b5f"/>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043">
      <w:pPr>
        <w:numPr>
          <w:ilvl w:val="1"/>
          <w:numId w:val="3"/>
        </w:numPr>
        <w:pBdr>
          <w:top w:space="0" w:sz="0" w:val="nil"/>
          <w:left w:space="0" w:sz="0" w:val="nil"/>
          <w:bottom w:space="0" w:sz="0" w:val="nil"/>
          <w:right w:space="0" w:sz="0" w:val="nil"/>
          <w:between w:space="0" w:sz="0" w:val="nil"/>
        </w:pBdr>
        <w:shd w:fill="auto" w:val="clear"/>
        <w:spacing w:after="0" w:afterAutospacing="0" w:lineRule="auto"/>
        <w:ind w:left="480" w:hanging="360"/>
      </w:pPr>
      <w:r w:rsidDel="00000000" w:rsidR="00000000" w:rsidRPr="00000000">
        <w:rPr>
          <w:b w:val="1"/>
          <w:color w:val="1b1c1d"/>
          <w:rtl w:val="0"/>
        </w:rPr>
        <w:t xml:space="preserve">ActivTrak</w:t>
      </w:r>
      <w:r w:rsidDel="00000000" w:rsidR="00000000" w:rsidRPr="00000000">
        <w:rPr>
          <w:color w:val="1b1c1d"/>
          <w:rtl w:val="0"/>
        </w:rPr>
        <w:t xml:space="preserve"> analyzes user activity, provides productivity dashboards, and helps identify areas for improvement.</w:t>
      </w:r>
    </w:p>
    <w:p w:rsidR="00000000" w:rsidDel="00000000" w:rsidP="00000000" w:rsidRDefault="00000000" w:rsidRPr="00000000" w14:paraId="00000044">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80" w:hanging="360"/>
      </w:pPr>
      <w:r w:rsidDel="00000000" w:rsidR="00000000" w:rsidRPr="00000000">
        <w:rPr>
          <w:b w:val="1"/>
          <w:color w:val="1b1c1d"/>
          <w:rtl w:val="0"/>
        </w:rPr>
        <w:t xml:space="preserve">Monitask</w:t>
      </w:r>
      <w:r w:rsidDel="00000000" w:rsidR="00000000" w:rsidRPr="00000000">
        <w:rPr>
          <w:color w:val="1b1c1d"/>
          <w:rtl w:val="0"/>
        </w:rPr>
        <w:t xml:space="preserve"> offers features like screenshots, activity tracking, and productivity reports, with options for both desktop and mobile monitoring.</w:t>
      </w:r>
    </w:p>
    <w:p w:rsidR="00000000" w:rsidDel="00000000" w:rsidP="00000000" w:rsidRDefault="00000000" w:rsidRPr="00000000" w14:paraId="00000045">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80" w:hanging="360"/>
      </w:pPr>
      <w:r w:rsidDel="00000000" w:rsidR="00000000" w:rsidRPr="00000000">
        <w:rPr>
          <w:b w:val="1"/>
          <w:color w:val="1b1c1d"/>
          <w:rtl w:val="0"/>
        </w:rPr>
        <w:t xml:space="preserve">DeskTrack</w:t>
      </w:r>
      <w:r w:rsidDel="00000000" w:rsidR="00000000" w:rsidRPr="00000000">
        <w:rPr>
          <w:color w:val="1b1c1d"/>
          <w:rtl w:val="0"/>
        </w:rPr>
        <w:t xml:space="preserve"> provides detailed insights into employee activity, including website and application usage, time spent on communication, and mobile device monitoring.</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Time tracking applications:</w:t>
      </w:r>
      <w:r w:rsidDel="00000000" w:rsidR="00000000" w:rsidRPr="00000000">
        <w:rPr>
          <w:color w:val="1b1c1d"/>
          <w:rtl w:val="0"/>
        </w:rPr>
        <w:t xml:space="preserve"> Tools like TrackingTime and Toggl Track allow employees to log their time on different tasks, providing accurate data for productivity analysis</w:t>
      </w:r>
      <w:r w:rsidDel="00000000" w:rsidR="00000000" w:rsidRPr="00000000">
        <w:rPr>
          <w:color w:val="575b5f"/>
          <w:vertAlign w:val="superscript"/>
          <w:rtl w:val="0"/>
        </w:rPr>
        <w:t xml:space="preserve">8</w:t>
      </w:r>
      <w:r w:rsidDel="00000000" w:rsidR="00000000" w:rsidRPr="00000000">
        <w:rPr>
          <w:color w:val="1b1c1d"/>
          <w:rtl w:val="0"/>
        </w:rPr>
        <w:t xml:space="preserve">.</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Case management systems:</w:t>
      </w:r>
      <w:r w:rsidDel="00000000" w:rsidR="00000000" w:rsidRPr="00000000">
        <w:rPr>
          <w:color w:val="1b1c1d"/>
          <w:rtl w:val="0"/>
        </w:rPr>
        <w:t xml:space="preserve"> Zendesk and Salesforce Service Cloud can help track case progress, resolution time, and customer satisfaction</w:t>
      </w:r>
      <w:r w:rsidDel="00000000" w:rsidR="00000000" w:rsidRPr="00000000">
        <w:rPr>
          <w:color w:val="575b5f"/>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Project management tools:</w:t>
      </w:r>
      <w:r w:rsidDel="00000000" w:rsidR="00000000" w:rsidRPr="00000000">
        <w:rPr>
          <w:color w:val="1b1c1d"/>
          <w:rtl w:val="0"/>
        </w:rPr>
        <w:t xml:space="preserve"> Asana, Trello, and ClickUp can be used to manage tasks, track progress, and improve workflow efficiency</w:t>
      </w:r>
      <w:r w:rsidDel="00000000" w:rsidR="00000000" w:rsidRPr="00000000">
        <w:rPr>
          <w:color w:val="575b5f"/>
          <w:vertAlign w:val="superscript"/>
          <w:rtl w:val="0"/>
        </w:rPr>
        <w:t xml:space="preserve">8</w:t>
      </w:r>
      <w:r w:rsidDel="00000000" w:rsidR="00000000" w:rsidRPr="00000000">
        <w:rPr>
          <w:color w:val="1b1c1d"/>
          <w:rtl w:val="0"/>
        </w:rPr>
        <w:t xml:space="preserve">.</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after="240" w:before="420" w:lineRule="auto"/>
        <w:rPr>
          <w:color w:val="1b1c1d"/>
        </w:rPr>
      </w:pPr>
      <w:r w:rsidDel="00000000" w:rsidR="00000000" w:rsidRPr="00000000">
        <w:rPr>
          <w:color w:val="1b1c1d"/>
          <w:rtl w:val="0"/>
        </w:rPr>
        <w:t xml:space="preserve">Best Practices for Setting Productivity Goals and Motivating the Team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Setting clear and achievable productivity goals is crucial for motivating the team and driving improvement. Here are some best practices:</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Use the SMART goals framework:</w:t>
      </w:r>
      <w:r w:rsidDel="00000000" w:rsidR="00000000" w:rsidRPr="00000000">
        <w:rPr>
          <w:color w:val="1b1c1d"/>
          <w:rtl w:val="0"/>
        </w:rPr>
        <w:t xml:space="preserve"> Ensure goals are Specific, Measurable, Achievable, Relevant, and Time-bound. Break down these goals into smaller tasks to make them less daunting and allow for easier tracking of progress</w:t>
      </w:r>
      <w:r w:rsidDel="00000000" w:rsidR="00000000" w:rsidRPr="00000000">
        <w:rPr>
          <w:color w:val="575b5f"/>
          <w:vertAlign w:val="superscript"/>
          <w:rtl w:val="0"/>
        </w:rPr>
        <w:t xml:space="preserve">9</w:t>
      </w:r>
      <w:r w:rsidDel="00000000" w:rsidR="00000000" w:rsidRPr="00000000">
        <w:rPr>
          <w:color w:val="1b1c1d"/>
          <w:rtl w:val="0"/>
        </w:rPr>
        <w:t xml:space="preserve">.</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Involve the team in goal setting:</w:t>
      </w:r>
      <w:r w:rsidDel="00000000" w:rsidR="00000000" w:rsidRPr="00000000">
        <w:rPr>
          <w:color w:val="1b1c1d"/>
          <w:rtl w:val="0"/>
        </w:rPr>
        <w:t xml:space="preserve"> This increases buy-in and ownership of the goals</w:t>
      </w:r>
      <w:r w:rsidDel="00000000" w:rsidR="00000000" w:rsidRPr="00000000">
        <w:rPr>
          <w:color w:val="575b5f"/>
          <w:vertAlign w:val="superscript"/>
          <w:rtl w:val="0"/>
        </w:rPr>
        <w:t xml:space="preserve">10</w:t>
      </w:r>
      <w:r w:rsidDel="00000000" w:rsidR="00000000" w:rsidRPr="00000000">
        <w:rPr>
          <w:color w:val="1b1c1d"/>
          <w:rtl w:val="0"/>
        </w:rPr>
        <w:t xml:space="preserve">.</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Provide regular feedback and recognition:</w:t>
      </w:r>
      <w:r w:rsidDel="00000000" w:rsidR="00000000" w:rsidRPr="00000000">
        <w:rPr>
          <w:color w:val="1b1c1d"/>
          <w:rtl w:val="0"/>
        </w:rPr>
        <w:t xml:space="preserve"> Acknowledge achievements and provide constructive feedback to help employees improve</w:t>
      </w:r>
      <w:r w:rsidDel="00000000" w:rsidR="00000000" w:rsidRPr="00000000">
        <w:rPr>
          <w:color w:val="575b5f"/>
          <w:vertAlign w:val="superscript"/>
          <w:rtl w:val="0"/>
        </w:rPr>
        <w:t xml:space="preserve">11</w:t>
      </w:r>
      <w:r w:rsidDel="00000000" w:rsidR="00000000" w:rsidRPr="00000000">
        <w:rPr>
          <w:color w:val="1b1c1d"/>
          <w:rtl w:val="0"/>
        </w:rPr>
        <w:t xml:space="preserve">.</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Offer incentives and rewards:</w:t>
      </w:r>
      <w:r w:rsidDel="00000000" w:rsidR="00000000" w:rsidRPr="00000000">
        <w:rPr>
          <w:color w:val="1b1c1d"/>
          <w:rtl w:val="0"/>
        </w:rPr>
        <w:t xml:space="preserve"> This can motivate employees to strive for higher productivity</w:t>
      </w:r>
      <w:r w:rsidDel="00000000" w:rsidR="00000000" w:rsidRPr="00000000">
        <w:rPr>
          <w:color w:val="575b5f"/>
          <w:vertAlign w:val="superscript"/>
          <w:rtl w:val="0"/>
        </w:rPr>
        <w:t xml:space="preserve">12</w:t>
      </w:r>
      <w:r w:rsidDel="00000000" w:rsidR="00000000" w:rsidRPr="00000000">
        <w:rPr>
          <w:color w:val="1b1c1d"/>
          <w:rtl w:val="0"/>
        </w:rPr>
        <w:t xml:space="preserve">.</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Foster a positive and supportive work environment:</w:t>
      </w:r>
      <w:r w:rsidDel="00000000" w:rsidR="00000000" w:rsidRPr="00000000">
        <w:rPr>
          <w:color w:val="1b1c1d"/>
          <w:rtl w:val="0"/>
        </w:rPr>
        <w:t xml:space="preserve"> This can improve morale and motivation</w:t>
      </w:r>
      <w:r w:rsidDel="00000000" w:rsidR="00000000" w:rsidRPr="00000000">
        <w:rPr>
          <w:color w:val="575b5f"/>
          <w:vertAlign w:val="superscript"/>
          <w:rtl w:val="0"/>
        </w:rPr>
        <w:t xml:space="preserve">13</w:t>
      </w:r>
      <w:r w:rsidDel="00000000" w:rsidR="00000000" w:rsidRPr="00000000">
        <w:rPr>
          <w:color w:val="1b1c1d"/>
          <w:rtl w:val="0"/>
        </w:rPr>
        <w:t xml:space="preserve">.</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Promote work-life balance:</w:t>
      </w:r>
      <w:r w:rsidDel="00000000" w:rsidR="00000000" w:rsidRPr="00000000">
        <w:rPr>
          <w:color w:val="1b1c1d"/>
          <w:rtl w:val="0"/>
        </w:rPr>
        <w:t xml:space="preserve"> Encourage employees to take breaks and avoid burnout</w:t>
      </w:r>
      <w:r w:rsidDel="00000000" w:rsidR="00000000" w:rsidRPr="00000000">
        <w:rPr>
          <w:color w:val="575b5f"/>
          <w:vertAlign w:val="superscript"/>
          <w:rtl w:val="0"/>
        </w:rPr>
        <w:t xml:space="preserve">12</w:t>
      </w:r>
      <w:r w:rsidDel="00000000" w:rsidR="00000000" w:rsidRPr="00000000">
        <w:rPr>
          <w:color w:val="1b1c1d"/>
          <w:rtl w:val="0"/>
        </w:rPr>
        <w:t xml:space="preserve">.</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Utilize a servant leadership approach:</w:t>
      </w:r>
      <w:r w:rsidDel="00000000" w:rsidR="00000000" w:rsidRPr="00000000">
        <w:rPr>
          <w:color w:val="1b1c1d"/>
          <w:rtl w:val="0"/>
        </w:rPr>
        <w:t xml:space="preserve"> Servant leadership, which focuses on empowering and supporting team members, can create a more motivated and productive work environment</w:t>
      </w:r>
      <w:r w:rsidDel="00000000" w:rsidR="00000000" w:rsidRPr="00000000">
        <w:rPr>
          <w:color w:val="575b5f"/>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spacing w:after="240" w:before="420" w:lineRule="auto"/>
        <w:rPr>
          <w:color w:val="1b1c1d"/>
        </w:rPr>
      </w:pPr>
      <w:r w:rsidDel="00000000" w:rsidR="00000000" w:rsidRPr="00000000">
        <w:rPr>
          <w:color w:val="1b1c1d"/>
          <w:rtl w:val="0"/>
        </w:rPr>
        <w:t xml:space="preserve">Conclusion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Measuring and improving team productivity is an ongoing process. By utilizing the right metrics, understanding the factors that influence productivity, and implementing appropriate tools and strategies, organizations can create a high-performing operations team that consistently delivers excellent results.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Specifically, you can use the information in this report to measure and improve your team's productivity by:</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Calculating "cases closed per employee per day" for each team member.</w:t>
      </w:r>
      <w:r w:rsidDel="00000000" w:rsidR="00000000" w:rsidRPr="00000000">
        <w:rPr>
          <w:color w:val="1b1c1d"/>
          <w:rtl w:val="0"/>
        </w:rPr>
        <w:t xml:space="preserve"> This provides a baseline understanding of individual productivity and helps identify high-performing and underperforming employees.</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Tracking "average handling time" to identify bottlenecks and areas for improvement in your case resolution process.</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Monitoring "first contact resolution rate" to assess efficiency and customer satisfaction.</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Implementing productivity management software, such as ActivTrak or Monitask, to gain deeper insights into employee activity and time management.</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Setting SMART goals and involving your team in the goal-setting process to foster motivation and ownership.</w:t>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Utilizing a servant leadership approach to empower and support your team members.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55" w:before="240" w:lineRule="auto"/>
        <w:rPr>
          <w:color w:val="1b1c1d"/>
        </w:rPr>
      </w:pPr>
      <w:r w:rsidDel="00000000" w:rsidR="00000000" w:rsidRPr="00000000">
        <w:rPr>
          <w:color w:val="1b1c1d"/>
          <w:rtl w:val="0"/>
        </w:rPr>
        <w:t xml:space="preserve">Regularly reviewing progress, gathering feedback, and adapting strategies as needed will ensure continued improvement and success in your operations team.</w:t>
      </w:r>
    </w:p>
    <w:p w:rsidR="00000000" w:rsidDel="00000000" w:rsidP="00000000" w:rsidRDefault="00000000" w:rsidRPr="00000000" w14:paraId="0000005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 9 Productivity Metrics and KPIs That Matter - NetSuite, accessed January 18, 2025, </w:t>
      </w:r>
      <w:hyperlink r:id="rId6">
        <w:r w:rsidDel="00000000" w:rsidR="00000000" w:rsidRPr="00000000">
          <w:rPr>
            <w:color w:val="0000ee"/>
            <w:u w:val="single"/>
            <w:rtl w:val="0"/>
          </w:rPr>
          <w:t xml:space="preserve">https://www.netsuite.com/portal/resource/articles/human-resources/productivity-metrics.shtml</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 How To Increase Productivity in Operations Management - StartingPoint, accessed January 18, 2025, </w:t>
      </w:r>
      <w:hyperlink r:id="rId7">
        <w:r w:rsidDel="00000000" w:rsidR="00000000" w:rsidRPr="00000000">
          <w:rPr>
            <w:color w:val="0000ee"/>
            <w:u w:val="single"/>
            <w:rtl w:val="0"/>
          </w:rPr>
          <w:t xml:space="preserve">https://www.startingpoint.ai/post/how-to-increase-productivity-in-operations-management</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 21 ways to improve team productivity - Zendesk, accessed January 18, 2025, </w:t>
      </w:r>
      <w:hyperlink r:id="rId8">
        <w:r w:rsidDel="00000000" w:rsidR="00000000" w:rsidRPr="00000000">
          <w:rPr>
            <w:color w:val="0000ee"/>
            <w:u w:val="single"/>
            <w:rtl w:val="0"/>
          </w:rPr>
          <w:t xml:space="preserve">https://www.zendesk.com/blog/team-productivity/</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 How do you increase team productivity? - Reddit, accessed January 18, 2025, </w:t>
      </w:r>
      <w:hyperlink r:id="rId9">
        <w:r w:rsidDel="00000000" w:rsidR="00000000" w:rsidRPr="00000000">
          <w:rPr>
            <w:color w:val="0000ee"/>
            <w:u w:val="single"/>
            <w:rtl w:val="0"/>
          </w:rPr>
          <w:t xml:space="preserve">https://www.reddit.com/r/productivity/comments/13iyb6c/how_do_you_increase_team_productivity/</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 Top Strategies for Improving Business Productivity - Slack, accessed January 18, 2025, </w:t>
      </w:r>
      <w:hyperlink r:id="rId10">
        <w:r w:rsidDel="00000000" w:rsidR="00000000" w:rsidRPr="00000000">
          <w:rPr>
            <w:color w:val="0000ee"/>
            <w:u w:val="single"/>
            <w:rtl w:val="0"/>
          </w:rPr>
          <w:t xml:space="preserve">https://slack.com/blog/collaboration/top-strategies-improving-business-productivity</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 18 best team productivity tools and apps of 2024 - Zendesk, accessed January 18, 2025, </w:t>
      </w:r>
      <w:hyperlink r:id="rId11">
        <w:r w:rsidDel="00000000" w:rsidR="00000000" w:rsidRPr="00000000">
          <w:rPr>
            <w:color w:val="0000ee"/>
            <w:u w:val="single"/>
            <w:rtl w:val="0"/>
          </w:rPr>
          <w:t xml:space="preserve">https://www.zendesk.com/service/wfm/team-productivity-tools/</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 20 Best Productivity Tracking Software of 2025, accessed January 18, 2025, </w:t>
      </w:r>
      <w:hyperlink r:id="rId12">
        <w:r w:rsidDel="00000000" w:rsidR="00000000" w:rsidRPr="00000000">
          <w:rPr>
            <w:color w:val="0000ee"/>
            <w:u w:val="single"/>
            <w:rtl w:val="0"/>
          </w:rPr>
          <w:t xml:space="preserve">https://peoplemanagingpeople.com/tools/best-productivity-tracking-software/</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8. Elevate Your Workflow with the Best Productivity Tools - Tracking Time, accessed January 18, 2025, </w:t>
      </w:r>
      <w:hyperlink r:id="rId13">
        <w:r w:rsidDel="00000000" w:rsidR="00000000" w:rsidRPr="00000000">
          <w:rPr>
            <w:color w:val="0000ee"/>
            <w:u w:val="single"/>
            <w:rtl w:val="0"/>
          </w:rPr>
          <w:t xml:space="preserve">https://trackingtime.co/productivity/best-productivity-tools-workflow-efficiency.html</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9. How to Set Productivity Goals for 2024 [+ Examples] - Fellow.app, accessed January 18, 2025, </w:t>
      </w:r>
      <w:hyperlink r:id="rId14">
        <w:r w:rsidDel="00000000" w:rsidR="00000000" w:rsidRPr="00000000">
          <w:rPr>
            <w:color w:val="0000ee"/>
            <w:u w:val="single"/>
            <w:rtl w:val="0"/>
          </w:rPr>
          <w:t xml:space="preserve">https://fellow.app/blog/productivity/productivity-goals/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10. 7 Effective Goal-Setting Techniques - AchieveIt, accessed January 18, 2025, </w:t>
      </w:r>
      <w:hyperlink r:id="rId15">
        <w:r w:rsidDel="00000000" w:rsidR="00000000" w:rsidRPr="00000000">
          <w:rPr>
            <w:color w:val="0000ee"/>
            <w:u w:val="single"/>
            <w:rtl w:val="0"/>
          </w:rPr>
          <w:t xml:space="preserve">https://www.achieveit.com/resources/blog/7-effective-goal-setting-techniques/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11. 7 Powerful Ways to Motivate Your Team - Maven, accessed January 18, 2025, </w:t>
      </w:r>
      <w:hyperlink r:id="rId16">
        <w:r w:rsidDel="00000000" w:rsidR="00000000" w:rsidRPr="00000000">
          <w:rPr>
            <w:color w:val="0000ee"/>
            <w:u w:val="single"/>
            <w:rtl w:val="0"/>
          </w:rPr>
          <w:t xml:space="preserve">https://maven.com/articles/motivate-your-team</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12. 7 Proven Ways to Improve Team Productivity - ActivTrak, accessed January 18, 2025, </w:t>
      </w:r>
      <w:hyperlink r:id="rId17">
        <w:r w:rsidDel="00000000" w:rsidR="00000000" w:rsidRPr="00000000">
          <w:rPr>
            <w:color w:val="0000ee"/>
            <w:u w:val="single"/>
            <w:rtl w:val="0"/>
          </w:rPr>
          <w:t xml:space="preserve">https://www.activtrak.com/blog/ways-to-improve-team-productivity/</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13. 10 Inspirational Tips on How to Motivate a Team - ClickUp, accessed January 18, 2025, </w:t>
      </w:r>
      <w:hyperlink r:id="rId18">
        <w:r w:rsidDel="00000000" w:rsidR="00000000" w:rsidRPr="00000000">
          <w:rPr>
            <w:color w:val="0000ee"/>
            <w:u w:val="single"/>
            <w:rtl w:val="0"/>
          </w:rPr>
          <w:t xml:space="preserve">https://clickup.com/blog/motivating-a-team/</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14. Techniques to Motivate Your Team for Better Performance - Leantime, accessed January 18, 2025, </w:t>
      </w:r>
      <w:hyperlink r:id="rId19">
        <w:r w:rsidDel="00000000" w:rsidR="00000000" w:rsidRPr="00000000">
          <w:rPr>
            <w:color w:val="0000ee"/>
            <w:u w:val="single"/>
            <w:rtl w:val="0"/>
          </w:rPr>
          <w:t xml:space="preserve">https://leantime.io/motivate-your-team-for-better-performance/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zendesk.com/service/wfm/team-productivity-tools/" TargetMode="External"/><Relationship Id="rId10" Type="http://schemas.openxmlformats.org/officeDocument/2006/relationships/hyperlink" Target="https://slack.com/blog/collaboration/top-strategies-improving-business-productivity" TargetMode="External"/><Relationship Id="rId13" Type="http://schemas.openxmlformats.org/officeDocument/2006/relationships/hyperlink" Target="https://trackingtime.co/productivity/best-productivity-tools-workflow-efficiency.html" TargetMode="External"/><Relationship Id="rId12" Type="http://schemas.openxmlformats.org/officeDocument/2006/relationships/hyperlink" Target="https://peoplemanagingpeople.com/tools/best-productivity-tracking-softw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ddit.com/r/productivity/comments/13iyb6c/how_do_you_increase_team_productivity/" TargetMode="External"/><Relationship Id="rId15" Type="http://schemas.openxmlformats.org/officeDocument/2006/relationships/hyperlink" Target="https://www.achieveit.com/resources/blog/7-effective-goal-setting-techniques/" TargetMode="External"/><Relationship Id="rId14" Type="http://schemas.openxmlformats.org/officeDocument/2006/relationships/hyperlink" Target="https://fellow.app/blog/productivity/productivity-goals/" TargetMode="External"/><Relationship Id="rId17" Type="http://schemas.openxmlformats.org/officeDocument/2006/relationships/hyperlink" Target="https://www.activtrak.com/blog/ways-to-improve-team-productivity/" TargetMode="External"/><Relationship Id="rId16" Type="http://schemas.openxmlformats.org/officeDocument/2006/relationships/hyperlink" Target="https://maven.com/articles/motivate-your-team" TargetMode="External"/><Relationship Id="rId5" Type="http://schemas.openxmlformats.org/officeDocument/2006/relationships/styles" Target="styles.xml"/><Relationship Id="rId19" Type="http://schemas.openxmlformats.org/officeDocument/2006/relationships/hyperlink" Target="https://leantime.io/motivate-your-team-for-better-performance/" TargetMode="External"/><Relationship Id="rId6" Type="http://schemas.openxmlformats.org/officeDocument/2006/relationships/hyperlink" Target="https://www.netsuite.com/portal/resource/articles/human-resources/productivity-metrics.shtml" TargetMode="External"/><Relationship Id="rId18" Type="http://schemas.openxmlformats.org/officeDocument/2006/relationships/hyperlink" Target="https://clickup.com/blog/motivating-a-team/" TargetMode="External"/><Relationship Id="rId7" Type="http://schemas.openxmlformats.org/officeDocument/2006/relationships/hyperlink" Target="https://www.startingpoint.ai/post/how-to-increase-productivity-in-operations-management" TargetMode="External"/><Relationship Id="rId8" Type="http://schemas.openxmlformats.org/officeDocument/2006/relationships/hyperlink" Target="https://www.zendesk.com/blog/team-produ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