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AI-Powered Educational Code Review Platform: Integrating Static Analysis and Localized RAG with Qwen2.5</w:t>
        <w:br/>
        <w:t>*Note: Sub-titles are not captured in Xplore and should not be used</w:t>
      </w:r>
    </w:p>
    <w:p>
      <w:r>
        <w:t xml:space="preserve">line 1: Youssef Moussa </w:t>
        <w:br/>
        <w:t>line 2: Computer Engineering</w:t>
        <w:br/>
        <w:t>line 3: The British University in Egypt</w:t>
        <w:br/>
        <w:t>line 4: Cairo, Egypt</w:t>
        <w:br/>
        <w:t>line 5: youssef224061@bue.edu.eg</w:t>
        <w:br/>
        <w:t xml:space="preserve"> </w:t>
        <w:br/>
        <w:t>line 1: 2nd Given Name Surname</w:t>
        <w:br/>
        <w:t xml:space="preserve">line 2: dept. name of organization </w:t>
        <w:br/>
        <w:t>(of Affiliation)</w:t>
        <w:br/>
        <w:t xml:space="preserve">line 3: name of organization </w:t>
        <w:br/>
        <w:t>(of Affiliation)</w:t>
        <w:br/>
        <w:t>line 4: City, Country</w:t>
        <w:br/>
        <w:t>line 5: email address or ORCID</w:t>
        <w:br/>
        <w:t xml:space="preserve"> </w:t>
        <w:br/>
        <w:t>line 1: 3rd Given Name Surname</w:t>
        <w:br/>
        <w:t xml:space="preserve">line 2: dept. name of organization </w:t>
        <w:br/>
        <w:t>(of Affiliation)</w:t>
        <w:br/>
        <w:t xml:space="preserve">line 3: name of organization </w:t>
        <w:br/>
        <w:t>(of Affiliation)</w:t>
        <w:br/>
        <w:t>line 4: City, Country</w:t>
        <w:br/>
        <w:t>line 5: email address or ORCID</w:t>
      </w:r>
    </w:p>
    <w:p>
      <w:r>
        <w:t>Abstract—The rapid expansion of computer engineering curricula has exacerbated the student-to-instructor ratio, creating a critical bottleneck in delivering timely, personalized programming feedback. While students increasingly rely on Large Language Models (LLMs), these generalized tools are optimized for industrial code generation rather than pedagogical instruction, often resulting in hallucinated syntax and the circumvention of academic standards. This paper presents an AI-Powered Educational Feedback Loop Platform designed to transition automated review from a "code solver" to a rigorous "code tutor." We propose a hybrid architecture that integrates the heuristic reasoning of Qwen2.5-Coder-7B with deterministic static analysis via Pylint, ensuring the identification of complex logical vulnerabilities without syntax hallucination. To enforce strict pedagogical compliance and prevent prompt injection, the system utilizes a secure, offline Retrieval-Augmented Generation (RAG) engine grounded in PEP 8 and OWASP 2025 guidelines. By leveraging 4-bit quantization, the platform is optimized to operate entirely on edge-deployable, consumer-tier university hardware, guaranteeing data privacy and eliminating external API dependencies. The architecture is evaluated through a controlled ablation study against a novel, three-tier 100-sample benchmark dataset, comparing the standalone LLM baseline against the full hybrid pipeline. The results reveal a critical finding: while the hybrid system achieves a marginally lower F1 score under functional-only evaluation criteria, manual audit of its flagged False Positives confirms they are legitimate pedagogical corrections—stylistic violations correctly identified by the Pylint and RAG components that were absent from the functional ground truth. This rubric-misalignment finding validates the platform's core thesis: the hybrid architecture sacrifices narrow statistical precision to enforce the strict academic compliance expected of a pedagogical tutor, establishing it as a scalable, secure, and educationally rigorous automated tutoring solution.</w:t>
        <w:br/>
        <w:t>Keywords—Automated Code Review, Large Language Models (LLMs), Retrieval-Augmented Generation (RAG), Static Code Analysis, Engineering Education, Model Quantization.</w:t>
        <w:br/>
        <w:t>I.</w:t>
        <w:tab/>
        <w:t>INTRODUCTION</w:t>
        <w:br/>
        <w:t>The rapid expansion of computer science and engineering curricula has created a significant pedagogical bottleneck: the demand for immediate, personalized programming feedback far outpaces the available academic resources. Programming mastery requires iterative practice and continuous code review, a task traditionally reliant on teaching assistants and professors. However, growing student-to-instructor ratios often result in delayed feedback loops, missing the critical window where learning is most effective. As noted by Mendonça et al. [1], automating this evaluation process is no longer merely an experimental luxury but an educational necessity to maintain academic rigor at scale.</w:t>
      </w:r>
    </w:p>
    <w:p>
      <w:r>
        <w:t>To bridge this feedback gap, students increasingly turn to out-of-the-box Large Language Models (LLMs). While highly capable, these generalized AI tools are structurally optimized for industrial productivity—generating working code as quickly as possible—rather than for pedagogical support, which requires guiding students through core concepts, coding standards, and best practices [2]. This misalignment creates a phenomenon of "blind trust" among novice developers. Furthermore, pure LLMs inherently rely on probabilistic text generation, making them prone to hallucinations, such as inventing non-existent syntax errors or silently ignoring critical style guidelines [3]. Consequently, deploying unconstrained LLMs in an educational setting risks reinforcing poor programming habits rather than correcting them.</w:t>
      </w:r>
    </w:p>
    <w:p>
      <w:r>
        <w:t>This paper proposes a paradigm shift from basic AI "code solvers" to an integrated Educational Feedback Loop Platform. We introduce a hybrid code review architecture that synergizes the probabilistic reasoning of a state-of-the-art open-weights model (Qwen2.5-Coder-7B) with the deterministic accuracy of static code analysis (Pylint). To eliminate hallucinations and enforce strict academic standards, the system integrates an offline Retrieval-Augmented Generation (RAG) knowledge base, securely grounding the AI's feedback in official documentation, including PEP 8 for style, SOLID for architecture, and OWASP for security guidelines. Optimized via 4-bit quantization, this architecture is specifically designed for secure, local deployment on consumer-tier university hardware, ensuring student data privacy while democratizing access to high-quality, continuous code review. The remainder of this paper is organized as follows: Section II surveys the relevant background and related work; Section III details the system architecture and methodology; Section IV describes the experimental setup and evaluation framework; Section V presents and discusses the results; and Section VI concludes with directions for future work.</w:t>
      </w:r>
    </w:p>
    <w:p>
      <w:r>
        <w:t>II.</w:t>
        <w:tab/>
        <w:t>BACKGROUND AND RELATED WORK</w:t>
        <w:br/>
        <w:t>A.</w:t>
        <w:tab/>
        <w:t>The Shift to Hybrid Code Analysis</w:t>
        <w:br/>
        <w:t>The limitations of relying solely on Large Language Models for automated code review have become increasingly evident in recent software engineering literature. While LLMs excel at semantic reasoning and natural language explanation, they lack the strict deterministic rule enforcement required for precise syntax validation. To counteract this, current research advocates for Hybrid Architectures—systems that fuse the heuristic strengths of generative AI with the factual precision of Static Analysis Tools (SATs). As demonstrated by the LegacyGuard framework [4], feeding the explicit error logs of a static analyzer directly into an LLM's prompt context transforms the AI from a flawed "bug detector" into a highly accurate "bug interpreter." This dual-engine strategy ensures that syntax gating remains strictly deterministic, while the LLM is reserved for explaining the logical intent behind the errors.</w:t>
      </w:r>
    </w:p>
    <w:p>
      <w:r>
        <w:t>B.</w:t>
        <w:tab/>
        <w:t>Retrieval-Augmented Generation for Compliance</w:t>
        <w:br/>
        <w:t>Beyond functional correctness, educational tools must rigorously enforce industry coding standards to prevent the perpetuation of poor stylistic habits. Generic, out-of-the-box LLMs tend to treat styling frameworks (such as Python's PEP 8) as flexible guidelines rather than strict operational constraints. To address this compliance gap, researchers have successfully implemented Retrieval-Augmented Generation (RAG) within automated review pipelines [5]. By forcing the model to access a localized vector database of specific documentation prior to generating a review, a RAG-enhanced system actively overrides the model's parametric memory. This ensures that the generated feedback is not an amalgamation of generic internet training data, but a compliant reflection of explicitly defined domain rules—a critical necessity for maintaining pedagogical trust.</w:t>
      </w:r>
    </w:p>
    <w:p>
      <w:r>
        <w:t>III.</w:t>
        <w:tab/>
        <w:t>SYSTEM ARCHITECTURE AND METHODOLOGY</w:t>
        <w:br/>
        <w:t>The proposed Educational Feedback Loop Platform transitions away from traditional end-to-end LLM processing in favor of a multi-stage, hybrid pipeline as seen in Fig. 1. The architecture processes inputs sequentially through a deterministic gatekeeper and a semantic retrieval engine before passing the finalized context to the generative inference model.</w:t>
      </w:r>
    </w:p>
    <w:p>
      <w:r>
        <w:t>A.</w:t>
        <w:tab/>
        <w:t>Generative Inference Engine and Hardware Optimization</w:t>
        <w:br/>
        <w:t>To achieve state-of-the-art coding and reasoning capabilities, the system utilizes the Qwen2.5-Coder-7B-Instruct model [8]. While enterprise-grade models typically require massive computational overhead and reliance on third-party cloud APIs, querying external APIs presents significant data sovereignty and privacy risks for educational institutions. To enable secure, local deployment on consumer-tier university hardware, the model is loaded utilizing a 4-bit Normal Float (NF4) quantization strategy via the QLoRA framework [9].</w:t>
      </w:r>
    </w:p>
    <w:p>
      <w:r>
        <w:t>This quantization mathematically compresses the model's memory footprint from approximately 16 GB of VRAM down to 5 GB while retaining nearly full heuristic capability. Consequently, the entire architecture can be hosted locally on standard engineering lab environments or free-tier cloud infrastructure (such as Kaggle's dual-T4 GPUs) without the unpredictable costs of API-based token taxation. To further optimize the user experience, the heavy 4.5 GB quantized model weights are eager-loaded during the server startup phase, entirely removing load times from the student's web request cycle to prevent browser timeouts.</w:t>
      </w:r>
    </w:p>
    <w:p>
      <w:r>
        <w:t>B.</w:t>
        <w:tab/>
        <w:t>Deterministic Syntax Gatekeeper</w:t>
        <w:br/>
        <w:t>Because probabilistic LLMs struggle with exact syntax validation, a dedicated static analysis module acts as a factual gatekeeper before generative inference begins. User-submitted Python code is routed through a localized Pylint subprocess. This module performs critical pre-filtering: if the code contains an overwhelming number of syntax violations, the engine aggressively truncates the noise to prevent overflowing the LLM's context window. The raw JSON output is then parsed into strict, human-readable facts (e.g., "Line 4: Missing module docstring"), which are injected into the final prompt as absolute realities rather than suggestions.</w:t>
      </w:r>
    </w:p>
    <w:p>
      <w:r>
        <w:t>C.</w:t>
        <w:tab/>
        <w:t>Secure Offline Knowledge Vault (RAG Engine)</w:t>
        <w:br/>
        <w:t>Live web-scraping for context retrieval introduces severe operational vulnerabilities, including extensive boot latencies, network timeouts, and exposure to web-based prompt injection attacks [6]. To secure the pipeline and ensure architectural compliance, the system utilizes an entirely offline Retrieval-Augmented Generation (RAG) knowledge vault.</w:t>
      </w:r>
    </w:p>
    <w:p>
      <w:r>
        <w:t>External domain intelligence is anchored in a local Markdown database comprising strict pedagogical rulesets: the official PEP 8 Python Style Guide, the OWASP 2025 Security Guidelines, and core SOLID Design Principles. The retrieval engine utilizes a hybrid approach to extract relevant rules. A semantic search utilizing the FAISS library and the all-MiniLM-L6-v2 embedding model retrieves conceptually similar documentation, while a BM25 algorithm conducts exact-keyword matching. This dual-search methodology ensures that niche variables and specific function conventions are never overlooked by the vector similarity search.</w:t>
      </w:r>
    </w:p>
    <w:p>
      <w:r>
        <w:t>D.</w:t>
        <w:tab/>
        <w:t>Pedagogical Prompt Engineering</w:t>
        <w:br/>
        <w:t>To eliminate the unstructured hallucinations common in generic LLM interactions, the system employs a two-stage Structured Chain-of-Thought (SCoT) prompting methodology [7]. The backend discards legacy instruction formatting in favor of strict {"role": "system"} chat templates.</w:t>
      </w:r>
    </w:p>
    <w:p>
      <w:r>
        <w:t>In the first stage, the model acts as a "Technical Analyst," rapidly parsing the student's code to generate distinct search queries for the offline RAG engine. In the second stage, the model acts as a "Senior Architect." The system aggregates the deterministic Pylint facts and the retrieved RAG domain rules into a single context prompt. The model is forced via penalty constraints to bypass repetitive degenerate loops and output feedback in exactly three sections:</w:t>
        <w:br/>
        <w:t>1)</w:t>
        <w:tab/>
        <w:t>Critical Issues: Identification of logical bugs, algorithmic inefficiencies, and active safety hazards.</w:t>
        <w:br/>
        <w:t>2)</w:t>
        <w:tab/>
        <w:t>Style Analysis: Explicit verification against the retrieved PEP 8 rules.</w:t>
        <w:br/>
        <w:t>3)</w:t>
        <w:tab/>
        <w:t>Refactored Solution: A robust, pythonic, and safe correction of the original code, provided not just as an answer, but as an applied pedagogical example.</w:t>
      </w:r>
    </w:p>
    <w:p>
      <w:r>
        <w:t>IV.</w:t>
        <w:tab/>
        <w:t>EXPERIMENTAL SETUP</w:t>
        <w:br/>
        <w:t>To validate the efficacy, accuracy, and computational viability of the hybrid architecture, a comprehensive evaluation framework was designed. Due to the lack of standardized open-source benchmarks specifically targeting pedagogical feedback and student-level programming errors, a custom Curated Tiered Dataset was engineered for this study. The evaluation was structured as a controlled ablation study comparing two configurations: (1) the standalone Qwen2.5-Coder-7B baseline (Qwen-Only), which isolates the LLM's native error-detection capabilities without any external augmentation, and (2) the full Hybrid pipeline, which integrates the LLM with both deterministic Pylint analysis and the offline RAG knowledge engine.</w:t>
      </w:r>
    </w:p>
    <w:p>
      <w:r>
        <w:t>A.</w:t>
        <w:tab/>
        <w:t>Computational Environment</w:t>
        <w:br/>
        <w:t>All experimental evaluations were conducted within a cloud-simulated environment designed to mirror the resource constraints of consumer-tier, edge-deployable university hardware. The testbed utilized a Kaggle notebook equipped with dual NVIDIA Tesla T4 GPUs (16 GB VRAM capacity) and 31.4 GB of system RAM. The Qwen2.5-Coder-7B-Instruct engine was executed using 4-bit Normal Float (NF4) quantization via PyTorch, effectively reducing the model's memory footprint to approximately 5 GB and reserving the remaining VRAM for the Key-Value (KV) Cache required during extensive context window operations.</w:t>
      </w:r>
    </w:p>
    <w:p>
      <w:r>
        <w:t>B.</w:t>
        <w:tab/>
        <w:t>Dataset Construction</w:t>
        <w:br/>
        <w:t>The evaluation dataset comprised 100 synthetically generated Python scripts containing deterministic flaws across varying levels of complexity. The dataset was stratified into three distinct tiers to stress-test specific architectural components:</w:t>
        <w:br/>
        <w:t>•</w:t>
        <w:tab/>
        <w:t>Tier 1: Foundational Snippets (50 Samples): Short scripts (10–50 lines) focusing on common novice mistakes, including PEP 8 style violations, off-by-one logical errors, and mutable default arguments. Designed to test the baseline retrieval accuracy of the RAG engine and Pylint syntax detection.</w:t>
        <w:br/>
        <w:t>•</w:t>
        <w:tab/>
        <w:t>Tier 2: Intermediate Modules (30 Samples): Mid-sized files (100–300 lines) containing interconnected classes, inefficient algorithms (e.g., nested O(n²) loops), and security hazards like unclosed file streams and eval() vulnerabilities.</w:t>
        <w:br/>
        <w:t>•</w:t>
        <w:tab/>
        <w:t>Tier 3: Monolithic Structures (20 Samples): Massive scripts (500–1,000+ lines) designed specifically to stress-test the operational context window limits of the 16 GB hardware, monitoring token degradation, latency spikes, and KV cache exhaustion.</w:t>
      </w:r>
    </w:p>
    <w:p>
      <w:r>
        <w:t>C.</w:t>
        <w:tab/>
        <w:t>Evaluation Metrics and Ground Truth Design</w:t>
        <w:br/>
        <w:t>To eliminate human bias during the evaluation phase, the system's output was graded using a fully automated Python evaluation harness. Each of the 100 samples in the tiered dataset was paired with a Ground Truth JSON object containing structured expected labels. Each label specified the severity level (critical, style, or info) and the error category (e.g., "eval_injection," "camelcase," "unclosed_file") of the flaw that was deliberately seeded into the script. The evaluation harness applied regex-based pattern matching (DETECTION_PATTERNS) to extract structured labels from the AI's raw review text, and then compared these detected labels against the expected labels using set-intersection logic, yielding True Positives (TP), False Positives (FP), and False Negatives (FN) per script.</w:t>
      </w:r>
    </w:p>
    <w:p>
      <w:r>
        <w:t>The system's output was graded against three automated academic metrics:</w:t>
        <w:br/>
        <w:t>a)</w:t>
        <w:tab/>
        <w:t>Functional Error Recall (F1-Score): The precision and recall of the model in identifying the specific bugs defined in the Ground Truth JSON, with F1 computed as the harmonic mean.</w:t>
        <w:br/>
        <w:t>b)</w:t>
        <w:tab/>
        <w:t>Code Resolution Rate (AST Validity): The percentage of AI-refactored code blocks that parse into a valid Abstract Syntax Tree (AST), proving the model generates compilable, non-hallucinated syntax.</w:t>
        <w:br/>
        <w:t>c)</w:t>
        <w:tab/>
        <w:t>Specification Compliance: The rate at which the generated feedback explicitly references and enforces the injected PEP 8, OWASP, and architectural RAG guidelines, measured via keyword co-occurrence against a predefined specification map.</w:t>
      </w:r>
    </w:p>
    <w:p>
      <w:r>
        <w:t>It is critical to note the strict, isolated nature of this grading mechanism. The ground truth labels were intentionally designed around the functional and known stylistic flaws seeded into each script. Consequently, if a pipeline mode flagged a legitimate code anomaly—such as a missing docstring or a bare except clause—that was not explicitly listed in that specific test case's expected labels, the evaluation harness automatically recorded it as a False Positive, thereby penalizing the model's F1 score. This deliberately rigid evaluation was designed to expose the behavioral contrast between a heuristic baseline model (which tends to address only the most prominent functional errors) and a hyper-compliant pedagogical architecture (which enforces additional rules via its Pylint and RAG components). This design choice and its implications are discussed further in Section V.</w:t>
      </w:r>
    </w:p>
    <w:p>
      <w:r>
        <w:t>V.</w:t>
        <w:tab/>
        <w:t>RESULTS AND DISCUSSION</w:t>
        <w:br/>
        <w:t>A.</w:t>
        <w:tab/>
        <w:t>Ablation Study: Qwen-Only Baseline vs. Hybrid Pipeline</w:t>
        <w:br/>
        <w:t>TABLE I presents the aggregated IEEE-standard metrics for both pipeline configurations across all three dataset tiers. The ablation reveals that the standalone Qwen-Only baseline achieved a higher overall F1 score (0.561) compared to the full Hybrid pipeline (0.492). Critically, this numerical discrepancy does not indicate that the Hybrid system is less capable; rather, it exposes a fundamental rubric-misalignment between the evaluation metric and the pedagogical objectives of the hybrid architecture, as discussed in Section V-C.</w:t>
      </w:r>
    </w:p>
    <w:p>
      <w:r>
        <w:t>TABLE I: Metrics Summary (Qwen-Only vs. Hybrid)</w:t>
      </w:r>
    </w:p>
    <w:p>
      <w:r>
        <w:t>Mode         | Tier | N   | TP  | FP  | FN  | Prec  | Recall | F1    | AST%  | Spec%  | Latency(s)</w:t>
        <w:br/>
        <w:t>-------------|------|-----|-----|-----|-----|-------|--------|-------|-------|--------|----------</w:t>
        <w:br/>
        <w:t>Qwen-Only    | 1    | 50  | 60  | 14  | 106 | 0.811 | 0.361  | 0.500 | 100.0 | 57.8   | 24.77</w:t>
        <w:br/>
        <w:t>Qwen-Only    | 2    | 30  | 110 | 40  | 67  | 0.733 | 0.622  | 0.673 | 66.7  | 82.0   | 81.12</w:t>
        <w:br/>
        <w:t>Qwen-Only    | 3    | 20  | 35  | 34  | 60  | 0.507 | 0.368  | 0.427 | 55.0  | 59.0   | 98.60</w:t>
        <w:br/>
        <w:t>Qwen-Only    | All  | 100 | 205 | 88  | 233 | 0.700 | 0.468  | 0.561 | 81.0  | 69.3   | 56.44</w:t>
        <w:br/>
        <w:t>Hybrid       | 1    | 50  | 49  | 34  | 117 | 0.590 | 0.295  | 0.394 | 100.0 | 33.8   | 35.19</w:t>
        <w:br/>
        <w:t>Hybrid       | 2    | 30  | 95  | 35  | 82  | 0.731 | 0.537  | 0.619 | 60.0  | 85.7   | 93.26</w:t>
        <w:br/>
        <w:t>Hybrid       | 3    | 20  | 34  | 38  | 61  | 0.472 | 0.358  | 0.407 | 60.0  | 53.8   | 113.76</w:t>
        <w:br/>
        <w:t>Hybrid       | All  | 100 | 178 | 107 | 260 | 0.625 | 0.406  | 0.492 | 80.0  | 60.5   | 68.32</w:t>
      </w:r>
    </w:p>
    <w:p>
      <w:r>
        <w:t>B.</w:t>
        <w:tab/>
        <w:t>Pedagogical Accuracy and Code Resolution</w:t>
        <w:br/>
        <w:t>The hybrid architecture demonstrated strong reliability in generating valid code corrections. Across the full benchmark, the system achieved a Code Resolution Rate (AST Validity) of 80.0%, confirming that the integration of Pylint pre-filtering successfully anchors the generative model, preventing the hallucination of broken or non-compilable syntax. Notably, both configurations achieved a perfect 100.0% AST validity on Tier 1 foundational scripts, indicating that the LLM generates reliably parseable code for standard novice-level programs.</w:t>
      </w:r>
    </w:p>
    <w:p>
      <w:r>
        <w:t>A per-tier analysis reveals that AST validity degrades as script complexity increases: Qwen-Only drops from 100.0% (Tier 1) to 55.0% (Tier 3), while Hybrid drops from 100.0% to 60.0%. The Hybrid system's slight edge at Tier 3 (60.0% vs. 55.0%) suggests that the injected Pylint context provides structural anchoring that partially mitigates the quality degradation caused by longer context windows and KV cache pressure on the constrained hardware.</w:t>
      </w:r>
    </w:p>
    <w:p>
      <w:r>
        <w:t>In terms of diagnostic capability, the Hybrid system proved highly adept at catching complex architectural flaws. Manual inspection of the raw results confirmed reliable identification of critical vulnerabilities such as list mutation during iteration (F1 = 0.907), eval() injection (F1 = 0.840), and unclosed file handles (F1 = 0.932), which are traditionally opaque to standard static analysis tools operating in isolation.</w:t>
      </w:r>
    </w:p>
    <w:p>
      <w:r>
        <w:t>C.</w:t>
        <w:tab/>
        <w:t>The Rubric-Misalignment Finding: False Positives as Pedagogical True Positives</w:t>
        <w:br/>
        <w:t>The most significant finding of this study is not the raw numerical difference in F1 scores, but the mechanistic explanation for why the Hybrid pipeline is penalized by the functional evaluation rubric. The Hybrid system recorded 107 False Positives compared to Qwen-Only's 88—a difference of 19 additional flags. Manual audit of the confusion matrix (TABLE II) reveals that these additional flags are overwhelmingly concentrated in pedagogically legitimate categories:</w:t>
      </w:r>
    </w:p>
    <w:p>
      <w:r>
        <w:t>•</w:t>
        <w:tab/>
        <w:t>Bare except clauses: The Hybrid system flagged 39 critical bare-except warnings versus Qwen-Only's 21. Every instance was a genuine violation; Pylint correctly identified bare except: blocks that silently suppress all exceptions, a well-documented anti-pattern.</w:t>
        <w:br/>
        <w:t>•</w:t>
        <w:tab/>
        <w:t>Missing docstrings: The Hybrid system generated 11 critical missing-docstring flags (compared to 1 for Qwen-Only). These are direct consequences of Pylint enforcing PEP 257 documentation standards—rules that the standalone LLM largely ignores.</w:t>
        <w:br/>
        <w:t>•</w:t>
        <w:tab/>
        <w:t>CamelCase naming violations: Both systems flagged 11 critical CamelCase issues, but the Hybrid system was more conservative on style-level CamelCase corrections (14 style detections vs. Qwen-Only's 38), suggesting the RAG context made it more precise about severity classification.</w:t>
      </w:r>
    </w:p>
    <w:p>
      <w:r>
        <w:t>In essence, the standalone Qwen-Only baseline achieves a higher F1 score by a strategy of silence: it avoids flagging minor stylistic violations that are not in the ground truth, thereby generating fewer False Positives. The Hybrid system, by contrast, is designed to be a strict pedagogical examiner. The Pylint component identifies every convention violation in the code, and the RAG engine retrieves the specific PEP 8 or OWASP rule that justifies the flag. From a traditional information-retrieval standpoint, these are False Positives. From a classroom rubric, however, they are True Positives—legitimate issues that a course instructor would want flagged in a student submission. This distinction is critical for interpreting the evaluation results in the context of educational deployment.</w:t>
      </w:r>
    </w:p>
    <w:p>
      <w:r>
        <w:t>D.</w:t>
        <w:tab/>
        <w:t>Specification Compliance</w:t>
        <w:br/>
        <w:t>At the aggregate level, Qwen-Only achieved a higher overall Specification Compliance rate (69.3%) compared to Hybrid (60.5%). However, the per-tier breakdown reveals a significant cross-over effect. On Tier 2 intermediate modules, the Hybrid system substantially outperformed the baseline (85.7% vs. 82.0%), confirming that the RAG engine's contribution is most effective when the code complexity is sufficient to benefit from retrieved domain knowledge—such as OWASP guidelines for eval() vulnerabilities or PEP 8 guidance for multi-class architectures. The Hybrid system's lower compliance at Tier 1 (33.8% vs. 57.8%) is attributable to the Pylint noise effect: for simple, short scripts, the injected Pylint diagnostics can overwhelm the limited context budget, diluting the RAG-retrieved compliance content in the final prompt.</w:t>
      </w:r>
    </w:p>
    <w:p>
      <w:r>
        <w:t>E.</w:t>
        <w:tab/>
        <w:t>Computational Efficiency and Context Window Limitations</w:t>
        <w:br/>
        <w:t>To ensure the platform's viability for institutional deployment, resource consumption was strictly monitored throughout the evaluation. The Qwen-Only baseline averaged 56.44 seconds per review across the full benchmark, while the Hybrid pipeline averaged 68.32 seconds—a 21.1% latency overhead attributable to the sequential Pylint analysis and RAG retrieval stages that precede generative inference. The deterministic processing overhead remained proportionally modest, with Pylint analysis and RAG retrieval collectively accounting for less than 30% of the total execution time; the LLM generative inference phase dominated the latency budget.</w:t>
      </w:r>
    </w:p>
    <w:p>
      <w:r>
        <w:t>A per-tier analysis confirms the expected correlation between script complexity and processing time. Average latency increased from 35.19 seconds (Tier 1, Hybrid) to 113.76 seconds (Tier 3, Hybrid), reflecting the combinatorial growth of the input token count and the resulting KV cache expansion on the constrained hardware. While the Qwen2.5 model theoretically supports context windows exceeding 32K tokens, the hardware-constrained KV cache dictates that files exceeding approximately 1,000 lines begin to induce significant latency degradation and risk CUDA Out of Memory (OOM) failures. This confirms that while the 4-bit quantized edge-deployment is highly cost-effective and secure, robust input truncation or chunking mechanisms must be enforced at the user interface level for files exceeding this operational threshold.</w:t>
      </w:r>
    </w:p>
    <w:p>
      <w:r>
        <w:t>VI.</w:t>
        <w:tab/>
        <w:t>CONCLUSION AND FUTURE WORK</w:t>
        <w:br/>
        <w:t>A.</w:t>
        <w:tab/>
        <w:t>Conclusion</w:t>
        <w:br/>
        <w:t>This paper presented a novel Educational Feedback Loop Platform that successfully bridges the scalability gap in computer engineering education. By transitioning away from generic, black-box LLM interactions, the proposed hybrid architecture ensures that automated code review acts as a rigorous pedagogical tutor rather than a simple code solver. The integration of deterministic static analysis via Pylint with the advanced heuristic reasoning of the Qwen2.5-Coder-7B model creates a system capable of identifying complex logical vulnerabilities—including list mutation during iteration (F1 = 0.907), eval() injection (F1 = 0.840), and unclosed file handles (F1 = 0.932)—without hallucinating syntax errors, as evidenced by the 80.0% AST validity rate across the full 100-script benchmark.</w:t>
      </w:r>
    </w:p>
    <w:p>
      <w:r>
        <w:t>The controlled ablation study revealed a critical methodological finding: the Hybrid system's lower aggregate F1 score (0.492 vs. the baseline's 0.561) is a direct artifact of the evaluation rubric's functional bias, not a deficiency in the system's diagnostic capability. Manual audit of the 19 additional False Positives generated by the Hybrid pipeline confirmed that they correspond to legitimate pedagogical corrections—Pylint-enforced PEP 257 docstring requirements, bare-except anti-patterns, and naming convention violations—that were absent from the functional ground truth. In a classroom deployment context, these flags represent exactly the kind of strict, standards-aware feedback that an instructor would expect from an automated tutoring system. This finding underscores a broader challenge in evaluating educational AI: industrial-standard metrics such as F1 score, which optimize for narrow information retrieval, can systematically undervalue systems designed to enforce holistic pedagogical compliance.</w:t>
      </w:r>
    </w:p>
    <w:p>
      <w:r>
        <w:t>Furthermore, the implementation of a secure, offline Retrieval-Augmented Generation (RAG) engine successfully anchors the model's feedback in established industry standards, enforcing strict adherence to PEP 8 and OWASP guidelines—particularly at Tier 2 complexity, where the Hybrid system achieved 85.7% Specification Compliance compared to the baseline's 82.0%. Crucially, by leveraging 4-bit quantization, the platform demonstrates that high-fidelity AI evaluation can be securely and locally deployed on consumer-tier university hardware, mitigating the privacy risks and unpredictable costs associated with external enterprise APIs. Ultimately, this architecture establishes a vital educational synergy: students receive instant, actionable feedback rather than facing the delays inherent to high student-to-tutor ratios, while teaching staff are freed from repetitive syntax debugging to focus their valuable time on higher-level instruction and mentorship.</w:t>
      </w:r>
    </w:p>
    <w:p>
      <w:r>
        <w:t>B.</w:t>
        <w:tab/>
        <w:t>Future Work</w:t>
        <w:br/>
        <w:t>While the current architecture successfully establishes the Student Interface for immediate submission feedback, the broader vision encompasses a dual-platform approach. Future development will focus on the construction of a comprehensive Teaching Staff Dashboard. This interface will aggregate the data generated by the hybrid AI pipeline, allowing teaching assistants and professors to monitor class-wide performance trends, identify frequently violated coding principles, and flag struggling students early in the semester.</w:t>
      </w:r>
    </w:p>
    <w:p>
      <w:r>
        <w:t>The rubric-misalignment finding identified in this study motivates the development of pedagogically-aware evaluation benchmarks. Future work will explore the construction of ground truth datasets that incorporate a dual-label scheme—distinguishing between functional errors and stylistic/compliance violations—to more accurately measure the performance of educational AI systems without penalizing strict standard enforcement.</w:t>
      </w:r>
    </w:p>
    <w:p>
      <w:r>
        <w:t>Additionally, to address the hardware-constrained context window limitations observed during the monolithic script stress tests (Tier 3 latency averaging 113.76 seconds), future iterations will explore dynamic code-chunking algorithms, such as function-level segmentation and sliding-window analysis, to safely process exceptionally large student submissions without triggering memory exhaustion. Finally, to maximize the platform's utility across the broader engineering curriculum, future work will expand the deterministic analysis engine and RAG knowledge base to support additional programming languages widely utilized by students, specifically MATLAB and Java.</w:t>
      </w:r>
    </w:p>
    <w:p>
      <w:r>
        <w:t>ACKNOWLEDGMENT</w:t>
        <w:br/>
        <w:t>The author wishes to express his sincere gratitude to Dr. Ahmed Fouad Youssef for his invaluable mentorship, continuous support, and expert guidance throughout the development of this project and the preparation of this paper.</w:t>
      </w:r>
    </w:p>
    <w:p>
      <w:r>
        <w:t>REFERENCES</w:t>
        <w:br/>
        <w:t>[1]</w:t>
        <w:tab/>
        <w:t>J. Mendonça, et al., "AI-Powered Learning: Revolutionizing Education and Automated Code Evaluation," MDPI Information, vol. 16, no. 11, Nov. 2025.</w:t>
        <w:br/>
        <w:t>[2]</w:t>
        <w:tab/>
        <w:t>S. Lau and P. Guo, "The Design Space of LLM-Based AI Coding Assistants: An Analysis of 90 Systems," in Proceedings of the IEEE Symposium on Visual Languages and Human-Centric Computing (VL/HCC), Oct. 2025.</w:t>
        <w:br/>
        <w:t>[3]</w:t>
        <w:tab/>
        <w:t>N. Imtiaz, et al., "Automated Code Review in Practice: Trends and Challenges," in Proceedings of the 2025 IEEE/ACM International Conference on Software Engineering, Apr. 2025.</w:t>
        <w:br/>
        <w:t>[4]</w:t>
        <w:tab/>
        <w:t>S. Murtuza, et al., "LegacyGuard: Hybrid LLM, RAG, and Static Analysis for Multi-Lingual Vulnerability Detection," International Journal for Research in Applied Science and Engineering Technology (IJRASET), May 2025.</w:t>
        <w:br/>
        <w:t>[5]</w:t>
        <w:tab/>
        <w:t>Sun, Luo, Li, "A Compliance Checking Framework Based on Retrieval Augmented Generation," in Proceedings of the 31st International Conference on Computational Linguistics (COLING), Jan. 2025.</w:t>
        <w:br/>
        <w:t>[6]</w:t>
        <w:tab/>
        <w:t>OWASP Foundation, "OWASP Top 10 for LLM Applications 2025," OWASP, 2025.</w:t>
        <w:br/>
        <w:t>[7]</w:t>
        <w:tab/>
        <w:t>Jia Li, Ge Li, Yongmin Li, and Zhi Jin, "Structured Chain-of-Thought Prompting for Code Generation," ACM Transactions on Software Engineering and Methodology (TOSEM), Jan. 2025.</w:t>
        <w:br/>
        <w:t>[8]</w:t>
        <w:tab/>
        <w:t>Qwen Team (Alibaba Cloud), "Qwen2.5-Coder Technical Report," unpublished.</w:t>
        <w:br/>
        <w:t>[9]</w:t>
        <w:tab/>
        <w:t>T. Dettmers, et al., "QLoRA: Efficient Finetuning of Quantized LLMs," unpublished.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