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Social and Economic Factors in Divorce (Simple English)</w:t>
      </w:r>
    </w:p>
    <w:p>
      <w:r>
        <w:t>Divorce is becoming common in many societies today. Marriage is meant to bring love, peace, and support between two people, but many couples face problems that lead to separation. Social and economic factors are some of the main reasons why marriages fail.</w:t>
      </w:r>
    </w:p>
    <w:p>
      <w:r>
        <w:t>Social factors strongly affect marriage. Poor communication between husband and wife can cause misunderstanding and anger. When couples do not respect or trust each other, conflicts increase. Problems such as cheating and family violence can also destroy a marriage. In addition, pressure from relatives and differences in culture may create serious problems. Today, divorce is more accepted in society, so some couples choose separation instead of solving their problems.</w:t>
      </w:r>
    </w:p>
    <w:p>
      <w:r>
        <w:t>Economic factors also lead to divorce. Lack of money, unemployment, and debt can cause stress in the family. When basic needs such as food, rent, and school fees are not met, couples argue more often. Differences in income between partners may also cause problems, especially when one partner feels less important. In some cases, when one partner becomes financially independent, the marriage may end if there is no strong understanding.</w:t>
      </w:r>
    </w:p>
    <w:p>
      <w:r>
        <w:t>In conclusion, divorce is caused by both social and economic factors. Poor communication, family pressure, and financial problems can weaken marriage. To reduce divorce, couples need good communication, mutual respect, and proper financial 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