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200"/>
        <w:jc w:val="center"/>
      </w:pPr>
      <w:r>
        <w:rPr>
          <w:rFonts w:ascii="Arial" w:cs="Arial" w:eastAsia="Arial" w:hAnsi="Arial"/>
          <w:b/>
          <w:bCs/>
          <w:color w:val="1B3A5C"/>
          <w:sz w:val="44"/>
          <w:szCs w:val="44"/>
        </w:rPr>
        <w:t xml:space="preserve">ATN 164: Screen2Prevent (S2P)</w:t>
      </w:r>
    </w:p>
    <w:p>
      <w:pPr>
        <w:pBdr>
          <w:bottom w:val="single" w:color="2E75B6" w:sz="8" w:space="8"/>
        </w:pBdr>
        <w:spacing w:after="100"/>
        <w:jc w:val="center"/>
      </w:pPr>
      <w:r>
        <w:rPr>
          <w:rFonts w:ascii="Arial" w:cs="Arial" w:eastAsia="Arial" w:hAnsi="Arial"/>
          <w:color w:val="2E75B6"/>
          <w:sz w:val="36"/>
          <w:szCs w:val="36"/>
        </w:rPr>
        <w:t xml:space="preserve">Personal Device Chatbot Survey</w:t>
      </w:r>
    </w:p>
    <w:p>
      <w:pPr>
        <w:spacing w:after="200"/>
      </w:pPr>
    </w:p>
    <w:p>
      <w:pPr>
        <w:spacing w:after="80"/>
        <w:jc w:val="center"/>
      </w:pPr>
      <w:r>
        <w:rPr>
          <w:rFonts w:ascii="Arial" w:cs="Arial" w:eastAsia="Arial" w:hAnsi="Arial"/>
          <w:color w:val="999999"/>
          <w:sz w:val="28"/>
          <w:szCs w:val="28"/>
        </w:rPr>
        <w:t xml:space="preserve">QR Code-Initiated Workflow</w:t>
      </w:r>
    </w:p>
    <w:p>
      <w:pPr>
        <w:spacing w:after="80"/>
        <w:jc w:val="center"/>
      </w:pPr>
      <w:r>
        <w:rPr>
          <w:rFonts w:ascii="Arial" w:cs="Arial" w:eastAsia="Arial" w:hAnsi="Arial"/>
          <w:color w:val="999999"/>
          <w:sz w:val="24"/>
          <w:szCs w:val="24"/>
        </w:rPr>
        <w:t xml:space="preserve">Approach Validation &amp; Step-by-Step Process Design</w:t>
      </w:r>
    </w:p>
    <w:p>
      <w:pPr>
        <w:spacing w:after="400"/>
      </w:pPr>
    </w:p>
    <w:p>
      <w:pPr>
        <w:spacing w:after="60"/>
        <w:jc w:val="center"/>
      </w:pPr>
      <w:r>
        <w:rPr>
          <w:rFonts w:ascii="Arial" w:cs="Arial" w:eastAsia="Arial" w:hAnsi="Arial"/>
          <w:color w:val="999999"/>
          <w:sz w:val="20"/>
          <w:szCs w:val="20"/>
        </w:rPr>
        <w:t xml:space="preserve">Prepared for</w:t>
      </w:r>
    </w:p>
    <w:p>
      <w:pPr>
        <w:spacing w:after="200"/>
        <w:jc w:val="center"/>
      </w:pPr>
      <w:r>
        <w:rPr>
          <w:rFonts w:ascii="Arial" w:cs="Arial" w:eastAsia="Arial" w:hAnsi="Arial"/>
          <w:b/>
          <w:bCs/>
          <w:color w:val="1B3A5C"/>
          <w:sz w:val="24"/>
          <w:szCs w:val="24"/>
        </w:rPr>
        <w:t xml:space="preserve">Texas Children’s Hospital – Emergency Department</w:t>
      </w:r>
    </w:p>
    <w:p>
      <w:pPr>
        <w:spacing w:after="60"/>
        <w:jc w:val="center"/>
      </w:pPr>
      <w:r>
        <w:rPr>
          <w:rFonts w:ascii="Arial" w:cs="Arial" w:eastAsia="Arial" w:hAnsi="Arial"/>
          <w:color w:val="999999"/>
          <w:sz w:val="22"/>
          <w:szCs w:val="22"/>
        </w:rPr>
        <w:t xml:space="preserve">March 2026</w:t>
      </w:r>
    </w:p>
    <w:p>
      <w:pPr>
        <w:jc w:val="center"/>
      </w:pPr>
      <w:r>
        <w:rPr>
          <w:rFonts w:ascii="Arial" w:cs="Arial" w:eastAsia="Arial" w:hAnsi="Arial"/>
          <w:b/>
          <w:bCs/>
          <w:color w:val="C0392B"/>
          <w:sz w:val="18"/>
          <w:szCs w:val="18"/>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line="276"/>
      </w:pPr>
      <w:r>
        <w:rPr>
          <w:rFonts w:ascii="Arial" w:cs="Arial" w:eastAsia="Arial" w:hAnsi="Arial"/>
          <w:sz w:val="21"/>
          <w:szCs w:val="21"/>
        </w:rPr>
        <w:t xml:space="preserve">This document validates and details the approach for conducting the ATN 164 Screen2Prevent (S2P) survey using a patient’s personal mobile device in the Texas Children’s Hospital Emergency Department. The S2P study focuses on increasing HIV screening and prevention linkage for adolescents and young adults ages 14–24 by leveraging digital health tools within pediatric ED settings.</w:t>
      </w:r>
    </w:p>
    <w:p>
      <w:pPr>
        <w:spacing w:after="120" w:line="276"/>
      </w:pPr>
      <w:r>
        <w:rPr>
          <w:rFonts w:ascii="Arial" w:cs="Arial" w:eastAsia="Arial" w:hAnsi="Arial"/>
          <w:sz w:val="21"/>
          <w:szCs w:val="21"/>
        </w:rPr>
        <w:t xml:space="preserve">The current S2P protocol envisions offering patients a shared tablet to complete the screening survey. This document proposes an enhanced approach: patients scan a QR code with their personal smartphone to access a conversational chatbot that administers the survey privately, securely, and in a format familiar to this age group.</w:t>
      </w:r>
    </w:p>
    <w:p>
      <w:pPr>
        <w:spacing w:after="120" w:line="276"/>
      </w:pPr>
      <w:r>
        <w:rPr>
          <w:rFonts w:ascii="Arial" w:cs="Arial" w:eastAsia="Arial" w:hAnsi="Arial"/>
          <w:b/>
          <w:bCs/>
          <w:sz w:val="21"/>
          <w:szCs w:val="21"/>
        </w:rPr>
        <w:t xml:space="preserve">Why this matters: </w:t>
      </w:r>
      <w:r>
        <w:rPr>
          <w:rFonts w:ascii="Arial" w:cs="Arial" w:eastAsia="Arial" w:hAnsi="Arial"/>
          <w:sz w:val="21"/>
          <w:szCs w:val="21"/>
        </w:rPr>
        <w:t xml:space="preserve">The S2P survey asks highly sensitive questions about sexual behavior, HIV risk factors, and PrEP eligibility. For a 14–24-year-old population—many accompanied by parents or guardians—the personal device approach provides a critical layer of privacy that a shared, handed-over tablet cannot match.</w:t>
      </w:r>
    </w:p>
    <w:p>
      <w:pPr>
        <w:pStyle w:val="Heading1"/>
      </w:pPr>
      <w:r>
        <w:t xml:space="preserve">Approach Validation</w:t>
      </w:r>
    </w:p>
    <w:p>
      <w:pPr>
        <w:pStyle w:val="Heading2"/>
      </w:pPr>
      <w:r>
        <w:t xml:space="preserve">Why Personal Device via QR Code Is the Right Model</w:t>
      </w:r>
    </w:p>
    <w:p>
      <w:pPr>
        <w:spacing w:after="120" w:line="276"/>
      </w:pPr>
      <w:r>
        <w:rPr>
          <w:rFonts w:ascii="Arial" w:cs="Arial" w:eastAsia="Arial" w:hAnsi="Arial"/>
          <w:sz w:val="21"/>
          <w:szCs w:val="21"/>
        </w:rPr>
        <w:t xml:space="preserve">The proposed QR code-to-chatbot model aligns with the S2P study’s goals and addresses several real-world constraints that exist in the ED environment. Below is a structured assessment.</w:t>
      </w:r>
    </w:p>
    <w:p>
      <w:pPr>
        <w:spacing w:before="200" w:after="100"/>
      </w:pPr>
      <w:r>
        <w:rPr>
          <w:rFonts w:ascii="Arial" w:cs="Arial" w:eastAsia="Arial" w:hAnsi="Arial"/>
          <w:b/>
          <w:bCs/>
          <w:color w:val="1B3A5C"/>
          <w:sz w:val="22"/>
          <w:szCs w:val="22"/>
        </w:rPr>
        <w:t xml:space="preserve">Privacy as a Clinical Imperative</w:t>
      </w:r>
    </w:p>
    <w:p>
      <w:pPr>
        <w:spacing w:after="120" w:line="276"/>
      </w:pPr>
      <w:r>
        <w:rPr>
          <w:rFonts w:ascii="Arial" w:cs="Arial" w:eastAsia="Arial" w:hAnsi="Arial"/>
          <w:sz w:val="21"/>
          <w:szCs w:val="21"/>
        </w:rPr>
        <w:t xml:space="preserve">The ATN 164 survey collects data on sexual partners, sexual orientation, substance use, and HIV risk behaviors. For adolescents who may be accompanied by a parent, guardian, or peer, responding on a hospital-provided tablet—often in a semi-public triage area—creates disclosure risk. A personal phone is inherently private: patients can angle the screen away, use it while a parent steps out, or complete it in a restroom if needed. This is not a convenience feature; it is a clinical design decision that directly impacts data quality and patient willingness to disclose.</w:t>
      </w:r>
    </w:p>
    <w:p>
      <w:pPr>
        <w:spacing w:before="200" w:after="100"/>
      </w:pPr>
      <w:r>
        <w:rPr>
          <w:rFonts w:ascii="Arial" w:cs="Arial" w:eastAsia="Arial" w:hAnsi="Arial"/>
          <w:b/>
          <w:bCs/>
          <w:color w:val="1B3A5C"/>
          <w:sz w:val="22"/>
          <w:szCs w:val="22"/>
        </w:rPr>
        <w:t xml:space="preserve">Infection Control and Operational Efficiency</w:t>
      </w:r>
    </w:p>
    <w:p>
      <w:pPr>
        <w:spacing w:after="120" w:line="276"/>
      </w:pPr>
      <w:r>
        <w:rPr>
          <w:rFonts w:ascii="Arial" w:cs="Arial" w:eastAsia="Arial" w:hAnsi="Arial"/>
          <w:sz w:val="21"/>
          <w:szCs w:val="21"/>
        </w:rPr>
        <w:t xml:space="preserve">Shared tablets require sanitization between patients per infection control protocols. In a busy pediatric ED, this adds friction, creates lag between patients, and introduces a device management burden (charging, tracking, software updates). Personal devices eliminate all of these operational costs.</w:t>
      </w:r>
    </w:p>
    <w:p>
      <w:pPr>
        <w:spacing w:before="200" w:after="100"/>
      </w:pPr>
      <w:r>
        <w:rPr>
          <w:rFonts w:ascii="Arial" w:cs="Arial" w:eastAsia="Arial" w:hAnsi="Arial"/>
          <w:b/>
          <w:bCs/>
          <w:color w:val="1B3A5C"/>
          <w:sz w:val="22"/>
          <w:szCs w:val="22"/>
        </w:rPr>
        <w:t xml:space="preserve">Adolescent Comfort and Response Fidelity</w:t>
      </w:r>
    </w:p>
    <w:p>
      <w:pPr>
        <w:spacing w:after="120" w:line="276"/>
      </w:pPr>
      <w:r>
        <w:rPr>
          <w:rFonts w:ascii="Arial" w:cs="Arial" w:eastAsia="Arial" w:hAnsi="Arial"/>
          <w:sz w:val="21"/>
          <w:szCs w:val="21"/>
        </w:rPr>
        <w:t xml:space="preserve">Patients ages 14–24 are native smartphone users. A chatbot conversation on their own device feels more natural than a clinical tablet experience. Research on electronic surveys in healthcare settings confirms that familiarity with the device reduces friction and improves candid self-reporting, particularly for sensitive topics.</w:t>
      </w:r>
    </w:p>
    <w:p>
      <w:pPr>
        <w:spacing w:before="200" w:after="100"/>
      </w:pPr>
      <w:r>
        <w:rPr>
          <w:rFonts w:ascii="Arial" w:cs="Arial" w:eastAsia="Arial" w:hAnsi="Arial"/>
          <w:b/>
          <w:bCs/>
          <w:color w:val="1B3A5C"/>
          <w:sz w:val="22"/>
          <w:szCs w:val="22"/>
        </w:rPr>
        <w:t xml:space="preserve">Comparison: Shared Tablet vs. Personal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Shared Tablet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Personal Device (QR)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Recommendation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bCs/>
                <w:sz w:val="19"/>
                <w:szCs w:val="19"/>
              </w:rPr>
              <w:t xml:space="preserve">Privacy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Limited; screen visible to bystanders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High; patient controls screen visibility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Personal Device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bCs/>
                <w:sz w:val="19"/>
                <w:szCs w:val="19"/>
              </w:rPr>
              <w:t xml:space="preserve">Infection Control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Requires sanitization between patients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No shared surfaces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Personal Device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bCs/>
                <w:sz w:val="19"/>
                <w:szCs w:val="19"/>
              </w:rPr>
              <w:t xml:space="preserve">Device 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Charging, tracking, software updates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Zero hospital-side burden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Personal Device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bCs/>
                <w:sz w:val="19"/>
                <w:szCs w:val="19"/>
              </w:rPr>
              <w:t xml:space="preserve">Adolescent Comfort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Unfamiliar device; clinical feel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Own device; native experience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Personal Device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bCs/>
                <w:sz w:val="19"/>
                <w:szCs w:val="19"/>
              </w:rPr>
              <w:t xml:space="preserve">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Hardware + cases + MDM licenses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QR code signage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Personal Device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bCs/>
                <w:sz w:val="19"/>
                <w:szCs w:val="19"/>
              </w:rPr>
              <w:t xml:space="preserve">Accessibility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Available to all patients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Requires smartphone with camera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Hybrid Model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bCs/>
                <w:sz w:val="19"/>
                <w:szCs w:val="19"/>
              </w:rPr>
              <w:t xml:space="preserve">Network Dependency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Hospital Wi-Fi or cellular on tablet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Patient data or hospital guest Wi-Fi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Mitigated with Wi-Fi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bCs/>
                <w:sz w:val="19"/>
                <w:szCs w:val="19"/>
              </w:rPr>
              <w:t xml:space="preserve">Completion Tracking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Direct device monitoring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Backend analytics dashboard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52"/>
            </w:pPr>
            <w:r>
              <w:rPr>
                <w:rFonts w:ascii="Arial" w:cs="Arial" w:eastAsia="Arial" w:hAnsi="Arial"/>
                <w:b w:val="false"/>
                <w:bCs w:val="false"/>
                <w:sz w:val="19"/>
                <w:szCs w:val="19"/>
              </w:rPr>
              <w:t xml:space="preserve">Both viable</w:t>
            </w:r>
          </w:p>
        </w:tc>
      </w:tr>
    </w:tbl>
    <w:p>
      <w:pPr>
        <w:spacing w:after="80"/>
      </w:pPr>
    </w:p>
    <w:p>
      <w:pPr>
        <w:spacing w:after="120" w:line="276"/>
      </w:pPr>
      <w:r>
        <w:rPr>
          <w:rFonts w:ascii="Arial" w:cs="Arial" w:eastAsia="Arial" w:hAnsi="Arial"/>
          <w:b/>
          <w:bCs/>
          <w:color w:val="2D8B4E"/>
          <w:sz w:val="21"/>
          <w:szCs w:val="21"/>
        </w:rPr>
        <w:t xml:space="preserve">Key Finding: </w:t>
      </w:r>
      <w:r>
        <w:rPr>
          <w:rFonts w:ascii="Arial" w:cs="Arial" w:eastAsia="Arial" w:hAnsi="Arial"/>
          <w:sz w:val="21"/>
          <w:szCs w:val="21"/>
        </w:rPr>
        <w:t xml:space="preserve">The personal device model is clearly superior for this use case across privacy, operations, and cost dimensions. However, a hybrid model is recommended: offer the QR code path as the default, with shared tablets available as a fallback for patients without smartphones or with insufficient battery/data.</w:t>
      </w:r>
    </w:p>
    <w:p>
      <w:pPr>
        <w:pStyle w:val="Heading2"/>
      </w:pPr>
      <w:r>
        <w:t xml:space="preserve">Risks and Mitigations</w:t>
      </w:r>
    </w:p>
    <w:p>
      <w:pPr>
        <w:pStyle w:val="ListParagraph"/>
        <w:numPr>
          <w:ilvl w:val="0"/>
          <w:numId w:val="2"/>
        </w:numPr>
        <w:spacing w:after="60" w:line="276"/>
      </w:pPr>
      <w:r>
        <w:rPr>
          <w:rFonts w:ascii="Arial" w:cs="Arial" w:eastAsia="Arial" w:hAnsi="Arial"/>
          <w:b/>
          <w:bCs/>
          <w:sz w:val="21"/>
          <w:szCs w:val="21"/>
        </w:rPr>
        <w:t xml:space="preserve">No Smartphone or Dead Battery: </w:t>
      </w:r>
      <w:r>
        <w:rPr>
          <w:rFonts w:ascii="Arial" w:cs="Arial" w:eastAsia="Arial" w:hAnsi="Arial"/>
          <w:sz w:val="21"/>
          <w:szCs w:val="21"/>
        </w:rPr>
        <w:t xml:space="preserve">Maintain a small inventory of sanitized backup tablets. Staff verbally offer the tablet only if the QR code path is not feasible.</w:t>
      </w:r>
    </w:p>
    <w:p>
      <w:pPr>
        <w:pStyle w:val="ListParagraph"/>
        <w:numPr>
          <w:ilvl w:val="0"/>
          <w:numId w:val="2"/>
        </w:numPr>
        <w:spacing w:after="60" w:line="276"/>
      </w:pPr>
      <w:r>
        <w:rPr>
          <w:rFonts w:ascii="Arial" w:cs="Arial" w:eastAsia="Arial" w:hAnsi="Arial"/>
          <w:b/>
          <w:bCs/>
          <w:sz w:val="21"/>
          <w:szCs w:val="21"/>
        </w:rPr>
        <w:t xml:space="preserve">QR Code Security (Quishing): </w:t>
      </w:r>
      <w:r>
        <w:rPr>
          <w:rFonts w:ascii="Arial" w:cs="Arial" w:eastAsia="Arial" w:hAnsi="Arial"/>
          <w:sz w:val="21"/>
          <w:szCs w:val="21"/>
        </w:rPr>
        <w:t xml:space="preserve">Use branded, tamper-evident signage printed in-house. Dynamic QR codes allow URL rotation without reprinting. Patients should see a Texas Children’s-branded landing page with HTTPS lock indicator.</w:t>
      </w:r>
    </w:p>
    <w:p>
      <w:pPr>
        <w:pStyle w:val="ListParagraph"/>
        <w:numPr>
          <w:ilvl w:val="0"/>
          <w:numId w:val="2"/>
        </w:numPr>
        <w:spacing w:after="60" w:line="276"/>
      </w:pPr>
      <w:r>
        <w:rPr>
          <w:rFonts w:ascii="Arial" w:cs="Arial" w:eastAsia="Arial" w:hAnsi="Arial"/>
          <w:b/>
          <w:bCs/>
          <w:sz w:val="21"/>
          <w:szCs w:val="21"/>
        </w:rPr>
        <w:t xml:space="preserve">Network Connectivity: </w:t>
      </w:r>
      <w:r>
        <w:rPr>
          <w:rFonts w:ascii="Arial" w:cs="Arial" w:eastAsia="Arial" w:hAnsi="Arial"/>
          <w:sz w:val="21"/>
          <w:szCs w:val="21"/>
        </w:rPr>
        <w:t xml:space="preserve">Offer hospital guest Wi-Fi access instructions alongside the QR code. The chatbot should be designed as a lightweight progressive web app that tolerates intermittent connectivity.</w:t>
      </w:r>
    </w:p>
    <w:p>
      <w:pPr>
        <w:pStyle w:val="ListParagraph"/>
        <w:numPr>
          <w:ilvl w:val="0"/>
          <w:numId w:val="2"/>
        </w:numPr>
        <w:spacing w:after="60" w:line="276"/>
      </w:pPr>
      <w:r>
        <w:rPr>
          <w:rFonts w:ascii="Arial" w:cs="Arial" w:eastAsia="Arial" w:hAnsi="Arial"/>
          <w:b/>
          <w:bCs/>
          <w:sz w:val="21"/>
          <w:szCs w:val="21"/>
        </w:rPr>
        <w:t xml:space="preserve">Minor Consent and HIPAA: </w:t>
      </w:r>
      <w:r>
        <w:rPr>
          <w:rFonts w:ascii="Arial" w:cs="Arial" w:eastAsia="Arial" w:hAnsi="Arial"/>
          <w:sz w:val="21"/>
          <w:szCs w:val="21"/>
        </w:rPr>
        <w:t xml:space="preserve">The chatbot must present age-appropriate informed consent/assent screens before any data collection. All data must be transmitted over TLS encryption and stored in a HIPAA-compliant environment. No PHI should be cached on the patient’s device.</w:t>
      </w:r>
    </w:p>
    <w:p>
      <w:pPr>
        <w:pStyle w:val="ListParagraph"/>
        <w:numPr>
          <w:ilvl w:val="0"/>
          <w:numId w:val="2"/>
        </w:numPr>
        <w:spacing w:after="60" w:line="276"/>
      </w:pPr>
      <w:r>
        <w:rPr>
          <w:rFonts w:ascii="Arial" w:cs="Arial" w:eastAsia="Arial" w:hAnsi="Arial"/>
          <w:b/>
          <w:bCs/>
          <w:sz w:val="21"/>
          <w:szCs w:val="21"/>
        </w:rPr>
        <w:t xml:space="preserve">Language Access: </w:t>
      </w:r>
      <w:r>
        <w:rPr>
          <w:rFonts w:ascii="Arial" w:cs="Arial" w:eastAsia="Arial" w:hAnsi="Arial"/>
          <w:sz w:val="21"/>
          <w:szCs w:val="21"/>
        </w:rPr>
        <w:t xml:space="preserve">Per the S2P protocol, the survey supports English and Spanish. The chatbot must detect or allow language selection at entry.</w:t>
      </w:r>
    </w:p>
    <w:p>
      <w:r>
        <w:br w:type="page"/>
      </w:r>
    </w:p>
    <w:p>
      <w:pPr>
        <w:pStyle w:val="Heading1"/>
      </w:pPr>
      <w:r>
        <w:t xml:space="preserve">Detailed Workflow Process</w:t>
      </w:r>
    </w:p>
    <w:p>
      <w:pPr>
        <w:spacing w:after="120" w:line="276"/>
      </w:pPr>
      <w:r>
        <w:rPr>
          <w:rFonts w:ascii="Arial" w:cs="Arial" w:eastAsia="Arial" w:hAnsi="Arial"/>
          <w:sz w:val="21"/>
          <w:szCs w:val="21"/>
        </w:rPr>
        <w:t xml:space="preserve">The following step-by-step process is organized into seven phases, designed for direct conversion into a workflow or swimlane diagram. Each phase identifies the actors involved, the key actions, and decision points.</w:t>
      </w:r>
    </w:p>
    <w:p>
      <w:pPr>
        <w:pStyle w:val="Heading2"/>
      </w:pPr>
      <w:r>
        <w:t xml:space="preserve">Phase 1: Pre-Deployment Setup</w:t>
      </w:r>
    </w:p>
    <w:p>
      <w:pPr>
        <w:spacing w:after="120" w:line="276"/>
      </w:pPr>
      <w:r>
        <w:rPr>
          <w:rFonts w:ascii="Arial" w:cs="Arial" w:eastAsia="Arial" w:hAnsi="Arial"/>
          <w:sz w:val="21"/>
          <w:szCs w:val="21"/>
        </w:rPr>
        <w:t xml:space="preserve">This phase covers all one-time and periodic activities required before any patient interaction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200"/>
        <w:gridCol w:w="2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Chatbot Development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Build or configure the conversational chatbot to administer the ATN 164 survey questions. Include branching logic for skip patterns, risk stratification scoring, and PrEP eligibility determination. Support English and Spanish.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IT / Vendor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HIPAA &amp; IRB Compliance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Ensure the chatbot platform, hosting environment, and data transmission meet HIPAA technical safeguards. Submit protocol amendment to the IRB if the personal device modality was not in the original ATN 164 approval.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Compliance / 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QR Code Generation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Generate a dynamic QR code linked to the chatbot URL. Use a Texas Children’s-branded short domain. Dynamic codes allow URL updates without reprinting signage.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IT / Marketing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Signage Design &amp; Production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Design tamper-evident signage with the QR code, brief instructions (“Scan with your phone camera”), language options, and the hospital logo. Print on durable, wipeable stock for ED environments.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Marketing / Facilities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Signage Placement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Place QR signage in triage rooms, exam rooms, and registration areas. Position at eye level and within arm’s reach. Ensure adequate lighting for camera scanning.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Facilities / ED Ops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Backup Tablet Preparation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Provision a small fleet of sanitized tablets (3–5 per shift) pre-loaded with the chatbot URL. Enroll in MDM for remote wipe and lockdown to the survey app only.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IT / ED Ops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Staff Training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Train ED registration staff, nurses, and techs on the workflow: how to introduce the survey, when to offer the QR code vs. tablet, how to handle questions, and how to document participation in the EHR.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ED Leadership / PI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Guest Wi-Fi Configuration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Ensure hospital guest Wi-Fi is accessible without complex authentication. Test chatbot load times on guest Wi-Fi and common cellular carriers in the 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IT / Network</w:t>
            </w:r>
          </w:p>
        </w:tc>
      </w:tr>
    </w:tbl>
    <w:p>
      <w:pPr>
        <w:spacing w:after="120"/>
      </w:pPr>
    </w:p>
    <w:p>
      <w:pPr>
        <w:pStyle w:val="Heading2"/>
      </w:pPr>
      <w:r>
        <w:t xml:space="preserve">Phase 2: Patient Arrival &amp; Eligibility Screening</w:t>
      </w:r>
    </w:p>
    <w:p>
      <w:pPr>
        <w:spacing w:after="120" w:line="276"/>
      </w:pPr>
      <w:r>
        <w:rPr>
          <w:rFonts w:ascii="Arial" w:cs="Arial" w:eastAsia="Arial" w:hAnsi="Arial"/>
          <w:sz w:val="21"/>
          <w:szCs w:val="21"/>
        </w:rPr>
        <w:t xml:space="preserve">This phase describes how patients are identified and invited to participate.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200"/>
        <w:gridCol w:w="2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Patient Check-In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Patient (ages 14–24) presents to the ED and completes standard registration. Registration staff confirms the patient’s age falls within the eligible range.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Registration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Eligibility Verification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Confirm patient meets ATN 164 inclusion criteria: age 14–24, able to read English or Spanish, and presenting as an ED patient. Exclusion criteria per protocol are also checked.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Registration / Triage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Survey Introduction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Staff provides a brief, scripted introduction: “We’re offering a short health survey on your phone. It’s private and voluntary. Just scan this code with your camera.” The introduction must be non-coercive and age-appropriate.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Triage Nurse / Tech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Decision Point: Consent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DECISION: Does the patient agree to participate? If YES → proceed to Phase 3. If NO → document declination, proceed with standard ED care. No survey data is collected.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Patient</w:t>
            </w:r>
          </w:p>
        </w:tc>
      </w:tr>
    </w:tbl>
    <w:p>
      <w:pPr>
        <w:spacing w:after="120"/>
      </w:pPr>
    </w:p>
    <w:p>
      <w:pPr>
        <w:pStyle w:val="Heading2"/>
      </w:pPr>
      <w:r>
        <w:t xml:space="preserve">Phase 3: QR Code Scan &amp; Chatbot Launch</w:t>
      </w:r>
    </w:p>
    <w:p>
      <w:pPr>
        <w:spacing w:after="120" w:line="276"/>
      </w:pPr>
      <w:r>
        <w:rPr>
          <w:rFonts w:ascii="Arial" w:cs="Arial" w:eastAsia="Arial" w:hAnsi="Arial"/>
          <w:sz w:val="21"/>
          <w:szCs w:val="21"/>
        </w:rPr>
        <w:t xml:space="preserve">This is the core patient-facing interaction where the survey is initiated on the personal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200"/>
        <w:gridCol w:w="2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QR Code Scan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Patient opens their smartphone camera and points it at the QR code signage. The camera recognizes the code and displays a URL prompt. Patient taps to open.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Patient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Decision Point: Smartphone?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DECISION: Does the patient have a working smartphone with camera? If YES → continue with QR scan. If NO → staff offers a backup tablet pre-loaded with the chatbot.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Staff / Patient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Landing Page Load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The patient’s browser opens a Texas Children’s-branded landing page with HTTPS encryption. The page displays the hospital logo, study title, and a “Begin Survey” button. Language selection (English/Spanish) is presented.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System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Informed Consent / Assent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The chatbot presents the IRB-approved informed consent (ages 18–24) or assent (ages 14–17) language. The patient must actively acknowledge consent before any survey questions appear. For minors, parental consent requirements per the approved protocol are followed.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Chatbot / Patient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 Token Assignment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Upon consent, the system generates a unique, anonymous session token. This token links survey responses to the ED visit without storing PHI on the device. The token is transmitted to the backend over TLS.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System</w:t>
            </w:r>
          </w:p>
        </w:tc>
      </w:tr>
    </w:tbl>
    <w:p>
      <w:pPr>
        <w:spacing w:after="120"/>
      </w:pPr>
    </w:p>
    <w:p>
      <w:pPr>
        <w:pStyle w:val="Heading2"/>
      </w:pPr>
      <w:r>
        <w:t xml:space="preserve">Phase 4: Survey Administration via Chatbot</w:t>
      </w:r>
    </w:p>
    <w:p>
      <w:pPr>
        <w:spacing w:after="120" w:line="276"/>
      </w:pPr>
      <w:r>
        <w:rPr>
          <w:rFonts w:ascii="Arial" w:cs="Arial" w:eastAsia="Arial" w:hAnsi="Arial"/>
          <w:sz w:val="21"/>
          <w:szCs w:val="21"/>
        </w:rPr>
        <w:t xml:space="preserve">The chatbot conducts the survey conversationally, guiding the patient through the ATN 164 screening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200"/>
        <w:gridCol w:w="2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Conversational Survey Flow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The chatbot presents questions one at a time in a conversational, non-clinical tone appropriate for ages 14–24. Each question uses tap-to-select response options to minimize typing. Progress indicator shows completion percentage.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Chatbot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Branching Logic Execution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Based on patient responses, the chatbot applies skip patterns defined in the ATN 164 protocol. Patients who do not meet certain criteria skip to the next relevant section, reducing survey length and burden.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Chatbot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Risk Stratification Scoring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As responses are captured, the backend calculates the patient’s HIV acquisition risk score per the protocol’s validated algorithm. This score determines whether targeted testing is recommended.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System (Backend)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PrEP Eligibility Assessment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The chatbot evaluates responses against PrEP eligibility criteria defined in the protocol. Eligible patients are flagged for the mHealth linkage pathway (Phase 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System (Backend)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Encryption &amp; Transmission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Each response is encrypted at the device level (TLS in transit) and transmitted to the HIPAA-compliant backend in real time. No PHI is cached or stored on the patient’s device. If connectivity drops, responses queue locally and transmit when connection restores.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System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Survey Completion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Upon completing all applicable questions, the chatbot displays a thank-you message and provides the patient with a brief summary of next steps (e.g., “Your care team may follow up with you about additional screening.”).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Chatbot / Patient</w:t>
            </w:r>
          </w:p>
        </w:tc>
      </w:tr>
    </w:tbl>
    <w:p>
      <w:pPr>
        <w:spacing w:after="120"/>
      </w:pPr>
    </w:p>
    <w:p>
      <w:pPr>
        <w:pStyle w:val="Heading2"/>
      </w:pPr>
      <w:r>
        <w:t xml:space="preserve">Phase 5: Clinical Decision Support &amp; EHR Integration</w:t>
      </w:r>
    </w:p>
    <w:p>
      <w:pPr>
        <w:spacing w:after="120" w:line="276"/>
      </w:pPr>
      <w:r>
        <w:rPr>
          <w:rFonts w:ascii="Arial" w:cs="Arial" w:eastAsia="Arial" w:hAnsi="Arial"/>
          <w:sz w:val="21"/>
          <w:szCs w:val="21"/>
        </w:rPr>
        <w:t xml:space="preserve">Survey results are routed to the clinical team to inform real-time care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200"/>
        <w:gridCol w:w="2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Risk Alert Generation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If the patient’s risk score exceeds the protocol threshold (targeted screening phase), the system generates a clinical decision support (CDS) alert to the ED physician via the EHR.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System / EHR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HIV Screening Decision Relay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During universally offered screening phases, the patient’s opt-in or opt-out decision from the survey is relayed electronically to the ED clinician through the EHR, per the ATN 164 protocol design.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System / EHR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Clinician Review &amp; Action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The ED physician reviews the CDS alert or screening decision and determines whether to offer HIV testing. Testing follows standard ED lab order workflows.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ED Physician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Result Documentation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Whether the patient was tested, declined, or was not eligible, the outcome is documented in the EHR for study tracking and continuity of care.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ED Physician / Nurse</w:t>
            </w:r>
          </w:p>
        </w:tc>
      </w:tr>
    </w:tbl>
    <w:p>
      <w:pPr>
        <w:spacing w:after="120"/>
      </w:pPr>
    </w:p>
    <w:p>
      <w:pPr>
        <w:pStyle w:val="Heading2"/>
      </w:pPr>
      <w:r>
        <w:t xml:space="preserve">Phase 6: mHealth Linkage &amp; Follow-Up</w:t>
      </w:r>
    </w:p>
    <w:p>
      <w:pPr>
        <w:spacing w:after="120" w:line="276"/>
      </w:pPr>
      <w:r>
        <w:rPr>
          <w:rFonts w:ascii="Arial" w:cs="Arial" w:eastAsia="Arial" w:hAnsi="Arial"/>
          <w:sz w:val="21"/>
          <w:szCs w:val="21"/>
        </w:rPr>
        <w:t xml:space="preserve">Patients identified as PrEP-eligible or HIV-positive are linked to digital health follow-up per the S2P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200"/>
        <w:gridCol w:w="2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mHealth Enrollment Offer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At the end of the chatbot survey, patients who meet PrEP eligibility criteria or who test positive are offered enrollment in the text messaging-based mHealth platform (SMART).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Chatbot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Decision Point: Enrollment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DECISION: Does the patient consent to mHealth enrollment? If YES → capture preferred phone number and communication preferences. If NO → document declination; provide printed resources.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Patient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Linkage to Care Initiation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For patients who test positive for HIV, the system triggers a care linkage workflow: warm handoff to social work, same-day ART start coordination, and follow-up scheduling.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Social Work / Care Coord.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PrEP Linkage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For PrEP-eligible patients who enroll, the mHealth platform sends an initial onboarding message within 72 hours of ED discharge with information on PrEP access, appointment scheduling, and educational content.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mHealth Platform</w:t>
            </w:r>
          </w:p>
        </w:tc>
      </w:tr>
    </w:tbl>
    <w:p>
      <w:pPr>
        <w:spacing w:after="120"/>
      </w:pPr>
    </w:p>
    <w:p>
      <w:pPr>
        <w:pStyle w:val="Heading2"/>
      </w:pPr>
      <w:r>
        <w:t xml:space="preserve">Phase 7: Analytics, Monitoring &amp; Continuous Improvement</w:t>
      </w:r>
    </w:p>
    <w:p>
      <w:pPr>
        <w:spacing w:after="120" w:line="276"/>
      </w:pPr>
      <w:r>
        <w:rPr>
          <w:rFonts w:ascii="Arial" w:cs="Arial" w:eastAsia="Arial" w:hAnsi="Arial"/>
          <w:sz w:val="21"/>
          <w:szCs w:val="21"/>
        </w:rPr>
        <w:t xml:space="preserve">Ongoing measurement ensures the workflow performs as designed and identifies opportunities for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200"/>
        <w:gridCol w:w="2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Participation Rate Tracking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Monitor the percentage of eligible patients who scan the QR code vs. those who decline or use a backup tablet. Track by shift, day of week, and triage acuity to identify patterns.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Research / ED Ops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Completion Rate Analysis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Track survey abandonment points. If patients consistently drop off at a specific question, investigate whether the question wording, chatbot tone, or connectivity issues are the root cause.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Research /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Screening Yield Measurement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Compare HIV testing rates and positivity rates across the three screening approaches (targeted, opt-in, opt-out) as specified in the ATN 164 primary endpoints.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PI / Research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PrEP Initiation Tracking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Track the number of PrEP-eligible patients who initiate PrEP within 72 hours of ED discharge, comparing pre- and post-mHealth implementation periods.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PI / Research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Security &amp; Incident Review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Conduct monthly reviews of QR code signage integrity, chatbot uptime, data transmission logs, and any reported security incidents. Update dynamic QR code URLs quarterly.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IT / Compliance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Workflow Optimization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Quarterly review of all metrics with ED leadership, research team, and IT. Adjust chatbot conversation flow, staff scripting, signage placement, and operational procedures based on findings.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All Stakeholders</w:t>
            </w:r>
          </w:p>
        </w:tc>
      </w:tr>
    </w:tbl>
    <w:p>
      <w:r>
        <w:br w:type="page"/>
      </w:r>
    </w:p>
    <w:p>
      <w:pPr>
        <w:pStyle w:val="Heading1"/>
      </w:pPr>
      <w:r>
        <w:t xml:space="preserve">Workflow Diagram Conversion Guide</w:t>
      </w:r>
    </w:p>
    <w:p>
      <w:pPr>
        <w:spacing w:after="120" w:line="276"/>
      </w:pPr>
      <w:r>
        <w:rPr>
          <w:rFonts w:ascii="Arial" w:cs="Arial" w:eastAsia="Arial" w:hAnsi="Arial"/>
          <w:sz w:val="21"/>
          <w:szCs w:val="21"/>
        </w:rPr>
        <w:t xml:space="preserve">The seven phases above are designed for direct translation into a swimlane (cross-functional) workflow diagram. The following guidance is provided for the diagramming team.</w:t>
      </w:r>
    </w:p>
    <w:p>
      <w:pPr>
        <w:spacing w:before="200" w:after="100"/>
      </w:pPr>
      <w:r>
        <w:rPr>
          <w:rFonts w:ascii="Arial" w:cs="Arial" w:eastAsia="Arial" w:hAnsi="Arial"/>
          <w:b/>
          <w:bCs/>
          <w:color w:val="1B3A5C"/>
          <w:sz w:val="22"/>
          <w:szCs w:val="22"/>
        </w:rPr>
        <w:t xml:space="preserve">Recommended Swimlanes (Actors)</w:t>
      </w:r>
    </w:p>
    <w:p>
      <w:pPr>
        <w:pStyle w:val="ListParagraph"/>
        <w:numPr>
          <w:ilvl w:val="0"/>
          <w:numId w:val="3"/>
        </w:numPr>
        <w:spacing w:after="80" w:line="276"/>
      </w:pPr>
      <w:r>
        <w:rPr>
          <w:rFonts w:ascii="Arial" w:cs="Arial" w:eastAsia="Arial" w:hAnsi="Arial"/>
          <w:b/>
          <w:bCs/>
          <w:sz w:val="21"/>
          <w:szCs w:val="21"/>
        </w:rPr>
        <w:t xml:space="preserve">Patient</w:t>
      </w:r>
      <w:r>
        <w:rPr>
          <w:rFonts w:ascii="Arial" w:cs="Arial" w:eastAsia="Arial" w:hAnsi="Arial"/>
          <w:sz w:val="21"/>
          <w:szCs w:val="21"/>
        </w:rPr>
        <w:t xml:space="preserve"> – All actions the patient takes on their personal device</w:t>
      </w:r>
    </w:p>
    <w:p>
      <w:pPr>
        <w:pStyle w:val="ListParagraph"/>
        <w:numPr>
          <w:ilvl w:val="0"/>
          <w:numId w:val="3"/>
        </w:numPr>
        <w:spacing w:after="80" w:line="276"/>
      </w:pPr>
      <w:r>
        <w:rPr>
          <w:rFonts w:ascii="Arial" w:cs="Arial" w:eastAsia="Arial" w:hAnsi="Arial"/>
          <w:b/>
          <w:bCs/>
          <w:sz w:val="21"/>
          <w:szCs w:val="21"/>
        </w:rPr>
        <w:t xml:space="preserve">ED Staff</w:t>
      </w:r>
      <w:r>
        <w:rPr>
          <w:rFonts w:ascii="Arial" w:cs="Arial" w:eastAsia="Arial" w:hAnsi="Arial"/>
          <w:sz w:val="21"/>
          <w:szCs w:val="21"/>
        </w:rPr>
        <w:t xml:space="preserve"> (Registration, Triage Nurse, Tech) – Patient-facing workflow steps</w:t>
      </w:r>
    </w:p>
    <w:p>
      <w:pPr>
        <w:pStyle w:val="ListParagraph"/>
        <w:numPr>
          <w:ilvl w:val="0"/>
          <w:numId w:val="3"/>
        </w:numPr>
        <w:spacing w:after="80" w:line="276"/>
      </w:pPr>
      <w:r>
        <w:rPr>
          <w:rFonts w:ascii="Arial" w:cs="Arial" w:eastAsia="Arial" w:hAnsi="Arial"/>
          <w:b/>
          <w:bCs/>
          <w:sz w:val="21"/>
          <w:szCs w:val="21"/>
        </w:rPr>
        <w:t xml:space="preserve">Chatbot / System</w:t>
      </w:r>
      <w:r>
        <w:rPr>
          <w:rFonts w:ascii="Arial" w:cs="Arial" w:eastAsia="Arial" w:hAnsi="Arial"/>
          <w:sz w:val="21"/>
          <w:szCs w:val="21"/>
        </w:rPr>
        <w:t xml:space="preserve"> – Automated survey delivery, scoring, and data transmission</w:t>
      </w:r>
    </w:p>
    <w:p>
      <w:pPr>
        <w:pStyle w:val="ListParagraph"/>
        <w:numPr>
          <w:ilvl w:val="0"/>
          <w:numId w:val="3"/>
        </w:numPr>
        <w:spacing w:after="80" w:line="276"/>
      </w:pPr>
      <w:r>
        <w:rPr>
          <w:rFonts w:ascii="Arial" w:cs="Arial" w:eastAsia="Arial" w:hAnsi="Arial"/>
          <w:b/>
          <w:bCs/>
          <w:sz w:val="21"/>
          <w:szCs w:val="21"/>
        </w:rPr>
        <w:t xml:space="preserve">ED Clinician</w:t>
      </w:r>
      <w:r>
        <w:rPr>
          <w:rFonts w:ascii="Arial" w:cs="Arial" w:eastAsia="Arial" w:hAnsi="Arial"/>
          <w:sz w:val="21"/>
          <w:szCs w:val="21"/>
        </w:rPr>
        <w:t xml:space="preserve"> (Physician) – Clinical decision-making and test ordering</w:t>
      </w:r>
    </w:p>
    <w:p>
      <w:pPr>
        <w:pStyle w:val="ListParagraph"/>
        <w:numPr>
          <w:ilvl w:val="0"/>
          <w:numId w:val="3"/>
        </w:numPr>
        <w:spacing w:after="80" w:line="276"/>
      </w:pPr>
      <w:r>
        <w:rPr>
          <w:rFonts w:ascii="Arial" w:cs="Arial" w:eastAsia="Arial" w:hAnsi="Arial"/>
          <w:b/>
          <w:bCs/>
          <w:sz w:val="21"/>
          <w:szCs w:val="21"/>
        </w:rPr>
        <w:t xml:space="preserve">Backend / EHR</w:t>
      </w:r>
      <w:r>
        <w:rPr>
          <w:rFonts w:ascii="Arial" w:cs="Arial" w:eastAsia="Arial" w:hAnsi="Arial"/>
          <w:sz w:val="21"/>
          <w:szCs w:val="21"/>
        </w:rPr>
        <w:t xml:space="preserve"> – Data processing, CDS alerts, and documentation</w:t>
      </w:r>
    </w:p>
    <w:p>
      <w:pPr>
        <w:pStyle w:val="ListParagraph"/>
        <w:numPr>
          <w:ilvl w:val="0"/>
          <w:numId w:val="3"/>
        </w:numPr>
        <w:spacing w:after="80" w:line="276"/>
      </w:pPr>
      <w:r>
        <w:rPr>
          <w:rFonts w:ascii="Arial" w:cs="Arial" w:eastAsia="Arial" w:hAnsi="Arial"/>
          <w:b/>
          <w:bCs/>
          <w:sz w:val="21"/>
          <w:szCs w:val="21"/>
        </w:rPr>
        <w:t xml:space="preserve">mHealth Platform</w:t>
      </w:r>
      <w:r>
        <w:rPr>
          <w:rFonts w:ascii="Arial" w:cs="Arial" w:eastAsia="Arial" w:hAnsi="Arial"/>
          <w:sz w:val="21"/>
          <w:szCs w:val="21"/>
        </w:rPr>
        <w:t xml:space="preserve"> – Post-discharge digital follow-up</w:t>
      </w:r>
    </w:p>
    <w:p>
      <w:pPr>
        <w:spacing w:before="200" w:after="100"/>
      </w:pPr>
      <w:r>
        <w:rPr>
          <w:rFonts w:ascii="Arial" w:cs="Arial" w:eastAsia="Arial" w:hAnsi="Arial"/>
          <w:b/>
          <w:bCs/>
          <w:color w:val="1B3A5C"/>
          <w:sz w:val="22"/>
          <w:szCs w:val="22"/>
        </w:rPr>
        <w:t xml:space="preserve">Key Decision Diamonds</w:t>
      </w:r>
    </w:p>
    <w:p>
      <w:pPr>
        <w:pStyle w:val="ListParagraph"/>
        <w:numPr>
          <w:ilvl w:val="0"/>
          <w:numId w:val="2"/>
        </w:numPr>
        <w:spacing w:after="60" w:line="276"/>
      </w:pPr>
      <w:r>
        <w:rPr>
          <w:rFonts w:ascii="Arial" w:cs="Arial" w:eastAsia="Arial" w:hAnsi="Arial"/>
          <w:sz w:val="21"/>
          <w:szCs w:val="21"/>
        </w:rPr>
        <w:t xml:space="preserve">Step 2.4: Does the patient consent to participate? (Yes/No)</w:t>
      </w:r>
    </w:p>
    <w:p>
      <w:pPr>
        <w:pStyle w:val="ListParagraph"/>
        <w:numPr>
          <w:ilvl w:val="0"/>
          <w:numId w:val="2"/>
        </w:numPr>
        <w:spacing w:after="60" w:line="276"/>
      </w:pPr>
      <w:r>
        <w:rPr>
          <w:rFonts w:ascii="Arial" w:cs="Arial" w:eastAsia="Arial" w:hAnsi="Arial"/>
          <w:sz w:val="21"/>
          <w:szCs w:val="21"/>
        </w:rPr>
        <w:t xml:space="preserve">Step 3.2: Does the patient have a working smartphone? (Yes → QR / No → Tablet)</w:t>
      </w:r>
    </w:p>
    <w:p>
      <w:pPr>
        <w:pStyle w:val="ListParagraph"/>
        <w:numPr>
          <w:ilvl w:val="0"/>
          <w:numId w:val="2"/>
        </w:numPr>
        <w:spacing w:after="60" w:line="276"/>
      </w:pPr>
      <w:r>
        <w:rPr>
          <w:rFonts w:ascii="Arial" w:cs="Arial" w:eastAsia="Arial" w:hAnsi="Arial"/>
          <w:sz w:val="21"/>
          <w:szCs w:val="21"/>
        </w:rPr>
        <w:t xml:space="preserve">Step 5.1: Does the risk score exceed the threshold? (Yes → CDS Alert / No → Standard care)</w:t>
      </w:r>
    </w:p>
    <w:p>
      <w:pPr>
        <w:pStyle w:val="ListParagraph"/>
        <w:numPr>
          <w:ilvl w:val="0"/>
          <w:numId w:val="2"/>
        </w:numPr>
        <w:spacing w:after="60" w:line="276"/>
      </w:pPr>
      <w:r>
        <w:rPr>
          <w:rFonts w:ascii="Arial" w:cs="Arial" w:eastAsia="Arial" w:hAnsi="Arial"/>
          <w:sz w:val="21"/>
          <w:szCs w:val="21"/>
        </w:rPr>
        <w:t xml:space="preserve">Step 6.2: Does the patient consent to mHealth enrollment? (Yes/No)</w:t>
      </w:r>
    </w:p>
    <w:p>
      <w:pPr>
        <w:spacing w:before="200" w:after="100"/>
      </w:pPr>
      <w:r>
        <w:rPr>
          <w:rFonts w:ascii="Arial" w:cs="Arial" w:eastAsia="Arial" w:hAnsi="Arial"/>
          <w:b/>
          <w:bCs/>
          <w:color w:val="1B3A5C"/>
          <w:sz w:val="22"/>
          <w:szCs w:val="22"/>
        </w:rPr>
        <w:t xml:space="preserve">Suggested Diagram Format</w:t>
      </w:r>
    </w:p>
    <w:p>
      <w:pPr>
        <w:spacing w:after="120" w:line="276"/>
      </w:pPr>
      <w:r>
        <w:rPr>
          <w:rFonts w:ascii="Arial" w:cs="Arial" w:eastAsia="Arial" w:hAnsi="Arial"/>
          <w:sz w:val="21"/>
          <w:szCs w:val="21"/>
        </w:rPr>
        <w:t xml:space="preserve">A horizontal swimlane diagram using BPMN 2.0 notation is recommended for executive presentation. Each phase maps to a labeled section of the diagram. Decision points use diamond shapes with clearly labeled Yes/No branches. Start and end events use circle notation. Data flows (e.g., survey responses to backend, CDS alerts to EHR) use dashed arrows.</w:t>
      </w:r>
    </w:p>
    <w:p>
      <w:r>
        <w:br w:type="page"/>
      </w:r>
    </w:p>
    <w:p>
      <w:pPr>
        <w:pStyle w:val="Heading1"/>
      </w:pPr>
      <w:r>
        <w:t xml:space="preserve">Recommended Technology Stack</w:t>
      </w:r>
    </w:p>
    <w:p>
      <w:pPr>
        <w:spacing w:after="120" w:line="276"/>
      </w:pPr>
      <w:r>
        <w:rPr>
          <w:rFonts w:ascii="Arial" w:cs="Arial" w:eastAsia="Arial" w:hAnsi="Arial"/>
          <w:sz w:val="21"/>
          <w:szCs w:val="21"/>
        </w:rPr>
        <w:t xml:space="preserve">The following components are recommended for the end-to-end solution. Final vendor selection should be informed by Texas Children’s existing technology partnerships and procurement processes.</w:t>
      </w:r>
    </w:p>
    <w:p>
      <w:pPr>
        <w:pStyle w:val="ListParagraph"/>
        <w:numPr>
          <w:ilvl w:val="0"/>
          <w:numId w:val="2"/>
        </w:numPr>
        <w:spacing w:after="60" w:line="276"/>
      </w:pPr>
      <w:r>
        <w:rPr>
          <w:rFonts w:ascii="Arial" w:cs="Arial" w:eastAsia="Arial" w:hAnsi="Arial"/>
          <w:b/>
          <w:bCs/>
          <w:sz w:val="21"/>
          <w:szCs w:val="21"/>
        </w:rPr>
        <w:t xml:space="preserve">Chatbot Platform: </w:t>
      </w:r>
      <w:r>
        <w:rPr>
          <w:rFonts w:ascii="Arial" w:cs="Arial" w:eastAsia="Arial" w:hAnsi="Arial"/>
          <w:sz w:val="21"/>
          <w:szCs w:val="21"/>
        </w:rPr>
        <w:t xml:space="preserve">A HIPAA-compliant conversational AI platform (e.g., Microsoft Azure Health Bot, Google Dialogflow CX with Healthcare Agent, or a purpose-built clinical survey chatbot). The platform must support branching logic, multilingual content, and real-time data export via secure APIs.</w:t>
      </w:r>
    </w:p>
    <w:p>
      <w:pPr>
        <w:pStyle w:val="ListParagraph"/>
        <w:numPr>
          <w:ilvl w:val="0"/>
          <w:numId w:val="2"/>
        </w:numPr>
        <w:spacing w:after="60" w:line="276"/>
      </w:pPr>
      <w:r>
        <w:rPr>
          <w:rFonts w:ascii="Arial" w:cs="Arial" w:eastAsia="Arial" w:hAnsi="Arial"/>
          <w:b/>
          <w:bCs/>
          <w:sz w:val="21"/>
          <w:szCs w:val="21"/>
        </w:rPr>
        <w:t xml:space="preserve">QR Code Management: </w:t>
      </w:r>
      <w:r>
        <w:rPr>
          <w:rFonts w:ascii="Arial" w:cs="Arial" w:eastAsia="Arial" w:hAnsi="Arial"/>
          <w:sz w:val="21"/>
          <w:szCs w:val="21"/>
        </w:rPr>
        <w:t xml:space="preserve">A dynamic QR code platform (e.g., Beaconstac, QR Code Generator Pro) that supports branded URLs, scan analytics, and URL rotation without reprinting. Must support HTTPS-only destinations.</w:t>
      </w:r>
    </w:p>
    <w:p>
      <w:pPr>
        <w:pStyle w:val="ListParagraph"/>
        <w:numPr>
          <w:ilvl w:val="0"/>
          <w:numId w:val="2"/>
        </w:numPr>
        <w:spacing w:after="60" w:line="276"/>
      </w:pPr>
      <w:r>
        <w:rPr>
          <w:rFonts w:ascii="Arial" w:cs="Arial" w:eastAsia="Arial" w:hAnsi="Arial"/>
          <w:b/>
          <w:bCs/>
          <w:sz w:val="21"/>
          <w:szCs w:val="21"/>
        </w:rPr>
        <w:t xml:space="preserve">Data Backend: </w:t>
      </w:r>
      <w:r>
        <w:rPr>
          <w:rFonts w:ascii="Arial" w:cs="Arial" w:eastAsia="Arial" w:hAnsi="Arial"/>
          <w:sz w:val="21"/>
          <w:szCs w:val="21"/>
        </w:rPr>
        <w:t xml:space="preserve">HIPAA-compliant cloud infrastructure (e.g., Azure, AWS GovCloud, Google Cloud Healthcare API) with encryption at rest and in transit. REDCap integration for research data management is strongly recommended given its prevalence in clinical trial settings.</w:t>
      </w:r>
    </w:p>
    <w:p>
      <w:pPr>
        <w:pStyle w:val="ListParagraph"/>
        <w:numPr>
          <w:ilvl w:val="0"/>
          <w:numId w:val="2"/>
        </w:numPr>
        <w:spacing w:after="60" w:line="276"/>
      </w:pPr>
      <w:r>
        <w:rPr>
          <w:rFonts w:ascii="Arial" w:cs="Arial" w:eastAsia="Arial" w:hAnsi="Arial"/>
          <w:b/>
          <w:bCs/>
          <w:sz w:val="21"/>
          <w:szCs w:val="21"/>
        </w:rPr>
        <w:t xml:space="preserve">EHR Integration: </w:t>
      </w:r>
      <w:r>
        <w:rPr>
          <w:rFonts w:ascii="Arial" w:cs="Arial" w:eastAsia="Arial" w:hAnsi="Arial"/>
          <w:sz w:val="21"/>
          <w:szCs w:val="21"/>
        </w:rPr>
        <w:t xml:space="preserve">FHIR-based or HL7 interface to relay clinical decision support alerts and screening decisions to the existing EHR (Epic, Cerner/Oracle Health, etc.). Integration method depends on Texas Children’s EHR platform.</w:t>
      </w:r>
    </w:p>
    <w:p>
      <w:pPr>
        <w:pStyle w:val="ListParagraph"/>
        <w:numPr>
          <w:ilvl w:val="0"/>
          <w:numId w:val="2"/>
        </w:numPr>
        <w:spacing w:after="60" w:line="276"/>
      </w:pPr>
      <w:r>
        <w:rPr>
          <w:rFonts w:ascii="Arial" w:cs="Arial" w:eastAsia="Arial" w:hAnsi="Arial"/>
          <w:b/>
          <w:bCs/>
          <w:sz w:val="21"/>
          <w:szCs w:val="21"/>
        </w:rPr>
        <w:t xml:space="preserve">mHealth Platform: </w:t>
      </w:r>
      <w:r>
        <w:rPr>
          <w:rFonts w:ascii="Arial" w:cs="Arial" w:eastAsia="Arial" w:hAnsi="Arial"/>
          <w:sz w:val="21"/>
          <w:szCs w:val="21"/>
        </w:rPr>
        <w:t xml:space="preserve">Per the ATN 164 protocol, a text messaging-based platform for PrEP education and care linkage. Must support automated message scheduling, two-way SMS, and opt-out management.</w:t>
      </w:r>
    </w:p>
    <w:p>
      <w:pPr>
        <w:pStyle w:val="ListParagraph"/>
        <w:numPr>
          <w:ilvl w:val="0"/>
          <w:numId w:val="2"/>
        </w:numPr>
        <w:spacing w:after="60" w:line="276"/>
      </w:pPr>
      <w:r>
        <w:rPr>
          <w:rFonts w:ascii="Arial" w:cs="Arial" w:eastAsia="Arial" w:hAnsi="Arial"/>
          <w:b/>
          <w:bCs/>
          <w:sz w:val="21"/>
          <w:szCs w:val="21"/>
        </w:rPr>
        <w:t xml:space="preserve">Analytics Dashboard: </w:t>
      </w:r>
      <w:r>
        <w:rPr>
          <w:rFonts w:ascii="Arial" w:cs="Arial" w:eastAsia="Arial" w:hAnsi="Arial"/>
          <w:sz w:val="21"/>
          <w:szCs w:val="21"/>
        </w:rPr>
        <w:t xml:space="preserve">Real-time monitoring of scan rates, completion rates, screening yields, and PrEP linkage metrics. Power BI, Tableau, or a custom dashboard integrated with the data backend.</w:t>
      </w:r>
    </w:p>
    <w:p>
      <w:r>
        <w:br w:type="page"/>
      </w:r>
    </w:p>
    <w:p>
      <w:pPr>
        <w:pStyle w:val="Heading1"/>
      </w:pPr>
      <w:r>
        <w:t xml:space="preserve">Recommended Next Steps</w:t>
      </w:r>
    </w:p>
    <w:p>
      <w:pPr>
        <w:pStyle w:val="ListParagraph"/>
        <w:numPr>
          <w:ilvl w:val="0"/>
          <w:numId w:val="4"/>
        </w:numPr>
        <w:spacing w:after="80" w:line="276"/>
      </w:pPr>
      <w:r>
        <w:rPr>
          <w:rFonts w:ascii="Arial" w:cs="Arial" w:eastAsia="Arial" w:hAnsi="Arial"/>
          <w:b/>
          <w:bCs/>
          <w:sz w:val="21"/>
          <w:szCs w:val="21"/>
        </w:rPr>
        <w:t xml:space="preserve">Stakeholder Alignment: </w:t>
      </w:r>
      <w:r>
        <w:rPr>
          <w:rFonts w:ascii="Arial" w:cs="Arial" w:eastAsia="Arial" w:hAnsi="Arial"/>
          <w:sz w:val="21"/>
          <w:szCs w:val="21"/>
        </w:rPr>
        <w:t xml:space="preserve">Present this workflow to the ATN 164 Principal Investigator, ED Medical Director, IT Security, and Compliance to confirm alignment with the study protocol and institutional policies.</w:t>
      </w:r>
    </w:p>
    <w:p>
      <w:pPr>
        <w:pStyle w:val="ListParagraph"/>
        <w:numPr>
          <w:ilvl w:val="0"/>
          <w:numId w:val="4"/>
        </w:numPr>
        <w:spacing w:after="80" w:line="276"/>
      </w:pPr>
      <w:r>
        <w:rPr>
          <w:rFonts w:ascii="Arial" w:cs="Arial" w:eastAsia="Arial" w:hAnsi="Arial"/>
          <w:b/>
          <w:bCs/>
          <w:sz w:val="21"/>
          <w:szCs w:val="21"/>
        </w:rPr>
        <w:t xml:space="preserve">IRB Amendment: </w:t>
      </w:r>
      <w:r>
        <w:rPr>
          <w:rFonts w:ascii="Arial" w:cs="Arial" w:eastAsia="Arial" w:hAnsi="Arial"/>
          <w:sz w:val="21"/>
          <w:szCs w:val="21"/>
        </w:rPr>
        <w:t xml:space="preserve">If the personal device modality requires a protocol amendment, initiate the IRB submission process. Emphasize that the data collection content is unchanged; only the delivery mechanism is being enhanced.</w:t>
      </w:r>
    </w:p>
    <w:p>
      <w:pPr>
        <w:pStyle w:val="ListParagraph"/>
        <w:numPr>
          <w:ilvl w:val="0"/>
          <w:numId w:val="4"/>
        </w:numPr>
        <w:spacing w:after="80" w:line="276"/>
      </w:pPr>
      <w:r>
        <w:rPr>
          <w:rFonts w:ascii="Arial" w:cs="Arial" w:eastAsia="Arial" w:hAnsi="Arial"/>
          <w:b/>
          <w:bCs/>
          <w:sz w:val="21"/>
          <w:szCs w:val="21"/>
        </w:rPr>
        <w:t xml:space="preserve">Vendor Evaluation: </w:t>
      </w:r>
      <w:r>
        <w:rPr>
          <w:rFonts w:ascii="Arial" w:cs="Arial" w:eastAsia="Arial" w:hAnsi="Arial"/>
          <w:sz w:val="21"/>
          <w:szCs w:val="21"/>
        </w:rPr>
        <w:t xml:space="preserve">Issue an RFI or conduct vendor demonstrations for the chatbot platform, QR code management, and backend infrastructure. Prioritize platforms with existing HIPAA BAAs and healthcare deployments.</w:t>
      </w:r>
    </w:p>
    <w:p>
      <w:pPr>
        <w:pStyle w:val="ListParagraph"/>
        <w:numPr>
          <w:ilvl w:val="0"/>
          <w:numId w:val="4"/>
        </w:numPr>
        <w:spacing w:after="80" w:line="276"/>
      </w:pPr>
      <w:r>
        <w:rPr>
          <w:rFonts w:ascii="Arial" w:cs="Arial" w:eastAsia="Arial" w:hAnsi="Arial"/>
          <w:b/>
          <w:bCs/>
          <w:sz w:val="21"/>
          <w:szCs w:val="21"/>
        </w:rPr>
        <w:t xml:space="preserve">Pilot Design: </w:t>
      </w:r>
      <w:r>
        <w:rPr>
          <w:rFonts w:ascii="Arial" w:cs="Arial" w:eastAsia="Arial" w:hAnsi="Arial"/>
          <w:sz w:val="21"/>
          <w:szCs w:val="21"/>
        </w:rPr>
        <w:t xml:space="preserve">Plan a 2–4 week pilot in a single ED pod or shift to test the QR code scan workflow, chatbot usability, connectivity, and staff adoption before full-scale deployment.</w:t>
      </w:r>
    </w:p>
    <w:p>
      <w:pPr>
        <w:pStyle w:val="ListParagraph"/>
        <w:numPr>
          <w:ilvl w:val="0"/>
          <w:numId w:val="4"/>
        </w:numPr>
        <w:spacing w:after="80" w:line="276"/>
      </w:pPr>
      <w:r>
        <w:rPr>
          <w:rFonts w:ascii="Arial" w:cs="Arial" w:eastAsia="Arial" w:hAnsi="Arial"/>
          <w:b/>
          <w:bCs/>
          <w:sz w:val="21"/>
          <w:szCs w:val="21"/>
        </w:rPr>
        <w:t xml:space="preserve">Workflow Diagram Production: </w:t>
      </w:r>
      <w:r>
        <w:rPr>
          <w:rFonts w:ascii="Arial" w:cs="Arial" w:eastAsia="Arial" w:hAnsi="Arial"/>
          <w:sz w:val="21"/>
          <w:szCs w:val="21"/>
        </w:rPr>
        <w:t xml:space="preserve">Convert the seven phases in this document into a formal BPMN 2.0 swimlane diagram using Visio, Lucidchart, or equivalent tooling for executive and operational use.</w:t>
      </w:r>
    </w:p>
    <w:p>
      <w:pPr>
        <w:spacing w:after="200"/>
      </w:pPr>
    </w:p>
    <w:p>
      <w:pPr>
        <w:pBdr>
          <w:top w:val="single" w:color="2E75B6" w:sz="4" w:space="8"/>
        </w:pBdr>
        <w:spacing w:before="2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999999"/>
        <w:sz w:val="16"/>
        <w:szCs w:val="16"/>
      </w:rPr>
      <w:t xml:space="preserve">ATN 164 – Personal Device Chatbot Survey Workflow</w:t>
    </w:r>
    <w:r>
      <w:rPr>
        <w:rFonts w:ascii="Arial" w:cs="Arial" w:eastAsia="Arial" w:hAnsi="Arial"/>
        <w:i/>
        <w:iCs/>
        <w:color w:val="999999"/>
        <w:sz w:val="16"/>
        <w:szCs w:val="16"/>
      </w:rPr>
      <w:t xml:space="preserve">	Texas Children’s Hospital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2026-03-06T15:59:12.523Z</dcterms:created>
  <dcterms:modified xsi:type="dcterms:W3CDTF">2026-03-06T15:59:12.524Z</dcterms:modified>
</cp:coreProperties>
</file>

<file path=docProps/custom.xml><?xml version="1.0" encoding="utf-8"?>
<Properties xmlns="http://schemas.openxmlformats.org/officeDocument/2006/custom-properties" xmlns:vt="http://schemas.openxmlformats.org/officeDocument/2006/docPropsVTypes"/>
</file>