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480"/>
        <w:jc w:val="center"/>
      </w:pPr>
      <w:r>
        <w:rPr>
          <w:rFonts w:ascii="Arial" w:cs="Arial" w:eastAsia="Arial" w:hAnsi="Arial"/>
          <w:b/>
          <w:bCs/>
          <w:color w:val="1F4E79"/>
          <w:sz w:val="56"/>
          <w:szCs w:val="56"/>
        </w:rPr>
        <w:t xml:space="preserve">Health Data Integration Architecture</w:t>
      </w:r>
    </w:p>
    <w:p>
      <w:pPr>
        <w:spacing w:after="80" w:before="0"/>
        <w:jc w:val="center"/>
      </w:pPr>
      <w:r>
        <w:rPr>
          <w:rFonts w:ascii="Arial" w:cs="Arial" w:eastAsia="Arial" w:hAnsi="Arial"/>
          <w:b w:val="false"/>
          <w:bCs w:val="false"/>
          <w:color w:val="2E75B6"/>
          <w:sz w:val="36"/>
          <w:szCs w:val="36"/>
        </w:rPr>
        <w:t xml:space="preserve">HL7 v2  ·  C-CDA  ·  FHIR</w:t>
      </w:r>
    </w:p>
    <w:p>
      <w:pPr>
        <w:spacing w:after="60" w:before="0"/>
        <w:jc w:val="center"/>
      </w:pPr>
      <w:r>
        <w:rPr>
          <w:rFonts w:ascii="Arial" w:cs="Arial" w:eastAsia="Arial" w:hAnsi="Arial"/>
          <w:i/>
          <w:iCs/>
          <w:color w:val="404040"/>
          <w:sz w:val="24"/>
          <w:szCs w:val="24"/>
        </w:rPr>
        <w:t xml:space="preserve">Receiving, Transporting, and Processing Medical Information</w:t>
      </w:r>
    </w:p>
    <w:p>
      <w:pPr>
        <w:spacing w:after="400" w:before="40"/>
        <w:jc w:val="center"/>
      </w:pPr>
      <w:r>
        <w:rPr>
          <w:rFonts w:ascii="Arial" w:cs="Arial" w:eastAsia="Arial" w:hAnsi="Arial"/>
          <w:color w:val="404040"/>
          <w:sz w:val="20"/>
          <w:szCs w:val="20"/>
        </w:rPr>
        <w:t xml:space="preserve">Developed by: Joe Williams  |  Healthcare Data Engineering</w:t>
      </w:r>
    </w:p>
    <w:p>
      <w:pPr>
        <w:pStyle w:val="Heading1"/>
        <w:pBdr>
          <w:bottom w:val="single" w:color="2E75B6" w:sz="6" w:space="1"/>
        </w:pBdr>
        <w:spacing w:after="160" w:before="320"/>
      </w:pPr>
      <w:r>
        <w:rPr>
          <w:rFonts w:ascii="Arial" w:cs="Arial" w:eastAsia="Arial" w:hAnsi="Arial"/>
          <w:b/>
          <w:bCs/>
          <w:color w:val="1F4E79"/>
          <w:sz w:val="32"/>
          <w:szCs w:val="32"/>
        </w:rPr>
        <w:t xml:space="preserve">1.  Executive Overview</w:t>
      </w:r>
    </w:p>
    <w:p>
      <w:pPr>
        <w:spacing w:after="60" w:before="60"/>
      </w:pPr>
      <w:r>
        <w:rPr>
          <w:rFonts w:ascii="Arial" w:cs="Arial" w:eastAsia="Arial" w:hAnsi="Arial"/>
          <w:i w:val="false"/>
          <w:iCs w:val="false"/>
          <w:sz w:val="20"/>
          <w:szCs w:val="20"/>
        </w:rPr>
        <w:t xml:space="preserve">Three dominant healthcare interoperability standards govern the flow of clinical data in modern health systems. Rather than competing, they occupy distinct functional layers — HL7 v2 captures real-time clinical events, C-CDA documents care episode summaries, and FHIR exposes clinical data as queryable, machine-ready resources. Together they form a complementary continuum that carries patient information from the moment of care through archival, transition, and analytics.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2600"/>
      </w:tblGrid>
      <w:tr>
        <w:tc>
          <w:tcPr>
            <w:tcW w:type="dxa" w:w="156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Standard</w:t>
            </w:r>
          </w:p>
        </w:tc>
        <w:tc>
          <w:tcPr>
            <w:tcW w:type="dxa" w:w="24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Primary Role</w:t>
            </w:r>
          </w:p>
        </w:tc>
        <w:tc>
          <w:tcPr>
            <w:tcW w:type="dxa" w:w="24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Dominant Format</w:t>
            </w:r>
          </w:p>
        </w:tc>
        <w:tc>
          <w:tcPr>
            <w:tcW w:type="dxa" w:w="26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Speed / Timing</w:t>
            </w:r>
          </w:p>
        </w:tc>
      </w:tr>
      <w:tr>
        <w:tc>
          <w:tcPr>
            <w:tcW w:type="dxa" w:w="156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center"/>
            </w:pPr>
            <w:r>
              <w:rPr>
                <w:rFonts w:ascii="Arial" w:cs="Arial" w:eastAsia="Arial" w:hAnsi="Arial"/>
                <w:b/>
                <w:bCs/>
                <w:color w:val="1F4E79"/>
                <w:sz w:val="18"/>
                <w:szCs w:val="18"/>
              </w:rPr>
              <w:t xml:space="preserve">HL7 v2</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Real-time event messaging (ADT, lab results, pharmacy)</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Pipe-delimited segments (MSH, PID, PV1, OBX…)</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Near real-time — milliseconds to seconds</w:t>
            </w:r>
          </w:p>
        </w:tc>
      </w:tr>
      <w:tr>
        <w:tc>
          <w:tcPr>
            <w:tcW w:type="dxa" w:w="156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center"/>
            </w:pPr>
            <w:r>
              <w:rPr>
                <w:rFonts w:ascii="Arial" w:cs="Arial" w:eastAsia="Arial" w:hAnsi="Arial"/>
                <w:b/>
                <w:bCs/>
                <w:color w:val="1A6B5A"/>
                <w:sz w:val="18"/>
                <w:szCs w:val="18"/>
              </w:rPr>
              <w:t xml:space="preserve">C-CDA</w:t>
            </w:r>
          </w:p>
        </w:tc>
        <w:tc>
          <w:tcPr>
            <w:tcW w:type="dxa" w:w="2400"/>
            <w:tcBorders>
              <w:top w:val="single" w:color="CCCCCC" w:sz="1"/>
              <w:left w:val="single" w:color="CCCCCC" w:sz="1"/>
              <w:bottom w:val="single" w:color="CCCCCC" w:sz="1"/>
              <w:right w:val="single" w:color="CCCCCC" w:sz="1"/>
            </w:tcBorders>
            <w:shd w:fill="E8F5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Structured clinical document (care summaries, referrals)</w:t>
            </w:r>
          </w:p>
        </w:tc>
        <w:tc>
          <w:tcPr>
            <w:tcW w:type="dxa" w:w="2400"/>
            <w:tcBorders>
              <w:top w:val="single" w:color="CCCCCC" w:sz="1"/>
              <w:left w:val="single" w:color="CCCCCC" w:sz="1"/>
              <w:bottom w:val="single" w:color="CCCCCC" w:sz="1"/>
              <w:right w:val="single" w:color="CCCCCC" w:sz="1"/>
            </w:tcBorders>
            <w:shd w:fill="E8F5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XML with coded sections (CCD, Discharge Summary, etc.)</w:t>
            </w:r>
          </w:p>
        </w:tc>
        <w:tc>
          <w:tcPr>
            <w:tcW w:type="dxa" w:w="2600"/>
            <w:tcBorders>
              <w:top w:val="single" w:color="CCCCCC" w:sz="1"/>
              <w:left w:val="single" w:color="CCCCCC" w:sz="1"/>
              <w:bottom w:val="single" w:color="CCCCCC" w:sz="1"/>
              <w:right w:val="single" w:color="CCCCCC" w:sz="1"/>
            </w:tcBorders>
            <w:shd w:fill="E8F5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Care transitions — minutes to hours</w:t>
            </w:r>
          </w:p>
        </w:tc>
      </w:tr>
      <w:tr>
        <w:tc>
          <w:tcPr>
            <w:tcW w:type="dxa" w:w="15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center"/>
            </w:pPr>
            <w:r>
              <w:rPr>
                <w:rFonts w:ascii="Arial" w:cs="Arial" w:eastAsia="Arial" w:hAnsi="Arial"/>
                <w:b/>
                <w:bCs/>
                <w:color w:val="7B3F00"/>
                <w:sz w:val="18"/>
                <w:szCs w:val="18"/>
              </w:rPr>
              <w:t xml:space="preserve">FHIR</w:t>
            </w:r>
          </w:p>
        </w:tc>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RESTful API, analytics, patient-facing apps, payer integrations</w:t>
            </w:r>
          </w:p>
        </w:tc>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JSON/XML resources (Patient, Observation, Condition…)</w:t>
            </w:r>
          </w:p>
        </w:tc>
        <w:tc>
          <w:tcPr>
            <w:tcW w:type="dxa" w:w="2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Asynchronous / on-demand — batch or streaming</w:t>
            </w:r>
          </w:p>
        </w:tc>
      </w:tr>
    </w:tbl>
    <w:p>
      <w:pPr>
        <w:spacing w:after="0" w:before="2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Individual Standard Profiles</w:t>
      </w:r>
    </w:p>
    <w:p>
      <w:pPr>
        <w:pStyle w:val="Heading2"/>
        <w:spacing w:after="100" w:before="240"/>
      </w:pPr>
      <w:r>
        <w:rPr>
          <w:rFonts w:ascii="Arial" w:cs="Arial" w:eastAsia="Arial" w:hAnsi="Arial"/>
          <w:b/>
          <w:bCs/>
          <w:color w:val="1F4E79"/>
          <w:sz w:val="26"/>
          <w:szCs w:val="26"/>
        </w:rPr>
        <w:t xml:space="preserve">2.1  HL7 v2 — The Operational Nervous System</w:t>
      </w:r>
    </w:p>
    <w:p>
      <w:pPr>
        <w:spacing w:after="60" w:before="60"/>
      </w:pPr>
      <w:r>
        <w:rPr>
          <w:rFonts w:ascii="Arial" w:cs="Arial" w:eastAsia="Arial" w:hAnsi="Arial"/>
          <w:i w:val="false"/>
          <w:iCs w:val="false"/>
          <w:sz w:val="20"/>
          <w:szCs w:val="20"/>
        </w:rPr>
        <w:t xml:space="preserve">HL7 v2 is the most widely deployed healthcare messaging standard in existence. It operates as the real-time event notification layer inside and between clinical systems — EHRs, lab systems, pharmacy, radiology, and billing — via pipe-delimited message segments transmitted across HL7 MLLP connections or modern REST wrappers.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c>
          <w:tcPr>
            <w:tcW w:type="dxa" w:w="16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Message Type</w:t>
            </w:r>
          </w:p>
        </w:tc>
        <w:tc>
          <w:tcPr>
            <w:tcW w:type="dxa" w:w="22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Trigger Event</w:t>
            </w:r>
          </w:p>
        </w:tc>
        <w:tc>
          <w:tcPr>
            <w:tcW w:type="dxa" w:w="296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Clinical Action</w:t>
            </w:r>
          </w:p>
        </w:tc>
        <w:tc>
          <w:tcPr>
            <w:tcW w:type="dxa" w:w="26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Segments</w:t>
            </w:r>
          </w:p>
        </w:tc>
      </w:tr>
      <w:tr>
        <w:tc>
          <w:tcPr>
            <w:tcW w:type="dxa" w:w="16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w:t>
            </w:r>
          </w:p>
        </w:tc>
        <w:tc>
          <w:tcPr>
            <w:tcW w:type="dxa" w:w="22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Admission</w:t>
            </w:r>
          </w:p>
        </w:tc>
        <w:tc>
          <w:tcPr>
            <w:tcW w:type="dxa" w:w="296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arrives/registers in EHR</w:t>
            </w:r>
          </w:p>
        </w:tc>
        <w:tc>
          <w:tcPr>
            <w:tcW w:type="dxa" w:w="26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EVN, PID, PV1</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Discharge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discharged — triggers C-CDA assembly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EVN, PID, PV1</w:t>
            </w:r>
          </w:p>
        </w:tc>
      </w:tr>
      <w:tr>
        <w:tc>
          <w:tcPr>
            <w:tcW w:type="dxa" w:w="16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A08</w:t>
            </w:r>
          </w:p>
        </w:tc>
        <w:tc>
          <w:tcPr>
            <w:tcW w:type="dxa" w:w="22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Update</w:t>
            </w:r>
          </w:p>
        </w:tc>
        <w:tc>
          <w:tcPr>
            <w:tcW w:type="dxa" w:w="296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Demographics or coverage changed</w:t>
            </w:r>
          </w:p>
        </w:tc>
        <w:tc>
          <w:tcPr>
            <w:tcW w:type="dxa" w:w="26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EVN, PID, IN1</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ORU R01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Lab/Radiology Result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Resulted observation transmitted to EHR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PID, OBR, OBX</w:t>
            </w:r>
          </w:p>
        </w:tc>
      </w:tr>
      <w:tr>
        <w:tc>
          <w:tcPr>
            <w:tcW w:type="dxa" w:w="16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ORM O01</w:t>
            </w:r>
          </w:p>
        </w:tc>
        <w:tc>
          <w:tcPr>
            <w:tcW w:type="dxa" w:w="22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Order Message</w:t>
            </w:r>
          </w:p>
        </w:tc>
        <w:tc>
          <w:tcPr>
            <w:tcW w:type="dxa" w:w="296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Lab or radiology order placed</w:t>
            </w:r>
          </w:p>
        </w:tc>
        <w:tc>
          <w:tcPr>
            <w:tcW w:type="dxa" w:w="26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PID, ORC, OBR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RDE O11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Pharmacy Dispense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 dispensed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PID, ORC, RXE</w:t>
            </w:r>
          </w:p>
        </w:tc>
      </w:tr>
      <w:tr>
        <w:tc>
          <w:tcPr>
            <w:tcW w:type="dxa" w:w="16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MDM T02</w:t>
            </w:r>
          </w:p>
        </w:tc>
        <w:tc>
          <w:tcPr>
            <w:tcW w:type="dxa" w:w="22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Clinical Note</w:t>
            </w:r>
          </w:p>
        </w:tc>
        <w:tc>
          <w:tcPr>
            <w:tcW w:type="dxa" w:w="296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Dictated/transcribed note transmitted</w:t>
            </w:r>
          </w:p>
        </w:tc>
        <w:tc>
          <w:tcPr>
            <w:tcW w:type="dxa" w:w="26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PID, TXA, OBX</w:t>
            </w:r>
          </w:p>
        </w:tc>
      </w:tr>
    </w:tbl>
    <w:p>
      <w:pPr>
        <w:spacing w:after="0" w:before="80"/>
      </w:pPr>
      <w:r>
        <w:t xml:space="preserve"/>
      </w:r>
    </w:p>
    <w:p>
      <w:pPr>
        <w:spacing w:after="60" w:before="60"/>
      </w:pPr>
      <w:r>
        <w:rPr>
          <w:rFonts w:ascii="Arial" w:cs="Arial" w:eastAsia="Arial" w:hAnsi="Arial"/>
          <w:i w:val="false"/>
          <w:iCs w:val="false"/>
          <w:sz w:val="20"/>
          <w:szCs w:val="20"/>
        </w:rPr>
        <w:t xml:space="preserve">Compliance obligations at the v2 layer include: enforcing required segment presence (MSH, PID, PV1), validating message structure against interface conformance specifications, and logging every ACK (acknowledgment) and NACK (negative acknowledgment) for audit trail purposes.</w:t>
      </w:r>
    </w:p>
    <w:p>
      <w:pPr>
        <w:spacing w:after="0" w:before="160"/>
      </w:pPr>
      <w:r>
        <w:t xml:space="preserve"/>
      </w:r>
    </w:p>
    <w:p>
      <w:pPr>
        <w:pStyle w:val="Heading2"/>
        <w:spacing w:after="100" w:before="240"/>
      </w:pPr>
      <w:r>
        <w:rPr>
          <w:rFonts w:ascii="Arial" w:cs="Arial" w:eastAsia="Arial" w:hAnsi="Arial"/>
          <w:b/>
          <w:bCs/>
          <w:color w:val="1F4E79"/>
          <w:sz w:val="26"/>
          <w:szCs w:val="26"/>
        </w:rPr>
        <w:t xml:space="preserve">2.2  C-CDA — The Clinical Document Layer</w:t>
      </w:r>
    </w:p>
    <w:p>
      <w:pPr>
        <w:spacing w:after="60" w:before="60"/>
      </w:pPr>
      <w:r>
        <w:rPr>
          <w:rFonts w:ascii="Arial" w:cs="Arial" w:eastAsia="Arial" w:hAnsi="Arial"/>
          <w:i w:val="false"/>
          <w:iCs w:val="false"/>
          <w:sz w:val="20"/>
          <w:szCs w:val="20"/>
        </w:rPr>
        <w:t xml:space="preserve">C-CDA (Consolidated Clinical Document Architecture) is an XML-based standard that captures the complete clinical narrative of a care episode. It answers the question 'what is this patient's complete story at this moment?' rather than 'what just happened?' It is the mandated format for Transition of Care documents under the CMS Interoperability Rule and ONC 21st Century Cures Act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gridSpan w:val="1"/>
            <w:tcBorders>
              <w:top w:val="single" w:color="2E75B6" w:sz="1"/>
              <w:left w:val="single" w:color="2E75B6" w:sz="1"/>
              <w:bottom w:val="single" w:color="2E75B6" w:sz="1"/>
              <w:right w:val="single" w:color="2E75B6" w:sz="1"/>
            </w:tcBorders>
            <w:shd w:fill="1A6B5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Document Type</w:t>
            </w:r>
          </w:p>
        </w:tc>
        <w:tc>
          <w:tcPr>
            <w:tcW w:type="dxa" w:w="2400"/>
            <w:gridSpan w:val="1"/>
            <w:tcBorders>
              <w:top w:val="single" w:color="2E75B6" w:sz="1"/>
              <w:left w:val="single" w:color="2E75B6" w:sz="1"/>
              <w:bottom w:val="single" w:color="2E75B6" w:sz="1"/>
              <w:right w:val="single" w:color="2E75B6" w:sz="1"/>
            </w:tcBorders>
            <w:shd w:fill="1A6B5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Clinical Trigger</w:t>
            </w:r>
          </w:p>
        </w:tc>
        <w:tc>
          <w:tcPr>
            <w:tcW w:type="dxa" w:w="2400"/>
            <w:gridSpan w:val="1"/>
            <w:tcBorders>
              <w:top w:val="single" w:color="2E75B6" w:sz="1"/>
              <w:left w:val="single" w:color="2E75B6" w:sz="1"/>
              <w:bottom w:val="single" w:color="2E75B6" w:sz="1"/>
              <w:right w:val="single" w:color="2E75B6" w:sz="1"/>
            </w:tcBorders>
            <w:shd w:fill="1A6B5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Sections</w:t>
            </w:r>
          </w:p>
        </w:tc>
        <w:tc>
          <w:tcPr>
            <w:tcW w:type="dxa" w:w="2360"/>
            <w:gridSpan w:val="1"/>
            <w:tcBorders>
              <w:top w:val="single" w:color="2E75B6" w:sz="1"/>
              <w:left w:val="single" w:color="2E75B6" w:sz="1"/>
              <w:bottom w:val="single" w:color="2E75B6" w:sz="1"/>
              <w:right w:val="single" w:color="2E75B6" w:sz="1"/>
            </w:tcBorders>
            <w:shd w:fill="1A6B5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Transport Mechanism</w:t>
            </w:r>
          </w:p>
        </w:tc>
      </w:tr>
      <w:tr>
        <w:tc>
          <w:tcPr>
            <w:tcW w:type="dxa" w:w="22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Continuity of Care Document (CCD)</w:t>
            </w:r>
          </w:p>
        </w:tc>
        <w:tc>
          <w:tcPr>
            <w:tcW w:type="dxa" w:w="24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Care coordination / referral</w:t>
            </w:r>
          </w:p>
        </w:tc>
        <w:tc>
          <w:tcPr>
            <w:tcW w:type="dxa" w:w="24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Problems, Medications, Allergies, Results</w:t>
            </w:r>
          </w:p>
        </w:tc>
        <w:tc>
          <w:tcPr>
            <w:tcW w:type="dxa" w:w="236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Direct Messaging, XDS.b, FHIR DocumentReference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Discharge Summary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Hospital discharge (ADT A03)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Discharge Dx, Procedures, Meds, Instructions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Direct Messaging, HISP-to-HISP</w:t>
            </w:r>
          </w:p>
        </w:tc>
      </w:tr>
      <w:tr>
        <w:tc>
          <w:tcPr>
            <w:tcW w:type="dxa" w:w="22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Referral Note</w:t>
            </w:r>
          </w:p>
        </w:tc>
        <w:tc>
          <w:tcPr>
            <w:tcW w:type="dxa" w:w="24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Specialist referral</w:t>
            </w:r>
          </w:p>
        </w:tc>
        <w:tc>
          <w:tcPr>
            <w:tcW w:type="dxa" w:w="24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Reason, History, Meds, Orders</w:t>
            </w:r>
          </w:p>
        </w:tc>
        <w:tc>
          <w:tcPr>
            <w:tcW w:type="dxa" w:w="236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Direct Messaging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Progress Note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Ongoing ambulatory care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Subjective, Objective, Assessment, Plan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XDS.b, FHIR wrapper</w:t>
            </w:r>
          </w:p>
        </w:tc>
      </w:tr>
      <w:tr>
        <w:tc>
          <w:tcPr>
            <w:tcW w:type="dxa" w:w="22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Operative Note</w:t>
            </w:r>
          </w:p>
        </w:tc>
        <w:tc>
          <w:tcPr>
            <w:tcW w:type="dxa" w:w="24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Surgical procedure</w:t>
            </w:r>
          </w:p>
        </w:tc>
        <w:tc>
          <w:tcPr>
            <w:tcW w:type="dxa" w:w="24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Procedure, Findings, Specimens</w:t>
            </w:r>
          </w:p>
        </w:tc>
        <w:tc>
          <w:tcPr>
            <w:tcW w:type="dxa" w:w="236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XDS.b, Direct Messaging</w:t>
            </w:r>
          </w:p>
        </w:tc>
      </w:tr>
    </w:tbl>
    <w:p>
      <w:pPr>
        <w:spacing w:after="0" w:before="80"/>
      </w:pPr>
      <w:r>
        <w:t xml:space="preserve"/>
      </w:r>
    </w:p>
    <w:p>
      <w:pPr>
        <w:spacing w:after="60" w:before="60"/>
      </w:pPr>
      <w:r>
        <w:rPr>
          <w:rFonts w:ascii="Arial" w:cs="Arial" w:eastAsia="Arial" w:hAnsi="Arial"/>
          <w:i w:val="false"/>
          <w:iCs w:val="false"/>
          <w:sz w:val="20"/>
          <w:szCs w:val="20"/>
        </w:rPr>
        <w:t xml:space="preserve">Compliance obligations: conformance to HL7 C-CDA R2.1 implementation guide, Schematron validation before transmission, Direct Trust certificate chain for secure HISP-to-HISP delivery, and meeting CMS transition of care document requirements.</w:t>
      </w:r>
    </w:p>
    <w:p>
      <w:pPr>
        <w:spacing w:after="0" w:before="160"/>
      </w:pPr>
      <w:r>
        <w:t xml:space="preserve"/>
      </w:r>
    </w:p>
    <w:p>
      <w:pPr>
        <w:pStyle w:val="Heading2"/>
        <w:spacing w:after="100" w:before="240"/>
      </w:pPr>
      <w:r>
        <w:rPr>
          <w:rFonts w:ascii="Arial" w:cs="Arial" w:eastAsia="Arial" w:hAnsi="Arial"/>
          <w:b/>
          <w:bCs/>
          <w:color w:val="1F4E79"/>
          <w:sz w:val="26"/>
          <w:szCs w:val="26"/>
        </w:rPr>
        <w:t xml:space="preserve">2.3  FHIR — The API and Analytics Layer</w:t>
      </w:r>
    </w:p>
    <w:p>
      <w:pPr>
        <w:spacing w:after="60" w:before="60"/>
      </w:pPr>
      <w:r>
        <w:rPr>
          <w:rFonts w:ascii="Arial" w:cs="Arial" w:eastAsia="Arial" w:hAnsi="Arial"/>
          <w:i w:val="false"/>
          <w:iCs w:val="false"/>
          <w:sz w:val="20"/>
          <w:szCs w:val="20"/>
        </w:rPr>
        <w:t xml:space="preserve">FHIR (Fast Healthcare Interoperability Resources) R4 decomposes clinical information into discrete, addressable REST resources. It is designed for modern application development, patient access portals, payer integrations, and ML/analytics pipelines. FHIR is mandated by CMS for Patient Access APIs (Medicare Advantage, Medicaid, CHIP) and is the backbone of USCDI-aligned data exchange.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FHIR Resource</w:t>
            </w:r>
          </w:p>
        </w:tc>
        <w:tc>
          <w:tcPr>
            <w:tcW w:type="dxa" w:w="220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Clinical Concept</w:t>
            </w:r>
          </w:p>
        </w:tc>
        <w:tc>
          <w:tcPr>
            <w:tcW w:type="dxa" w:w="256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Source Event (v2 or C-CDA)</w:t>
            </w:r>
          </w:p>
        </w:tc>
        <w:tc>
          <w:tcPr>
            <w:tcW w:type="dxa" w:w="260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Downstream Use</w:t>
            </w:r>
          </w:p>
        </w:tc>
      </w:tr>
      <w:tr>
        <w:tc>
          <w:tcPr>
            <w:tcW w:type="dxa" w:w="20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w:t>
            </w:r>
          </w:p>
        </w:tc>
        <w:tc>
          <w:tcPr>
            <w:tcW w:type="dxa" w:w="22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Demographics</w:t>
            </w:r>
          </w:p>
        </w:tc>
        <w:tc>
          <w:tcPr>
            <w:tcW w:type="dxa" w:w="25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 PID segment / C-CDA recordTarget</w:t>
            </w:r>
          </w:p>
        </w:tc>
        <w:tc>
          <w:tcPr>
            <w:tcW w:type="dxa" w:w="2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Access API, MPI matching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Encounter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Care visit/episode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 PV1 segment / C-CDA encompassingEncounter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Quality reporting, risk stratification</w:t>
            </w:r>
          </w:p>
        </w:tc>
      </w:tr>
      <w:tr>
        <w:tc>
          <w:tcPr>
            <w:tcW w:type="dxa" w:w="20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Observation</w:t>
            </w:r>
          </w:p>
        </w:tc>
        <w:tc>
          <w:tcPr>
            <w:tcW w:type="dxa" w:w="22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Lab results, vitals</w:t>
            </w:r>
          </w:p>
        </w:tc>
        <w:tc>
          <w:tcPr>
            <w:tcW w:type="dxa" w:w="25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ORU R01 OBX segment / C-CDA Results section</w:t>
            </w:r>
          </w:p>
        </w:tc>
        <w:tc>
          <w:tcPr>
            <w:tcW w:type="dxa" w:w="2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Analytics, ML feature engineering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Condition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Diagnoses, problems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 DG1 segment / C-CDA Problems section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Risk scoring, eCQM logic</w:t>
            </w:r>
          </w:p>
        </w:tc>
      </w:tr>
      <w:tr>
        <w:tc>
          <w:tcPr>
            <w:tcW w:type="dxa" w:w="20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MedicationRequest</w:t>
            </w:r>
          </w:p>
        </w:tc>
        <w:tc>
          <w:tcPr>
            <w:tcW w:type="dxa" w:w="22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 orders</w:t>
            </w:r>
          </w:p>
        </w:tc>
        <w:tc>
          <w:tcPr>
            <w:tcW w:type="dxa" w:w="25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RDE O11 / C-CDA Medications section</w:t>
            </w:r>
          </w:p>
        </w:tc>
        <w:tc>
          <w:tcPr>
            <w:tcW w:type="dxa" w:w="2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 reconciliation, PDMP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AllergyIntolerance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Allergy records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C-CDA Allergies section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CDS alerts, formulary checking</w:t>
            </w:r>
          </w:p>
        </w:tc>
      </w:tr>
      <w:tr>
        <w:tc>
          <w:tcPr>
            <w:tcW w:type="dxa" w:w="20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DiagnosticReport</w:t>
            </w:r>
          </w:p>
        </w:tc>
        <w:tc>
          <w:tcPr>
            <w:tcW w:type="dxa" w:w="22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Lab/radiology report</w:t>
            </w:r>
          </w:p>
        </w:tc>
        <w:tc>
          <w:tcPr>
            <w:tcW w:type="dxa" w:w="25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ORU R01 OBR+OBX / C-CDA Results</w:t>
            </w:r>
          </w:p>
        </w:tc>
        <w:tc>
          <w:tcPr>
            <w:tcW w:type="dxa" w:w="2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Population health dashboards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DocumentReference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Clinical documents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C-CDA document (wrapped as FHIR)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Document retrieval APIs</w:t>
            </w:r>
          </w:p>
        </w:tc>
      </w:tr>
      <w:tr>
        <w:tc>
          <w:tcPr>
            <w:tcW w:type="dxa" w:w="20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Provenance</w:t>
            </w:r>
          </w:p>
        </w:tc>
        <w:tc>
          <w:tcPr>
            <w:tcW w:type="dxa" w:w="22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Data lineage</w:t>
            </w:r>
          </w:p>
        </w:tc>
        <w:tc>
          <w:tcPr>
            <w:tcW w:type="dxa" w:w="25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Transformation metadata</w:t>
            </w:r>
          </w:p>
        </w:tc>
        <w:tc>
          <w:tcPr>
            <w:tcW w:type="dxa" w:w="2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Audit trail, compliance</w:t>
            </w:r>
          </w:p>
        </w:tc>
      </w:tr>
    </w:tbl>
    <w:p>
      <w:pPr>
        <w:spacing w:after="0" w:before="80"/>
      </w:pPr>
      <w:r>
        <w:t xml:space="preserve"/>
      </w:r>
    </w:p>
    <w:p>
      <w:pPr>
        <w:spacing w:after="60" w:before="60"/>
      </w:pPr>
      <w:r>
        <w:rPr>
          <w:rFonts w:ascii="Arial" w:cs="Arial" w:eastAsia="Arial" w:hAnsi="Arial"/>
          <w:i w:val="false"/>
          <w:iCs w:val="false"/>
          <w:sz w:val="20"/>
          <w:szCs w:val="20"/>
        </w:rPr>
        <w:t xml:space="preserve">Compliance obligations: USCDI data element requirements, LOINC/SNOMED CT/RxNorm code binding, SMART on FHIR (OAuth 2.0) access control, and US Core Implementation Guide conformance.</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3.  End-to-End System: The Five-Step Pipeline</w:t>
      </w:r>
    </w:p>
    <w:p>
      <w:pPr>
        <w:spacing w:after="60" w:before="60"/>
      </w:pPr>
      <w:r>
        <w:rPr>
          <w:rFonts w:ascii="Arial" w:cs="Arial" w:eastAsia="Arial" w:hAnsi="Arial"/>
          <w:i w:val="false"/>
          <w:iCs w:val="false"/>
          <w:sz w:val="20"/>
          <w:szCs w:val="20"/>
        </w:rPr>
        <w:t xml:space="preserve">The following describes a representative patient journey — ED presentation, inpatient admission, discharge to a Skilled Nursing Facility (SNF) — and traces how HL7 v2, C-CDA, and FHIR each carry the data forward through five discrete pipeline steps with defined hand-off points.</w:t>
      </w:r>
    </w:p>
    <w:p>
      <w:pPr>
        <w:spacing w:after="0" w:before="120"/>
      </w:pPr>
      <w:r>
        <w:t xml:space="preserve"/>
      </w:r>
    </w:p>
    <w:p>
      <w:pPr>
        <w:spacing w:after="80" w:before="180"/>
      </w:pPr>
      <w:r>
        <w:rPr>
          <w:rFonts w:ascii="Arial" w:cs="Arial" w:eastAsia="Arial" w:hAnsi="Arial"/>
          <w:b/>
          <w:bCs/>
          <w:color w:val="1F4E79"/>
          <w:sz w:val="22"/>
          <w:szCs w:val="22"/>
        </w:rPr>
        <w:t xml:space="preserve">Pipeline Overview</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68"/>
        <w:gridCol w:w="200"/>
        <w:gridCol w:w="1568"/>
        <w:gridCol w:w="200"/>
        <w:gridCol w:w="1568"/>
        <w:gridCol w:w="200"/>
        <w:gridCol w:w="1568"/>
        <w:gridCol w:w="200"/>
        <w:gridCol w:w="1568"/>
      </w:tblGrid>
      <w:tr>
        <w:tc>
          <w:tcPr>
            <w:tcW w:type="dxa" w:w="1568"/>
            <w:tcBorders>
              <w:top w:val="single" w:color="1F4E79" w:sz="1"/>
              <w:left w:val="single" w:color="1F4E79" w:sz="1"/>
              <w:bottom w:val="single" w:color="1F4E79" w:sz="1"/>
              <w:right w:val="single" w:color="1F4E79" w:sz="1"/>
            </w:tcBorders>
            <w:shd w:fill="DDEEFF" w:val="clear"/>
            <w:tcMar>
              <w:top w:type="dxa" w:w="120"/>
              <w:left w:type="dxa" w:w="120"/>
              <w:bottom w:type="dxa" w:w="120"/>
              <w:right w:type="dxa" w:w="120"/>
            </w:tcMar>
            <w:vAlign w:val="center"/>
          </w:tcPr>
          <w:p>
            <w:pPr>
              <w:jc w:val="center"/>
            </w:pPr>
            <w:r>
              <w:rPr>
                <w:rFonts w:ascii="Arial" w:cs="Arial" w:eastAsia="Arial" w:hAnsi="Arial"/>
                <w:b/>
                <w:bCs/>
                <w:color w:val="1F4E79"/>
                <w:sz w:val="20"/>
                <w:szCs w:val="20"/>
              </w:rPr>
              <w:t xml:space="preserve">Step 1</w:t>
            </w:r>
          </w:p>
          <w:p>
            <w:pPr>
              <w:jc w:val="center"/>
            </w:pPr>
            <w:r>
              <w:rPr>
                <w:rFonts w:ascii="Arial" w:cs="Arial" w:eastAsia="Arial" w:hAnsi="Arial"/>
                <w:color w:val="404040"/>
                <w:sz w:val="16"/>
                <w:szCs w:val="16"/>
              </w:rPr>
              <w:t xml:space="preserve">HL7 v2
Event Capture</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1568"/>
            <w:tcBorders>
              <w:top w:val="single" w:color="2E75B6" w:sz="1"/>
              <w:left w:val="single" w:color="2E75B6" w:sz="1"/>
              <w:bottom w:val="single" w:color="2E75B6" w:sz="1"/>
              <w:right w:val="single" w:color="2E75B6" w:sz="1"/>
            </w:tcBorders>
            <w:shd w:fill="EAF4FF" w:val="clear"/>
            <w:tcMar>
              <w:top w:type="dxa" w:w="120"/>
              <w:left w:type="dxa" w:w="120"/>
              <w:bottom w:type="dxa" w:w="120"/>
              <w:right w:type="dxa" w:w="120"/>
            </w:tcMar>
            <w:vAlign w:val="center"/>
          </w:tcPr>
          <w:p>
            <w:pPr>
              <w:jc w:val="center"/>
            </w:pPr>
            <w:r>
              <w:rPr>
                <w:rFonts w:ascii="Arial" w:cs="Arial" w:eastAsia="Arial" w:hAnsi="Arial"/>
                <w:b/>
                <w:bCs/>
                <w:color w:val="2E75B6"/>
                <w:sz w:val="20"/>
                <w:szCs w:val="20"/>
              </w:rPr>
              <w:t xml:space="preserve">Step 2</w:t>
            </w:r>
          </w:p>
          <w:p>
            <w:pPr>
              <w:jc w:val="center"/>
            </w:pPr>
            <w:r>
              <w:rPr>
                <w:rFonts w:ascii="Arial" w:cs="Arial" w:eastAsia="Arial" w:hAnsi="Arial"/>
                <w:color w:val="404040"/>
                <w:sz w:val="16"/>
                <w:szCs w:val="16"/>
              </w:rPr>
              <w:t xml:space="preserve">v2 → FHIR
Transformation</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1568"/>
            <w:tcBorders>
              <w:top w:val="single" w:color="1A6B5A" w:sz="1"/>
              <w:left w:val="single" w:color="1A6B5A" w:sz="1"/>
              <w:bottom w:val="single" w:color="1A6B5A" w:sz="1"/>
              <w:right w:val="single" w:color="1A6B5A" w:sz="1"/>
            </w:tcBorders>
            <w:shd w:fill="DDEEDD" w:val="clear"/>
            <w:tcMar>
              <w:top w:type="dxa" w:w="120"/>
              <w:left w:type="dxa" w:w="120"/>
              <w:bottom w:type="dxa" w:w="120"/>
              <w:right w:type="dxa" w:w="120"/>
            </w:tcMar>
            <w:vAlign w:val="center"/>
          </w:tcPr>
          <w:p>
            <w:pPr>
              <w:jc w:val="center"/>
            </w:pPr>
            <w:r>
              <w:rPr>
                <w:rFonts w:ascii="Arial" w:cs="Arial" w:eastAsia="Arial" w:hAnsi="Arial"/>
                <w:b/>
                <w:bCs/>
                <w:color w:val="1A6B5A"/>
                <w:sz w:val="20"/>
                <w:szCs w:val="20"/>
              </w:rPr>
              <w:t xml:space="preserve">Step 3</w:t>
            </w:r>
          </w:p>
          <w:p>
            <w:pPr>
              <w:jc w:val="center"/>
            </w:pPr>
            <w:r>
              <w:rPr>
                <w:rFonts w:ascii="Arial" w:cs="Arial" w:eastAsia="Arial" w:hAnsi="Arial"/>
                <w:color w:val="404040"/>
                <w:sz w:val="16"/>
                <w:szCs w:val="16"/>
              </w:rPr>
              <w:t xml:space="preserve">C-CDA
Document Assembly</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1568"/>
            <w:tcBorders>
              <w:top w:val="single" w:color="7B3F00" w:sz="1"/>
              <w:left w:val="single" w:color="7B3F00" w:sz="1"/>
              <w:bottom w:val="single" w:color="7B3F00" w:sz="1"/>
              <w:right w:val="single" w:color="7B3F00" w:sz="1"/>
            </w:tcBorders>
            <w:shd w:fill="FFE5CC"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Step 4</w:t>
            </w:r>
          </w:p>
          <w:p>
            <w:pPr>
              <w:jc w:val="center"/>
            </w:pPr>
            <w:r>
              <w:rPr>
                <w:rFonts w:ascii="Arial" w:cs="Arial" w:eastAsia="Arial" w:hAnsi="Arial"/>
                <w:color w:val="404040"/>
                <w:sz w:val="16"/>
                <w:szCs w:val="16"/>
              </w:rPr>
              <w:t xml:space="preserve">C-CDA → FHIR
Ingestion</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1568"/>
            <w:tcBorders>
              <w:top w:val="single" w:color="7B3F00" w:sz="1"/>
              <w:left w:val="single" w:color="7B3F00" w:sz="1"/>
              <w:bottom w:val="single" w:color="7B3F00" w:sz="1"/>
              <w:right w:val="single" w:color="7B3F00" w:sz="1"/>
            </w:tcBorders>
            <w:shd w:fill="FFF3E0"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Step 5</w:t>
            </w:r>
          </w:p>
          <w:p>
            <w:pPr>
              <w:jc w:val="center"/>
            </w:pPr>
            <w:r>
              <w:rPr>
                <w:rFonts w:ascii="Arial" w:cs="Arial" w:eastAsia="Arial" w:hAnsi="Arial"/>
                <w:color w:val="404040"/>
                <w:sz w:val="16"/>
                <w:szCs w:val="16"/>
              </w:rPr>
              <w:t xml:space="preserve">FHIR Analytics
&amp; Operations</w:t>
            </w:r>
          </w:p>
        </w:tc>
      </w:tr>
    </w:tbl>
    <w:p>
      <w:pPr>
        <w:spacing w:after="0" w:before="160"/>
      </w:pPr>
      <w:r>
        <w:t xml:space="preserve"/>
      </w:r>
    </w:p>
    <w:p>
      <w:pPr>
        <w:pStyle w:val="Heading2"/>
        <w:spacing w:after="100" w:before="240"/>
      </w:pPr>
      <w:r>
        <w:rPr>
          <w:rFonts w:ascii="Arial" w:cs="Arial" w:eastAsia="Arial" w:hAnsi="Arial"/>
          <w:b/>
          <w:bCs/>
          <w:color w:val="1F4E79"/>
          <w:sz w:val="26"/>
          <w:szCs w:val="26"/>
        </w:rPr>
        <w:t xml:space="preserve">Step 1 — Event Capture (HL7 v2)</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10"/>
        <w:gridCol w:w="200"/>
        <w:gridCol w:w="2010"/>
        <w:gridCol w:w="200"/>
        <w:gridCol w:w="2010"/>
        <w:gridCol w:w="200"/>
        <w:gridCol w:w="2010"/>
      </w:tblGrid>
      <w:tr>
        <w:tc>
          <w:tcPr>
            <w:tcW w:type="dxa" w:w="2010"/>
            <w:tcBorders>
              <w:top w:val="single" w:color="1F4E79" w:sz="1"/>
              <w:left w:val="single" w:color="1F4E79" w:sz="1"/>
              <w:bottom w:val="single" w:color="1F4E79" w:sz="1"/>
              <w:right w:val="single" w:color="1F4E79" w:sz="1"/>
            </w:tcBorders>
            <w:shd w:fill="DDEEFF" w:val="clear"/>
            <w:tcMar>
              <w:top w:type="dxa" w:w="120"/>
              <w:left w:type="dxa" w:w="120"/>
              <w:bottom w:type="dxa" w:w="120"/>
              <w:right w:type="dxa" w:w="120"/>
            </w:tcMar>
            <w:vAlign w:val="center"/>
          </w:tcPr>
          <w:p>
            <w:pPr>
              <w:jc w:val="center"/>
            </w:pPr>
            <w:r>
              <w:rPr>
                <w:rFonts w:ascii="Arial" w:cs="Arial" w:eastAsia="Arial" w:hAnsi="Arial"/>
                <w:b/>
                <w:bCs/>
                <w:color w:val="1F4E79"/>
                <w:sz w:val="20"/>
                <w:szCs w:val="20"/>
              </w:rPr>
              <w:t xml:space="preserve">Clinical Event
(ED Registration)</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1F4E79" w:sz="1"/>
              <w:left w:val="single" w:color="1F4E79" w:sz="1"/>
              <w:bottom w:val="single" w:color="1F4E79" w:sz="1"/>
              <w:right w:val="single" w:color="1F4E79" w:sz="1"/>
            </w:tcBorders>
            <w:shd w:fill="DDEEFF" w:val="clear"/>
            <w:tcMar>
              <w:top w:type="dxa" w:w="120"/>
              <w:left w:type="dxa" w:w="120"/>
              <w:bottom w:type="dxa" w:w="120"/>
              <w:right w:type="dxa" w:w="120"/>
            </w:tcMar>
            <w:vAlign w:val="center"/>
          </w:tcPr>
          <w:p>
            <w:pPr>
              <w:jc w:val="center"/>
            </w:pPr>
            <w:r>
              <w:rPr>
                <w:rFonts w:ascii="Arial" w:cs="Arial" w:eastAsia="Arial" w:hAnsi="Arial"/>
                <w:b/>
                <w:bCs/>
                <w:color w:val="1F4E79"/>
                <w:sz w:val="20"/>
                <w:szCs w:val="20"/>
              </w:rPr>
              <w:t xml:space="preserve">v2 Message
(ADT A01)</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1F4E79" w:sz="1"/>
              <w:left w:val="single" w:color="1F4E79" w:sz="1"/>
              <w:bottom w:val="single" w:color="1F4E79" w:sz="1"/>
              <w:right w:val="single" w:color="1F4E79" w:sz="1"/>
            </w:tcBorders>
            <w:shd w:fill="DDEEFF" w:val="clear"/>
            <w:tcMar>
              <w:top w:type="dxa" w:w="120"/>
              <w:left w:type="dxa" w:w="120"/>
              <w:bottom w:type="dxa" w:w="120"/>
              <w:right w:type="dxa" w:w="120"/>
            </w:tcMar>
            <w:vAlign w:val="center"/>
          </w:tcPr>
          <w:p>
            <w:pPr>
              <w:jc w:val="center"/>
            </w:pPr>
            <w:r>
              <w:rPr>
                <w:rFonts w:ascii="Arial" w:cs="Arial" w:eastAsia="Arial" w:hAnsi="Arial"/>
                <w:b/>
                <w:bCs/>
                <w:color w:val="1F4E79"/>
                <w:sz w:val="20"/>
                <w:szCs w:val="20"/>
              </w:rPr>
              <w:t xml:space="preserve">Integration
Engine</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1F4E79" w:sz="1"/>
              <w:left w:val="single" w:color="1F4E79" w:sz="1"/>
              <w:bottom w:val="single" w:color="1F4E79" w:sz="1"/>
              <w:right w:val="single" w:color="1F4E79" w:sz="1"/>
            </w:tcBorders>
            <w:shd w:fill="DDEEFF" w:val="clear"/>
            <w:tcMar>
              <w:top w:type="dxa" w:w="120"/>
              <w:left w:type="dxa" w:w="120"/>
              <w:bottom w:type="dxa" w:w="120"/>
              <w:right w:type="dxa" w:w="120"/>
            </w:tcMar>
            <w:vAlign w:val="center"/>
          </w:tcPr>
          <w:p>
            <w:pPr>
              <w:jc w:val="center"/>
            </w:pPr>
            <w:r>
              <w:rPr>
                <w:rFonts w:ascii="Arial" w:cs="Arial" w:eastAsia="Arial" w:hAnsi="Arial"/>
                <w:b/>
                <w:bCs/>
                <w:color w:val="1F4E79"/>
                <w:sz w:val="20"/>
                <w:szCs w:val="20"/>
              </w:rPr>
              <w:t xml:space="preserve">Downstream
Systems</w:t>
            </w:r>
          </w:p>
        </w:tc>
      </w:tr>
    </w:tbl>
    <w:p>
      <w:pPr>
        <w:spacing w:after="0" w:before="100"/>
      </w:pPr>
      <w:r>
        <w:t xml:space="preserve"/>
      </w:r>
    </w:p>
    <w:p>
      <w:pPr>
        <w:spacing w:after="60" w:before="60"/>
      </w:pPr>
      <w:r>
        <w:rPr>
          <w:rFonts w:ascii="Arial" w:cs="Arial" w:eastAsia="Arial" w:hAnsi="Arial"/>
          <w:i w:val="false"/>
          <w:iCs w:val="false"/>
          <w:sz w:val="20"/>
          <w:szCs w:val="20"/>
        </w:rPr>
        <w:t xml:space="preserve">The moment the patient registers in the Emergency Department, an ADT A01 (Admit) message fires from the EHR to downstream systems. Every subsequent discrete clinical event — lab result, medication dispense, radiology order — is captured as a specific v2 message type. The integration engine validates, routes, and ACK/NACKs each message.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Clinical Event</w:t>
            </w:r>
          </w:p>
        </w:tc>
        <w:tc>
          <w:tcPr>
            <w:tcW w:type="dxa" w:w="20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v2 Message</w:t>
            </w:r>
          </w:p>
        </w:tc>
        <w:tc>
          <w:tcPr>
            <w:tcW w:type="dxa" w:w="268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Segments</w:t>
            </w:r>
          </w:p>
        </w:tc>
        <w:tc>
          <w:tcPr>
            <w:tcW w:type="dxa" w:w="268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Recipient Systems</w:t>
            </w:r>
          </w:p>
        </w:tc>
      </w:tr>
      <w:tr>
        <w:tc>
          <w:tcPr>
            <w:tcW w:type="dxa" w:w="20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registers / ED arrival</w:t>
            </w:r>
          </w:p>
        </w:tc>
        <w:tc>
          <w:tcPr>
            <w:tcW w:type="dxa" w:w="20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w:t>
            </w:r>
          </w:p>
        </w:tc>
        <w:tc>
          <w:tcPr>
            <w:tcW w:type="dxa" w:w="268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EVN, PID, PV1</w:t>
            </w:r>
          </w:p>
        </w:tc>
        <w:tc>
          <w:tcPr>
            <w:tcW w:type="dxa" w:w="268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EHR, Lab, Pharmacy, Billing, Care Mgmt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Lab ordered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ORM O01</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PID, ORC, OBR</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Lab Information System (LIS)</w:t>
            </w:r>
          </w:p>
        </w:tc>
      </w:tr>
      <w:tr>
        <w:tc>
          <w:tcPr>
            <w:tcW w:type="dxa" w:w="20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Lab resulted</w:t>
            </w:r>
          </w:p>
        </w:tc>
        <w:tc>
          <w:tcPr>
            <w:tcW w:type="dxa" w:w="20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ORU R01</w:t>
            </w:r>
          </w:p>
        </w:tc>
        <w:tc>
          <w:tcPr>
            <w:tcW w:type="dxa" w:w="268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PID, OBR, OBX</w:t>
            </w:r>
          </w:p>
        </w:tc>
        <w:tc>
          <w:tcPr>
            <w:tcW w:type="dxa" w:w="268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EHR, Ordering Provider, Care Mgmt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 dispensed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RDE O11</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PID, ORC, RXE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Pharmacy, EHR, PDMP</w:t>
            </w:r>
          </w:p>
        </w:tc>
      </w:tr>
      <w:tr>
        <w:tc>
          <w:tcPr>
            <w:tcW w:type="dxa" w:w="20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admitted to inpatient</w:t>
            </w:r>
          </w:p>
        </w:tc>
        <w:tc>
          <w:tcPr>
            <w:tcW w:type="dxa" w:w="20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 / A06</w:t>
            </w:r>
          </w:p>
        </w:tc>
        <w:tc>
          <w:tcPr>
            <w:tcW w:type="dxa" w:w="268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EVN, PID, PV1</w:t>
            </w:r>
          </w:p>
        </w:tc>
        <w:tc>
          <w:tcPr>
            <w:tcW w:type="dxa" w:w="268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All downstream subscribers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discharged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A03</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MSH, EVN, PID, PV1</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Triggers C-CDA assembly workflow</w:t>
            </w:r>
          </w:p>
        </w:tc>
      </w:tr>
    </w:tbl>
    <w:p>
      <w:pPr>
        <w:spacing w:after="0" w:before="160"/>
      </w:pPr>
      <w:r>
        <w:t xml:space="preserve"/>
      </w:r>
    </w:p>
    <w:p>
      <w:pPr>
        <w:pStyle w:val="Heading2"/>
        <w:spacing w:after="100" w:before="240"/>
      </w:pPr>
      <w:r>
        <w:rPr>
          <w:rFonts w:ascii="Arial" w:cs="Arial" w:eastAsia="Arial" w:hAnsi="Arial"/>
          <w:b/>
          <w:bCs/>
          <w:color w:val="1F4E79"/>
          <w:sz w:val="26"/>
          <w:szCs w:val="26"/>
        </w:rPr>
        <w:t xml:space="preserve">Step 2 — Hand-off #1: v2 → FHIR Transformation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10"/>
        <w:gridCol w:w="200"/>
        <w:gridCol w:w="2010"/>
        <w:gridCol w:w="200"/>
        <w:gridCol w:w="2010"/>
        <w:gridCol w:w="200"/>
        <w:gridCol w:w="2010"/>
      </w:tblGrid>
      <w:tr>
        <w:tc>
          <w:tcPr>
            <w:tcW w:type="dxa" w:w="2010"/>
            <w:tcBorders>
              <w:top w:val="single" w:color="1F4E79" w:sz="1"/>
              <w:left w:val="single" w:color="1F4E79" w:sz="1"/>
              <w:bottom w:val="single" w:color="1F4E79" w:sz="1"/>
              <w:right w:val="single" w:color="1F4E79" w:sz="1"/>
            </w:tcBorders>
            <w:shd w:fill="DDEEFF" w:val="clear"/>
            <w:tcMar>
              <w:top w:type="dxa" w:w="120"/>
              <w:left w:type="dxa" w:w="120"/>
              <w:bottom w:type="dxa" w:w="120"/>
              <w:right w:type="dxa" w:w="120"/>
            </w:tcMar>
            <w:vAlign w:val="center"/>
          </w:tcPr>
          <w:p>
            <w:pPr>
              <w:jc w:val="center"/>
            </w:pPr>
            <w:r>
              <w:rPr>
                <w:rFonts w:ascii="Arial" w:cs="Arial" w:eastAsia="Arial" w:hAnsi="Arial"/>
                <w:b/>
                <w:bCs/>
                <w:color w:val="1F4E79"/>
                <w:sz w:val="20"/>
                <w:szCs w:val="20"/>
              </w:rPr>
              <w:t xml:space="preserve">HL7 v2
Message Stream</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2E75B6" w:sz="1"/>
              <w:left w:val="single" w:color="2E75B6" w:sz="1"/>
              <w:bottom w:val="single" w:color="2E75B6" w:sz="1"/>
              <w:right w:val="single" w:color="2E75B6" w:sz="1"/>
            </w:tcBorders>
            <w:shd w:fill="EAF4FF" w:val="clear"/>
            <w:tcMar>
              <w:top w:type="dxa" w:w="120"/>
              <w:left w:type="dxa" w:w="120"/>
              <w:bottom w:type="dxa" w:w="120"/>
              <w:right w:type="dxa" w:w="120"/>
            </w:tcMar>
            <w:vAlign w:val="center"/>
          </w:tcPr>
          <w:p>
            <w:pPr>
              <w:jc w:val="center"/>
            </w:pPr>
            <w:r>
              <w:rPr>
                <w:rFonts w:ascii="Arial" w:cs="Arial" w:eastAsia="Arial" w:hAnsi="Arial"/>
                <w:b/>
                <w:bCs/>
                <w:color w:val="2E75B6"/>
                <w:sz w:val="20"/>
                <w:szCs w:val="20"/>
              </w:rPr>
              <w:t xml:space="preserve">Transformation
Service</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7B3F00" w:sz="1"/>
              <w:left w:val="single" w:color="7B3F00" w:sz="1"/>
              <w:bottom w:val="single" w:color="7B3F00" w:sz="1"/>
              <w:right w:val="single" w:color="7B3F00" w:sz="1"/>
            </w:tcBorders>
            <w:shd w:fill="FFE5CC"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FHIR
Server</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7B3F00" w:sz="1"/>
              <w:left w:val="single" w:color="7B3F00" w:sz="1"/>
              <w:bottom w:val="single" w:color="7B3F00" w:sz="1"/>
              <w:right w:val="single" w:color="7B3F00" w:sz="1"/>
            </w:tcBorders>
            <w:shd w:fill="FFE5CC"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Queryable
Resources</w:t>
            </w:r>
          </w:p>
        </w:tc>
      </w:tr>
    </w:tbl>
    <w:p>
      <w:pPr>
        <w:spacing w:after="0" w:before="100"/>
      </w:pPr>
      <w:r>
        <w:t xml:space="preserve"/>
      </w:r>
    </w:p>
    <w:p>
      <w:pPr>
        <w:spacing w:after="60" w:before="60"/>
      </w:pPr>
      <w:r>
        <w:rPr>
          <w:rFonts w:ascii="Arial" w:cs="Arial" w:eastAsia="Arial" w:hAnsi="Arial"/>
          <w:i w:val="false"/>
          <w:iCs w:val="false"/>
          <w:sz w:val="20"/>
          <w:szCs w:val="20"/>
        </w:rPr>
        <w:t xml:space="preserve">The integration engine — or a dedicated transformation service (Azure Health Data Services, Google Cloud Healthcare API, HAPI FHIR, Rhapsody) — maps each inbound v2 message to corresponding FHIR R4 resources and writes them to the FHIR server. Discrete, queryable clinical data accumulates in a standards-normalized form.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gridSpan w:val="1"/>
            <w:tcBorders>
              <w:top w:val="single" w:color="2E75B6" w:sz="1"/>
              <w:left w:val="single" w:color="2E75B6" w:sz="1"/>
              <w:bottom w:val="single" w:color="2E75B6" w:sz="1"/>
              <w:right w:val="single" w:color="2E75B6"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v2 Message / Segment</w:t>
            </w:r>
          </w:p>
        </w:tc>
        <w:tc>
          <w:tcPr>
            <w:tcW w:type="dxa" w:w="2200"/>
            <w:gridSpan w:val="1"/>
            <w:tcBorders>
              <w:top w:val="single" w:color="2E75B6" w:sz="1"/>
              <w:left w:val="single" w:color="2E75B6" w:sz="1"/>
              <w:bottom w:val="single" w:color="2E75B6" w:sz="1"/>
              <w:right w:val="single" w:color="2E75B6"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FHIR Resource</w:t>
            </w:r>
          </w:p>
        </w:tc>
        <w:tc>
          <w:tcPr>
            <w:tcW w:type="dxa" w:w="2480"/>
            <w:gridSpan w:val="1"/>
            <w:tcBorders>
              <w:top w:val="single" w:color="2E75B6" w:sz="1"/>
              <w:left w:val="single" w:color="2E75B6" w:sz="1"/>
              <w:bottom w:val="single" w:color="2E75B6" w:sz="1"/>
              <w:right w:val="single" w:color="2E75B6"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Terminology Binding</w:t>
            </w:r>
          </w:p>
        </w:tc>
        <w:tc>
          <w:tcPr>
            <w:tcW w:type="dxa" w:w="2480"/>
            <w:gridSpan w:val="1"/>
            <w:tcBorders>
              <w:top w:val="single" w:color="2E75B6" w:sz="1"/>
              <w:left w:val="single" w:color="2E75B6" w:sz="1"/>
              <w:bottom w:val="single" w:color="2E75B6" w:sz="1"/>
              <w:right w:val="single" w:color="2E75B6"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Compliance Requirement</w:t>
            </w:r>
          </w:p>
        </w:tc>
      </w:tr>
      <w:tr>
        <w:tc>
          <w:tcPr>
            <w:tcW w:type="dxa" w:w="22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 / PID</w:t>
            </w:r>
          </w:p>
        </w:tc>
        <w:tc>
          <w:tcPr>
            <w:tcW w:type="dxa" w:w="22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Patient + Encounter</w:t>
            </w:r>
          </w:p>
        </w:tc>
        <w:tc>
          <w:tcPr>
            <w:tcW w:type="dxa" w:w="248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MRN → FHIR Identifier; gender → AdministrativeGender</w:t>
            </w:r>
          </w:p>
        </w:tc>
        <w:tc>
          <w:tcPr>
            <w:tcW w:type="dxa" w:w="248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USCDI Patient demographic fields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 / PV1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Encounter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Visit class, admit date, attending provider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 Core Encounter Profile</w:t>
            </w:r>
          </w:p>
        </w:tc>
      </w:tr>
      <w:tr>
        <w:tc>
          <w:tcPr>
            <w:tcW w:type="dxa" w:w="22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ORU R01 / OBX</w:t>
            </w:r>
          </w:p>
        </w:tc>
        <w:tc>
          <w:tcPr>
            <w:tcW w:type="dxa" w:w="22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Observation</w:t>
            </w:r>
          </w:p>
        </w:tc>
        <w:tc>
          <w:tcPr>
            <w:tcW w:type="dxa" w:w="248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LOINC code in OBX-3</w:t>
            </w:r>
          </w:p>
        </w:tc>
        <w:tc>
          <w:tcPr>
            <w:tcW w:type="dxa" w:w="248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 Core Laboratory Result Profile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ORM O01 / OBR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ServiceRequest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LOINC order code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 Core ServiceRequest</w:t>
            </w:r>
          </w:p>
        </w:tc>
      </w:tr>
      <w:tr>
        <w:tc>
          <w:tcPr>
            <w:tcW w:type="dxa" w:w="22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RDE O11 / RXE</w:t>
            </w:r>
          </w:p>
        </w:tc>
        <w:tc>
          <w:tcPr>
            <w:tcW w:type="dxa" w:w="22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MedicationRequest</w:t>
            </w:r>
          </w:p>
        </w:tc>
        <w:tc>
          <w:tcPr>
            <w:tcW w:type="dxa" w:w="248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RxNorm drug code</w:t>
            </w:r>
          </w:p>
        </w:tc>
        <w:tc>
          <w:tcPr>
            <w:tcW w:type="dxa" w:w="248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 Core MedicationRequest Profile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A01 / DG1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Condition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ICD-10-CM → SNOMED CT preferred</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 Core Condition Profile</w:t>
            </w:r>
          </w:p>
        </w:tc>
      </w:tr>
    </w:tbl>
    <w:p>
      <w:pPr>
        <w:spacing w:after="0" w:before="80"/>
      </w:pPr>
      <w:r>
        <w:t xml:space="preserve"/>
      </w:r>
    </w:p>
    <w:p>
      <w:pPr>
        <w:spacing w:after="60" w:before="60"/>
      </w:pPr>
      <w:r>
        <w:rPr>
          <w:rFonts w:ascii="Arial" w:cs="Arial" w:eastAsia="Arial" w:hAnsi="Arial"/>
          <w:i w:val="false"/>
          <w:iCs w:val="false"/>
          <w:sz w:val="20"/>
          <w:szCs w:val="20"/>
        </w:rPr>
        <w:t xml:space="preserve">Access control at this layer is enforced via SMART on FHIR (OAuth 2.0 scopes) and role-based access controls on the FHIR server. Every write operation is logged with a Provenance resource carrying the source message identifier, transformation timestamp, and responsible organization.</w:t>
      </w:r>
    </w:p>
    <w:p>
      <w:pPr>
        <w:spacing w:after="0" w:before="160"/>
      </w:pPr>
      <w:r>
        <w:t xml:space="preserve"/>
      </w:r>
    </w:p>
    <w:p>
      <w:pPr>
        <w:pStyle w:val="Heading2"/>
        <w:spacing w:after="100" w:before="240"/>
      </w:pPr>
      <w:r>
        <w:rPr>
          <w:rFonts w:ascii="Arial" w:cs="Arial" w:eastAsia="Arial" w:hAnsi="Arial"/>
          <w:b/>
          <w:bCs/>
          <w:color w:val="1F4E79"/>
          <w:sz w:val="26"/>
          <w:szCs w:val="26"/>
        </w:rPr>
        <w:t xml:space="preserve">Step 3 — Care Transition Document (C-CDA Assembly)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68"/>
        <w:gridCol w:w="200"/>
        <w:gridCol w:w="1568"/>
        <w:gridCol w:w="200"/>
        <w:gridCol w:w="1568"/>
        <w:gridCol w:w="200"/>
        <w:gridCol w:w="1568"/>
        <w:gridCol w:w="200"/>
        <w:gridCol w:w="1568"/>
      </w:tblGrid>
      <w:tr>
        <w:tc>
          <w:tcPr>
            <w:tcW w:type="dxa" w:w="1568"/>
            <w:tcBorders>
              <w:top w:val="single" w:color="1F4E79" w:sz="1"/>
              <w:left w:val="single" w:color="1F4E79" w:sz="1"/>
              <w:bottom w:val="single" w:color="1F4E79" w:sz="1"/>
              <w:right w:val="single" w:color="1F4E79" w:sz="1"/>
            </w:tcBorders>
            <w:shd w:fill="DDEEFF" w:val="clear"/>
            <w:tcMar>
              <w:top w:type="dxa" w:w="120"/>
              <w:left w:type="dxa" w:w="120"/>
              <w:bottom w:type="dxa" w:w="120"/>
              <w:right w:type="dxa" w:w="120"/>
            </w:tcMar>
            <w:vAlign w:val="center"/>
          </w:tcPr>
          <w:p>
            <w:pPr>
              <w:jc w:val="center"/>
            </w:pPr>
            <w:r>
              <w:rPr>
                <w:rFonts w:ascii="Arial" w:cs="Arial" w:eastAsia="Arial" w:hAnsi="Arial"/>
                <w:b/>
                <w:bCs/>
                <w:color w:val="1F4E79"/>
                <w:sz w:val="20"/>
                <w:szCs w:val="20"/>
              </w:rPr>
              <w:t xml:space="preserve">ADT A03
(Discharge Event)</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1568"/>
            <w:tcBorders>
              <w:top w:val="single" w:color="2E75B6" w:sz="1"/>
              <w:left w:val="single" w:color="2E75B6" w:sz="1"/>
              <w:bottom w:val="single" w:color="2E75B6" w:sz="1"/>
              <w:right w:val="single" w:color="2E75B6" w:sz="1"/>
            </w:tcBorders>
            <w:shd w:fill="EAF4FF" w:val="clear"/>
            <w:tcMar>
              <w:top w:type="dxa" w:w="120"/>
              <w:left w:type="dxa" w:w="120"/>
              <w:bottom w:type="dxa" w:w="120"/>
              <w:right w:type="dxa" w:w="120"/>
            </w:tcMar>
            <w:vAlign w:val="center"/>
          </w:tcPr>
          <w:p>
            <w:pPr>
              <w:jc w:val="center"/>
            </w:pPr>
            <w:r>
              <w:rPr>
                <w:rFonts w:ascii="Arial" w:cs="Arial" w:eastAsia="Arial" w:hAnsi="Arial"/>
                <w:b/>
                <w:bCs/>
                <w:color w:val="2E75B6"/>
                <w:sz w:val="20"/>
                <w:szCs w:val="20"/>
              </w:rPr>
              <w:t xml:space="preserve">EHR / FHIR Store
(Source Data)</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1568"/>
            <w:tcBorders>
              <w:top w:val="single" w:color="1A6B5A" w:sz="1"/>
              <w:left w:val="single" w:color="1A6B5A" w:sz="1"/>
              <w:bottom w:val="single" w:color="1A6B5A" w:sz="1"/>
              <w:right w:val="single" w:color="1A6B5A" w:sz="1"/>
            </w:tcBorders>
            <w:shd w:fill="DDEEDD" w:val="clear"/>
            <w:tcMar>
              <w:top w:type="dxa" w:w="120"/>
              <w:left w:type="dxa" w:w="120"/>
              <w:bottom w:type="dxa" w:w="120"/>
              <w:right w:type="dxa" w:w="120"/>
            </w:tcMar>
            <w:vAlign w:val="center"/>
          </w:tcPr>
          <w:p>
            <w:pPr>
              <w:jc w:val="center"/>
            </w:pPr>
            <w:r>
              <w:rPr>
                <w:rFonts w:ascii="Arial" w:cs="Arial" w:eastAsia="Arial" w:hAnsi="Arial"/>
                <w:b/>
                <w:bCs/>
                <w:color w:val="1A6B5A"/>
                <w:sz w:val="20"/>
                <w:szCs w:val="20"/>
              </w:rPr>
              <w:t xml:space="preserve">C-CDA
Assembly Engine</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1568"/>
            <w:tcBorders>
              <w:top w:val="single" w:color="1A6B5A" w:sz="1"/>
              <w:left w:val="single" w:color="1A6B5A" w:sz="1"/>
              <w:bottom w:val="single" w:color="1A6B5A" w:sz="1"/>
              <w:right w:val="single" w:color="1A6B5A" w:sz="1"/>
            </w:tcBorders>
            <w:shd w:fill="DDEEDD" w:val="clear"/>
            <w:tcMar>
              <w:top w:type="dxa" w:w="120"/>
              <w:left w:type="dxa" w:w="120"/>
              <w:bottom w:type="dxa" w:w="120"/>
              <w:right w:type="dxa" w:w="120"/>
            </w:tcMar>
            <w:vAlign w:val="center"/>
          </w:tcPr>
          <w:p>
            <w:pPr>
              <w:jc w:val="center"/>
            </w:pPr>
            <w:r>
              <w:rPr>
                <w:rFonts w:ascii="Arial" w:cs="Arial" w:eastAsia="Arial" w:hAnsi="Arial"/>
                <w:b/>
                <w:bCs/>
                <w:color w:val="1A6B5A"/>
                <w:sz w:val="20"/>
                <w:szCs w:val="20"/>
              </w:rPr>
              <w:t xml:space="preserve">Direct Messaging
/ XDS.b / FHIR</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1568"/>
            <w:tcBorders>
              <w:top w:val="single" w:color="1A6B5A" w:sz="1"/>
              <w:left w:val="single" w:color="1A6B5A" w:sz="1"/>
              <w:bottom w:val="single" w:color="1A6B5A" w:sz="1"/>
              <w:right w:val="single" w:color="1A6B5A" w:sz="1"/>
            </w:tcBorders>
            <w:shd w:fill="DDEEDD" w:val="clear"/>
            <w:tcMar>
              <w:top w:type="dxa" w:w="120"/>
              <w:left w:type="dxa" w:w="120"/>
              <w:bottom w:type="dxa" w:w="120"/>
              <w:right w:type="dxa" w:w="120"/>
            </w:tcMar>
            <w:vAlign w:val="center"/>
          </w:tcPr>
          <w:p>
            <w:pPr>
              <w:jc w:val="center"/>
            </w:pPr>
            <w:r>
              <w:rPr>
                <w:rFonts w:ascii="Arial" w:cs="Arial" w:eastAsia="Arial" w:hAnsi="Arial"/>
                <w:b/>
                <w:bCs/>
                <w:color w:val="1A6B5A"/>
                <w:sz w:val="20"/>
                <w:szCs w:val="20"/>
              </w:rPr>
              <w:t xml:space="preserve">Receiving
SNF / Provider</w:t>
            </w:r>
          </w:p>
        </w:tc>
      </w:tr>
    </w:tbl>
    <w:p>
      <w:pPr>
        <w:spacing w:after="0" w:before="100"/>
      </w:pPr>
      <w:r>
        <w:t xml:space="preserve"/>
      </w:r>
    </w:p>
    <w:p>
      <w:pPr>
        <w:spacing w:after="60" w:before="60"/>
      </w:pPr>
      <w:r>
        <w:rPr>
          <w:rFonts w:ascii="Arial" w:cs="Arial" w:eastAsia="Arial" w:hAnsi="Arial"/>
          <w:i w:val="false"/>
          <w:iCs w:val="false"/>
          <w:sz w:val="20"/>
          <w:szCs w:val="20"/>
        </w:rPr>
        <w:t xml:space="preserve">On ADT A03 (discharge), the EHR or a document assembly service compiles a C-CDA Discharge Summary or Continuity of Care Document (CCD) from the patient's accumulated clinical data. This XML document captures the complete episode snapshot and is transmitted to the receiving facility.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gridSpan w:val="1"/>
            <w:tcBorders>
              <w:top w:val="single" w:color="2E75B6" w:sz="1"/>
              <w:left w:val="single" w:color="2E75B6" w:sz="1"/>
              <w:bottom w:val="single" w:color="2E75B6" w:sz="1"/>
              <w:right w:val="single" w:color="2E75B6" w:sz="1"/>
            </w:tcBorders>
            <w:shd w:fill="1A6B5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C-CDA Section</w:t>
            </w:r>
          </w:p>
        </w:tc>
        <w:tc>
          <w:tcPr>
            <w:tcW w:type="dxa" w:w="2200"/>
            <w:gridSpan w:val="1"/>
            <w:tcBorders>
              <w:top w:val="single" w:color="2E75B6" w:sz="1"/>
              <w:left w:val="single" w:color="2E75B6" w:sz="1"/>
              <w:bottom w:val="single" w:color="2E75B6" w:sz="1"/>
              <w:right w:val="single" w:color="2E75B6" w:sz="1"/>
            </w:tcBorders>
            <w:shd w:fill="1A6B5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Source Data</w:t>
            </w:r>
          </w:p>
        </w:tc>
        <w:tc>
          <w:tcPr>
            <w:tcW w:type="dxa" w:w="2560"/>
            <w:gridSpan w:val="1"/>
            <w:tcBorders>
              <w:top w:val="single" w:color="2E75B6" w:sz="1"/>
              <w:left w:val="single" w:color="2E75B6" w:sz="1"/>
              <w:bottom w:val="single" w:color="2E75B6" w:sz="1"/>
              <w:right w:val="single" w:color="2E75B6" w:sz="1"/>
            </w:tcBorders>
            <w:shd w:fill="1A6B5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Terminology</w:t>
            </w:r>
          </w:p>
        </w:tc>
        <w:tc>
          <w:tcPr>
            <w:tcW w:type="dxa" w:w="2600"/>
            <w:gridSpan w:val="1"/>
            <w:tcBorders>
              <w:top w:val="single" w:color="2E75B6" w:sz="1"/>
              <w:left w:val="single" w:color="2E75B6" w:sz="1"/>
              <w:bottom w:val="single" w:color="2E75B6" w:sz="1"/>
              <w:right w:val="single" w:color="2E75B6" w:sz="1"/>
            </w:tcBorders>
            <w:shd w:fill="1A6B5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Compliance Rule</w:t>
            </w:r>
          </w:p>
        </w:tc>
      </w:tr>
      <w:tr>
        <w:tc>
          <w:tcPr>
            <w:tcW w:type="dxa" w:w="20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Problem List</w:t>
            </w:r>
          </w:p>
        </w:tc>
        <w:tc>
          <w:tcPr>
            <w:tcW w:type="dxa" w:w="22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Condition resources / EHR problem list</w:t>
            </w:r>
          </w:p>
        </w:tc>
        <w:tc>
          <w:tcPr>
            <w:tcW w:type="dxa" w:w="256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SNOMED CT (preferred), ICD-10-CM</w:t>
            </w:r>
          </w:p>
        </w:tc>
        <w:tc>
          <w:tcPr>
            <w:tcW w:type="dxa" w:w="26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CMS ToC mandatory section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MedicationRequest / pharmacy data</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RxNorm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CMS ToC mandatory section</w:t>
            </w:r>
          </w:p>
        </w:tc>
      </w:tr>
      <w:tr>
        <w:tc>
          <w:tcPr>
            <w:tcW w:type="dxa" w:w="20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Allergies</w:t>
            </w:r>
          </w:p>
        </w:tc>
        <w:tc>
          <w:tcPr>
            <w:tcW w:type="dxa" w:w="22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AllergyIntolerance</w:t>
            </w:r>
          </w:p>
        </w:tc>
        <w:tc>
          <w:tcPr>
            <w:tcW w:type="dxa" w:w="256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SNOMED CT, NDF-RT</w:t>
            </w:r>
          </w:p>
        </w:tc>
        <w:tc>
          <w:tcPr>
            <w:tcW w:type="dxa" w:w="26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CMS ToC mandatory section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Results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Observation (labs, vitals)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LOINC codes for test names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USCDI data elements</w:t>
            </w:r>
          </w:p>
        </w:tc>
      </w:tr>
      <w:tr>
        <w:tc>
          <w:tcPr>
            <w:tcW w:type="dxa" w:w="20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Procedures</w:t>
            </w:r>
          </w:p>
        </w:tc>
        <w:tc>
          <w:tcPr>
            <w:tcW w:type="dxa" w:w="22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Procedure</w:t>
            </w:r>
          </w:p>
        </w:tc>
        <w:tc>
          <w:tcPr>
            <w:tcW w:type="dxa" w:w="256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SNOMED CT, CPT, ICD-10-PCS</w:t>
            </w:r>
          </w:p>
        </w:tc>
        <w:tc>
          <w:tcPr>
            <w:tcW w:type="dxa" w:w="26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C-CDA R2.1 conformance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Vital Signs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Observation (vital-signs profile)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LOINC</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 Core Vital Signs Profile</w:t>
            </w:r>
          </w:p>
        </w:tc>
      </w:tr>
      <w:tr>
        <w:tc>
          <w:tcPr>
            <w:tcW w:type="dxa" w:w="20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Discharge Instructions</w:t>
            </w:r>
          </w:p>
        </w:tc>
        <w:tc>
          <w:tcPr>
            <w:tcW w:type="dxa" w:w="22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Unstructured narrative + coded entries</w:t>
            </w:r>
          </w:p>
        </w:tc>
        <w:tc>
          <w:tcPr>
            <w:tcW w:type="dxa" w:w="256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Free text + LOINC where applicable</w:t>
            </w:r>
          </w:p>
        </w:tc>
        <w:tc>
          <w:tcPr>
            <w:tcW w:type="dxa" w:w="26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CMS Interoperability Rule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Immunizations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Immunization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CVX codes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USCDI Immunization</w:t>
            </w:r>
          </w:p>
        </w:tc>
      </w:tr>
    </w:tbl>
    <w:p>
      <w:pPr>
        <w:spacing w:after="0" w:before="80"/>
      </w:pPr>
      <w:r>
        <w:t xml:space="preserve"/>
      </w:r>
    </w:p>
    <w:p>
      <w:pPr>
        <w:spacing w:after="60" w:before="60"/>
      </w:pPr>
      <w:r>
        <w:rPr>
          <w:rFonts w:ascii="Arial" w:cs="Arial" w:eastAsia="Arial" w:hAnsi="Arial"/>
          <w:i w:val="false"/>
          <w:iCs w:val="false"/>
          <w:sz w:val="20"/>
          <w:szCs w:val="20"/>
        </w:rPr>
        <w:t xml:space="preserve">The assembled C-CDA is validated against HL7 Schematron rules before transmission. Transport uses Direct Messaging (HISP-to-HISP with X.509 certificate trust), XDS.b repository/registry query, or increasingly a FHIR DocumentReference resource wrapping the C-CDA XML as a base64-encoded attachment.</w:t>
      </w:r>
    </w:p>
    <w:p>
      <w:r>
        <w:br w:type="page"/>
      </w:r>
    </w:p>
    <w:p>
      <w:pPr>
        <w:pStyle w:val="Heading2"/>
        <w:spacing w:after="100" w:before="240"/>
      </w:pPr>
      <w:r>
        <w:rPr>
          <w:rFonts w:ascii="Arial" w:cs="Arial" w:eastAsia="Arial" w:hAnsi="Arial"/>
          <w:b/>
          <w:bCs/>
          <w:color w:val="1F4E79"/>
          <w:sz w:val="26"/>
          <w:szCs w:val="26"/>
        </w:rPr>
        <w:t xml:space="preserve">Step 4 — Hand-off #2: C-CDA → FHIR Ingestion at Receiving Facility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10"/>
        <w:gridCol w:w="200"/>
        <w:gridCol w:w="2010"/>
        <w:gridCol w:w="200"/>
        <w:gridCol w:w="2010"/>
        <w:gridCol w:w="200"/>
        <w:gridCol w:w="2010"/>
      </w:tblGrid>
      <w:tr>
        <w:tc>
          <w:tcPr>
            <w:tcW w:type="dxa" w:w="2010"/>
            <w:tcBorders>
              <w:top w:val="single" w:color="1A6B5A" w:sz="1"/>
              <w:left w:val="single" w:color="1A6B5A" w:sz="1"/>
              <w:bottom w:val="single" w:color="1A6B5A" w:sz="1"/>
              <w:right w:val="single" w:color="1A6B5A" w:sz="1"/>
            </w:tcBorders>
            <w:shd w:fill="DDEEDD" w:val="clear"/>
            <w:tcMar>
              <w:top w:type="dxa" w:w="120"/>
              <w:left w:type="dxa" w:w="120"/>
              <w:bottom w:type="dxa" w:w="120"/>
              <w:right w:type="dxa" w:w="120"/>
            </w:tcMar>
            <w:vAlign w:val="center"/>
          </w:tcPr>
          <w:p>
            <w:pPr>
              <w:jc w:val="center"/>
            </w:pPr>
            <w:r>
              <w:rPr>
                <w:rFonts w:ascii="Arial" w:cs="Arial" w:eastAsia="Arial" w:hAnsi="Arial"/>
                <w:b/>
                <w:bCs/>
                <w:color w:val="1A6B5A"/>
                <w:sz w:val="20"/>
                <w:szCs w:val="20"/>
              </w:rPr>
              <w:t xml:space="preserve">C-CDA
Document Received</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2E75B6" w:sz="1"/>
              <w:left w:val="single" w:color="2E75B6" w:sz="1"/>
              <w:bottom w:val="single" w:color="2E75B6" w:sz="1"/>
              <w:right w:val="single" w:color="2E75B6" w:sz="1"/>
            </w:tcBorders>
            <w:shd w:fill="EAF4FF" w:val="clear"/>
            <w:tcMar>
              <w:top w:type="dxa" w:w="120"/>
              <w:left w:type="dxa" w:w="120"/>
              <w:bottom w:type="dxa" w:w="120"/>
              <w:right w:type="dxa" w:w="120"/>
            </w:tcMar>
            <w:vAlign w:val="center"/>
          </w:tcPr>
          <w:p>
            <w:pPr>
              <w:jc w:val="center"/>
            </w:pPr>
            <w:r>
              <w:rPr>
                <w:rFonts w:ascii="Arial" w:cs="Arial" w:eastAsia="Arial" w:hAnsi="Arial"/>
                <w:b/>
                <w:bCs/>
                <w:color w:val="2E75B6"/>
                <w:sz w:val="20"/>
                <w:szCs w:val="20"/>
              </w:rPr>
              <w:t xml:space="preserve">C-CDA Parser
/ Converter</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7B3F00" w:sz="1"/>
              <w:left w:val="single" w:color="7B3F00" w:sz="1"/>
              <w:bottom w:val="single" w:color="7B3F00" w:sz="1"/>
              <w:right w:val="single" w:color="7B3F00" w:sz="1"/>
            </w:tcBorders>
            <w:shd w:fill="FFE5CC"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FHIR
Transaction Bundle</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7B3F00" w:sz="1"/>
              <w:left w:val="single" w:color="7B3F00" w:sz="1"/>
              <w:bottom w:val="single" w:color="7B3F00" w:sz="1"/>
              <w:right w:val="single" w:color="7B3F00" w:sz="1"/>
            </w:tcBorders>
            <w:shd w:fill="FFE5CC"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SNF FHIR
Server</w:t>
            </w:r>
          </w:p>
        </w:tc>
      </w:tr>
    </w:tbl>
    <w:p>
      <w:pPr>
        <w:spacing w:after="0" w:before="100"/>
      </w:pPr>
      <w:r>
        <w:t xml:space="preserve"/>
      </w:r>
    </w:p>
    <w:p>
      <w:pPr>
        <w:spacing w:after="60" w:before="60"/>
      </w:pPr>
      <w:r>
        <w:rPr>
          <w:rFonts w:ascii="Arial" w:cs="Arial" w:eastAsia="Arial" w:hAnsi="Arial"/>
          <w:i w:val="false"/>
          <w:iCs w:val="false"/>
          <w:sz w:val="20"/>
          <w:szCs w:val="20"/>
        </w:rPr>
        <w:t xml:space="preserve">The SNF's integration layer receives the C-CDA and — using a C-CDA-to-FHIR conversion service (following the HL7 community's published mapping guide) — parses each clinical section into discrete FHIR resources. The patient is re-established in the SNF's FHIR server with full continuity of clinical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C-CDA Section</w:t>
            </w:r>
          </w:p>
        </w:tc>
        <w:tc>
          <w:tcPr>
            <w:tcW w:type="dxa" w:w="240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FHIR Resource Created</w:t>
            </w:r>
          </w:p>
        </w:tc>
        <w:tc>
          <w:tcPr>
            <w:tcW w:type="dxa" w:w="240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Provenance Attached?</w:t>
            </w:r>
          </w:p>
        </w:tc>
        <w:tc>
          <w:tcPr>
            <w:tcW w:type="dxa" w:w="216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Identifier Preserved</w:t>
            </w:r>
          </w:p>
        </w:tc>
      </w:tr>
      <w:tr>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Problem List entries</w:t>
            </w:r>
          </w:p>
        </w:tc>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Condition (active)</w:t>
            </w:r>
          </w:p>
        </w:tc>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 — points to source C-CDA DocumentReference</w:t>
            </w:r>
          </w:p>
        </w:tc>
        <w:tc>
          <w:tcPr>
            <w:tcW w:type="dxa" w:w="21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ICD-10/SNOMED code + onset 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 entries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MedicationStatement / MedicationRequest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RxNorm code + dosage</w:t>
            </w:r>
          </w:p>
        </w:tc>
      </w:tr>
      <w:tr>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Allergy entries</w:t>
            </w:r>
          </w:p>
        </w:tc>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AllergyIntolerance</w:t>
            </w:r>
          </w:p>
        </w:tc>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21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SNOMED code + criticality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Lab results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Observation (laboratory)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LOINC code + value + reference range</w:t>
            </w:r>
          </w:p>
        </w:tc>
      </w:tr>
      <w:tr>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Vital signs</w:t>
            </w:r>
          </w:p>
        </w:tc>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Observation (vital-signs)</w:t>
            </w:r>
          </w:p>
        </w:tc>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21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LOINC code + value + units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Procedures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Procedure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SNOMED/CPT code + date</w:t>
            </w:r>
          </w:p>
        </w:tc>
      </w:tr>
      <w:tr>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Entire document</w:t>
            </w:r>
          </w:p>
        </w:tc>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DocumentReference</w:t>
            </w:r>
          </w:p>
        </w:tc>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 — root anchor</w:t>
            </w:r>
          </w:p>
        </w:tc>
        <w:tc>
          <w:tcPr>
            <w:tcW w:type="dxa" w:w="21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ClinicalDocument/id from source</w:t>
            </w:r>
          </w:p>
        </w:tc>
      </w:tr>
    </w:tbl>
    <w:p>
      <w:pPr>
        <w:spacing w:after="0" w:before="80"/>
      </w:pPr>
      <w:r>
        <w:t xml:space="preserve"/>
      </w:r>
    </w:p>
    <w:p>
      <w:pPr>
        <w:spacing w:after="60" w:before="60"/>
      </w:pPr>
      <w:r>
        <w:rPr>
          <w:rFonts w:ascii="Arial" w:cs="Arial" w:eastAsia="Arial" w:hAnsi="Arial"/>
          <w:i w:val="false"/>
          <w:iCs w:val="false"/>
          <w:sz w:val="20"/>
          <w:szCs w:val="20"/>
        </w:rPr>
        <w:t xml:space="preserve">Provenance is non-negotiable at this step. Every FHIR resource created from the C-CDA must carry a Provenance resource referencing the originating document, the conversion service, and the timestamp — maintaining the chain of legal and clinical custody required for audit compliance.</w:t>
      </w:r>
    </w:p>
    <w:p>
      <w:pPr>
        <w:spacing w:after="0" w:before="160"/>
      </w:pPr>
      <w:r>
        <w:t xml:space="preserve"/>
      </w:r>
    </w:p>
    <w:p>
      <w:pPr>
        <w:pStyle w:val="Heading2"/>
        <w:spacing w:after="100" w:before="240"/>
      </w:pPr>
      <w:r>
        <w:rPr>
          <w:rFonts w:ascii="Arial" w:cs="Arial" w:eastAsia="Arial" w:hAnsi="Arial"/>
          <w:b/>
          <w:bCs/>
          <w:color w:val="1F4E79"/>
          <w:sz w:val="26"/>
          <w:szCs w:val="26"/>
        </w:rPr>
        <w:t xml:space="preserve">Step 5 — Analytics, Reporting &amp; Ongoing Operations (FHIR + v2)</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10"/>
        <w:gridCol w:w="200"/>
        <w:gridCol w:w="2010"/>
        <w:gridCol w:w="200"/>
        <w:gridCol w:w="2010"/>
        <w:gridCol w:w="200"/>
        <w:gridCol w:w="2010"/>
      </w:tblGrid>
      <w:tr>
        <w:tc>
          <w:tcPr>
            <w:tcW w:type="dxa" w:w="2010"/>
            <w:tcBorders>
              <w:top w:val="single" w:color="7B3F00" w:sz="1"/>
              <w:left w:val="single" w:color="7B3F00" w:sz="1"/>
              <w:bottom w:val="single" w:color="7B3F00" w:sz="1"/>
              <w:right w:val="single" w:color="7B3F00" w:sz="1"/>
            </w:tcBorders>
            <w:shd w:fill="FFE5CC"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FHIR Store
(Accumulated)</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7B3F00" w:sz="1"/>
              <w:left w:val="single" w:color="7B3F00" w:sz="1"/>
              <w:bottom w:val="single" w:color="7B3F00" w:sz="1"/>
              <w:right w:val="single" w:color="7B3F00" w:sz="1"/>
            </w:tcBorders>
            <w:shd w:fill="FFE5CC"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Bulk Export
($export)</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7B3F00" w:sz="1"/>
              <w:left w:val="single" w:color="7B3F00" w:sz="1"/>
              <w:bottom w:val="single" w:color="7B3F00" w:sz="1"/>
              <w:right w:val="single" w:color="7B3F00" w:sz="1"/>
            </w:tcBorders>
            <w:shd w:fill="FFF3E0"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Analytics
Warehouse / ML</w:t>
            </w:r>
          </w:p>
        </w:tc>
        <w:tc>
          <w:tcPr>
            <w:tcW w:type="dxa" w:w="200"/>
            <w:tcBorders>
              <w:top w:val="single" w:color="FFFFFF" w:sz="1"/>
              <w:left w:val="single" w:color="FFFFFF" w:sz="1"/>
              <w:bottom w:val="single" w:color="FFFFFF" w:sz="1"/>
              <w:right w:val="single" w:color="FFFFFF" w:sz="1"/>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2"/>
                <w:szCs w:val="22"/>
              </w:rPr>
              <w:t xml:space="preserve">→</w:t>
            </w:r>
          </w:p>
        </w:tc>
        <w:tc>
          <w:tcPr>
            <w:tcW w:type="dxa" w:w="2010"/>
            <w:tcBorders>
              <w:top w:val="single" w:color="7B3F00" w:sz="1"/>
              <w:left w:val="single" w:color="7B3F00" w:sz="1"/>
              <w:bottom w:val="single" w:color="7B3F00" w:sz="1"/>
              <w:right w:val="single" w:color="7B3F00" w:sz="1"/>
            </w:tcBorders>
            <w:shd w:fill="FFF3E0" w:val="clear"/>
            <w:tcMar>
              <w:top w:type="dxa" w:w="120"/>
              <w:left w:type="dxa" w:w="120"/>
              <w:bottom w:type="dxa" w:w="120"/>
              <w:right w:type="dxa" w:w="120"/>
            </w:tcMar>
            <w:vAlign w:val="center"/>
          </w:tcPr>
          <w:p>
            <w:pPr>
              <w:jc w:val="center"/>
            </w:pPr>
            <w:r>
              <w:rPr>
                <w:rFonts w:ascii="Arial" w:cs="Arial" w:eastAsia="Arial" w:hAnsi="Arial"/>
                <w:b/>
                <w:bCs/>
                <w:color w:val="7B3F00"/>
                <w:sz w:val="20"/>
                <w:szCs w:val="20"/>
              </w:rPr>
              <w:t xml:space="preserve">Payer APIs /
eCQM Reporting</w:t>
            </w:r>
          </w:p>
        </w:tc>
      </w:tr>
    </w:tbl>
    <w:p>
      <w:pPr>
        <w:spacing w:after="0" w:before="100"/>
      </w:pPr>
      <w:r>
        <w:t xml:space="preserve"/>
      </w:r>
    </w:p>
    <w:p>
      <w:pPr>
        <w:spacing w:after="60" w:before="60"/>
      </w:pPr>
      <w:r>
        <w:rPr>
          <w:rFonts w:ascii="Arial" w:cs="Arial" w:eastAsia="Arial" w:hAnsi="Arial"/>
          <w:i w:val="false"/>
          <w:iCs w:val="false"/>
          <w:sz w:val="20"/>
          <w:szCs w:val="20"/>
        </w:rPr>
        <w:t xml:space="preserve">Once the patient is established in the SNF, the operational cycle restarts with v2 messages (ADT, ORU) feeding the FHIR server in parallel. Simultaneously, the accumulated FHIR store supports multiple downstream analytical and reporting workflows.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Downstream Use Case</w:t>
            </w:r>
          </w:p>
        </w:tc>
        <w:tc>
          <w:tcPr>
            <w:tcW w:type="dxa" w:w="240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FHIR Operation / Standard</w:t>
            </w:r>
          </w:p>
        </w:tc>
        <w:tc>
          <w:tcPr>
            <w:tcW w:type="dxa" w:w="4560"/>
            <w:gridSpan w:val="1"/>
            <w:tcBorders>
              <w:top w:val="single" w:color="2E75B6" w:sz="1"/>
              <w:left w:val="single" w:color="2E75B6" w:sz="1"/>
              <w:bottom w:val="single" w:color="2E75B6" w:sz="1"/>
              <w:right w:val="single" w:color="2E75B6"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ML / Analytics Pipeline</w:t>
            </w:r>
          </w:p>
        </w:tc>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$export (Bulk Data Access IG)</w:t>
            </w:r>
          </w:p>
        </w:tc>
        <w:tc>
          <w:tcPr>
            <w:tcW w:type="dxa" w:w="4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Nightly or triggered bulk export of patient resources to data lake; ML feature engineering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Population Health Dashboard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search + aggregation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High-utilizer identification, readmission risk, gap-in-care reporting</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Payer Patient Access API</w:t>
            </w:r>
          </w:p>
        </w:tc>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R4 REST + SMART on FHIR</w:t>
            </w:r>
          </w:p>
        </w:tc>
        <w:tc>
          <w:tcPr>
            <w:tcW w:type="dxa" w:w="4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CMS mandate: Medicare Advantage plans must expose member data via FHIR Patient Access API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Quality Reporting (eCQMs)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CQL measure logic against FHIR store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Electronic Clinical Quality Measures evaluated against structured FHIR observations and conditions</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CDS Hooks Integration</w:t>
            </w:r>
          </w:p>
        </w:tc>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FHIR-native CDS Hooks</w:t>
            </w:r>
          </w:p>
        </w:tc>
        <w:tc>
          <w:tcPr>
            <w:tcW w:type="dxa" w:w="4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Real-time clinical decision support alerts triggered by FHIR resource creation events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Ongoing v2 Operations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 ORU → FHIR (Step 2 repeats)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New HL7 v2 messages from SNF systems continue feeding FHIR server, extending the longitudinal record</w:t>
            </w:r>
          </w:p>
        </w:tc>
      </w:tr>
    </w:tbl>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4.  The Compliance Spine</w:t>
      </w:r>
    </w:p>
    <w:p>
      <w:pPr>
        <w:spacing w:after="60" w:before="60"/>
      </w:pPr>
      <w:r>
        <w:rPr>
          <w:rFonts w:ascii="Arial" w:cs="Arial" w:eastAsia="Arial" w:hAnsi="Arial"/>
          <w:i w:val="false"/>
          <w:iCs w:val="false"/>
          <w:sz w:val="20"/>
          <w:szCs w:val="20"/>
        </w:rPr>
        <w:t xml:space="preserve">Compliance is not layer-specific — it spans all three standards through four consistent mechanisms that must be applied at every transformation boundary. A failure at any single point breaks the chain of clinical and legal accountability.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Mechanism</w:t>
            </w:r>
          </w:p>
        </w:tc>
        <w:tc>
          <w:tcPr>
            <w:tcW w:type="dxa" w:w="22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HL7 v2 Layer</w:t>
            </w:r>
          </w:p>
        </w:tc>
        <w:tc>
          <w:tcPr>
            <w:tcW w:type="dxa" w:w="26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C-CDA Layer</w:t>
            </w:r>
          </w:p>
        </w:tc>
        <w:tc>
          <w:tcPr>
            <w:tcW w:type="dxa" w:w="256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FHIR Layer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Terminology Binding</w:t>
            </w:r>
          </w:p>
        </w:tc>
        <w:tc>
          <w:tcPr>
            <w:tcW w:type="dxa" w:w="22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ICD-10-CM in DG1; LOINC in OBX-3; RxNorm in RXE</w:t>
            </w:r>
          </w:p>
        </w:tc>
        <w:tc>
          <w:tcPr>
            <w:tcW w:type="dxa" w:w="26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SNOMED CT / ICD-10 in Problems; LOINC in Results; RxNorm in Medications</w:t>
            </w:r>
          </w:p>
        </w:tc>
        <w:tc>
          <w:tcPr>
            <w:tcW w:type="dxa" w:w="25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 Core profiles mandate LOINC, SNOMED CT, RxNorm bindings per resource type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Provenance &amp; Audit Trail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ACK/NACK log per message; MSH-10 message control ID tracked</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ClinicalDocument/id in XML; author and custodian elements required</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Provenance resource attached to every transformed resource; AuditEvent for access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Access Control</w:t>
            </w:r>
          </w:p>
        </w:tc>
        <w:tc>
          <w:tcPr>
            <w:tcW w:type="dxa" w:w="22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MLLP channel security; VPN / TLS 1.2+ on transport; facility-level agreements</w:t>
            </w:r>
          </w:p>
        </w:tc>
        <w:tc>
          <w:tcPr>
            <w:tcW w:type="dxa" w:w="2600"/>
            <w:tcBorders>
              <w:top w:val="single" w:color="CCCCCC" w:sz="1"/>
              <w:left w:val="single" w:color="CCCCCC" w:sz="1"/>
              <w:bottom w:val="single" w:color="CCCCCC" w:sz="1"/>
              <w:right w:val="single" w:color="CCCCCC" w:sz="1"/>
            </w:tcBorders>
            <w:shd w:fill="DDEED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Direct Trust X.509 certificates; HISP-to-HISP encrypted delivery; BAA required</w:t>
            </w:r>
          </w:p>
        </w:tc>
        <w:tc>
          <w:tcPr>
            <w:tcW w:type="dxa" w:w="25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SMART on FHIR (OAuth 2.0); scopes per resource type; TLS 1.2+ on all endpoints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Structural Validation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Conformance profile enforcement; required segment/field checks; ACK code AA vs AE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Schematron validation before transmission; C-CDA R2.1 IG conformance</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StructureDefinition $validate; US Core Profile conformance checking</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Hand-off Summary Matrix</w:t>
      </w:r>
    </w:p>
    <w:p>
      <w:pPr>
        <w:spacing w:after="60" w:before="60"/>
      </w:pPr>
      <w:r>
        <w:rPr>
          <w:rFonts w:ascii="Arial" w:cs="Arial" w:eastAsia="Arial" w:hAnsi="Arial"/>
          <w:i w:val="false"/>
          <w:iCs w:val="false"/>
          <w:sz w:val="20"/>
          <w:szCs w:val="20"/>
        </w:rPr>
        <w:t xml:space="preserve">The following matrix consolidates all boundary crossings between the three standards — the points at which data changes format, protocol, and owner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400"/>
        <w:gridCol w:w="1400"/>
        <w:gridCol w:w="1760"/>
        <w:gridCol w:w="1760"/>
        <w:gridCol w:w="2400"/>
      </w:tblGrid>
      <w:tr>
        <w:tc>
          <w:tcPr>
            <w:tcW w:type="dxa" w:w="64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t>
            </w:r>
          </w:p>
        </w:tc>
        <w:tc>
          <w:tcPr>
            <w:tcW w:type="dxa" w:w="14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From</w:t>
            </w:r>
          </w:p>
        </w:tc>
        <w:tc>
          <w:tcPr>
            <w:tcW w:type="dxa" w:w="14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To</w:t>
            </w:r>
          </w:p>
        </w:tc>
        <w:tc>
          <w:tcPr>
            <w:tcW w:type="dxa" w:w="176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Trigger</w:t>
            </w:r>
          </w:p>
        </w:tc>
        <w:tc>
          <w:tcPr>
            <w:tcW w:type="dxa" w:w="176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Transformation Tool</w:t>
            </w:r>
          </w:p>
        </w:tc>
        <w:tc>
          <w:tcPr>
            <w:tcW w:type="dxa" w:w="2400"/>
            <w:gridSpan w:val="1"/>
            <w:tcBorders>
              <w:top w:val="single" w:color="2E75B6" w:sz="1"/>
              <w:left w:val="single" w:color="2E75B6" w:sz="1"/>
              <w:bottom w:val="single" w:color="2E75B6" w:sz="1"/>
              <w:right w:val="single" w:color="2E75B6"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Compliance Checkpoint</w:t>
            </w:r>
          </w:p>
        </w:tc>
      </w:tr>
      <w:tr>
        <w:tc>
          <w:tcPr>
            <w:tcW w:type="dxa" w:w="6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1</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EHR / Clinical System</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HL7 v2 → Integration Engine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Clinical event (registration, order, result, discharge)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Interface Engine (Mirth Connect, Rhapsody, Azure APIM)</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Segment validation; ACK logging; MLLP/TLS transport</w:t>
            </w:r>
          </w:p>
        </w:tc>
      </w:tr>
      <w:tr>
        <w:tc>
          <w:tcPr>
            <w:tcW w:type="dxa" w:w="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HL7 v2 Stream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R4 Resources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Every inbound v2 message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v2-to-FHIR mapping (HL7 Mapping Guide + custom transforms)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Terminology binding; Provenance resource; SMART on FHIR auth</w:t>
            </w:r>
          </w:p>
        </w:tc>
      </w:tr>
      <w:tr>
        <w:tc>
          <w:tcPr>
            <w:tcW w:type="dxa" w:w="6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3</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Store / EHR</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C-CDA Document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ADT A03 discharge event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EHR document assembly or dedicated C-CDA generation service</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Schematron validation; C-CDA R2.1 conformance; Direct Trust cert</w:t>
            </w:r>
          </w:p>
        </w:tc>
      </w:tr>
      <w:tr>
        <w:tc>
          <w:tcPr>
            <w:tcW w:type="dxa" w:w="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C-CDA Document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R4 Resources (at SNF)</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C-CDA received via Direct/XDS.b/FHIR DocumentReference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C-CDA-to-FHIR conversion service (HL7 community mapping guide)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Provenance chain preserved; US Core profile conformance; AuditEvent</w:t>
            </w:r>
          </w:p>
        </w:tc>
      </w:tr>
      <w:tr>
        <w:tc>
          <w:tcPr>
            <w:tcW w:type="dxa" w:w="6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Store</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Analytics / Payer APIs / eCQMs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Scheduled bulk export or on-demand query</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FHIR $export (Bulk Data IG); CQL evaluation engines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SMART on FHIR scopes; BAA with analytics vendor; de-identification (Safe Harbor / Expert)</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Key Principles Summary</w:t>
      </w:r>
    </w:p>
    <w:p>
      <w:pPr>
        <w:spacing w:after="60" w:before="60"/>
      </w:pPr>
      <w:r>
        <w:rPr>
          <w:rFonts w:ascii="Arial" w:cs="Arial" w:eastAsia="Arial" w:hAnsi="Arial"/>
          <w:i w:val="false"/>
          <w:iCs w:val="false"/>
          <w:sz w:val="20"/>
          <w:szCs w:val="20"/>
        </w:rPr>
        <w:t xml:space="preserve">The integration of these three standards succeeds when the following principles are consistently applied across all systems and transformation boundaries:</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HL7 v2 captures the moment — every discrete clinical event must produce a conformant, ACK'd message with required segments and terminology codes intact.</w:t>
      </w:r>
    </w:p>
    <w:p>
      <w:pPr>
        <w:pStyle w:val="ListParagraph"/>
        <w:numPr>
          <w:ilvl w:val="0"/>
          <w:numId w:val="2"/>
        </w:numPr>
        <w:spacing w:after="40" w:before="40"/>
      </w:pPr>
      <w:r>
        <w:rPr>
          <w:rFonts w:ascii="Arial" w:cs="Arial" w:eastAsia="Arial" w:hAnsi="Arial"/>
          <w:sz w:val="20"/>
          <w:szCs w:val="20"/>
        </w:rPr>
        <w:t xml:space="preserve">C-CDA summarizes the episode — the document must be internally consistent; every coded entry must validate against HL7 Schematron before transmission.</w:t>
      </w:r>
    </w:p>
    <w:p>
      <w:pPr>
        <w:pStyle w:val="ListParagraph"/>
        <w:numPr>
          <w:ilvl w:val="0"/>
          <w:numId w:val="2"/>
        </w:numPr>
        <w:spacing w:after="40" w:before="40"/>
      </w:pPr>
      <w:r>
        <w:rPr>
          <w:rFonts w:ascii="Arial" w:cs="Arial" w:eastAsia="Arial" w:hAnsi="Arial"/>
          <w:sz w:val="20"/>
          <w:szCs w:val="20"/>
        </w:rPr>
        <w:t xml:space="preserve">FHIR makes the data queryable — resources must conform to US Core profiles and carry Provenance back to their originating source.</w:t>
      </w:r>
    </w:p>
    <w:p>
      <w:pPr>
        <w:pStyle w:val="ListParagraph"/>
        <w:numPr>
          <w:ilvl w:val="0"/>
          <w:numId w:val="2"/>
        </w:numPr>
        <w:spacing w:after="40" w:before="40"/>
      </w:pPr>
      <w:r>
        <w:rPr>
          <w:rFonts w:ascii="Arial" w:cs="Arial" w:eastAsia="Arial" w:hAnsi="Arial"/>
          <w:sz w:val="20"/>
          <w:szCs w:val="20"/>
        </w:rPr>
        <w:t xml:space="preserve">Terminology is the binding agent — LOINC, SNOMED CT, RxNorm, and ICD-10 must be applied consistently at every layer and transformation point.</w:t>
      </w:r>
    </w:p>
    <w:p>
      <w:pPr>
        <w:pStyle w:val="ListParagraph"/>
        <w:numPr>
          <w:ilvl w:val="0"/>
          <w:numId w:val="2"/>
        </w:numPr>
        <w:spacing w:after="40" w:before="40"/>
      </w:pPr>
      <w:r>
        <w:rPr>
          <w:rFonts w:ascii="Arial" w:cs="Arial" w:eastAsia="Arial" w:hAnsi="Arial"/>
          <w:sz w:val="20"/>
          <w:szCs w:val="20"/>
        </w:rPr>
        <w:t xml:space="preserve">Provenance is non-negotiable — every transformed resource must carry a traceable chain of custody from clinical event to final consumer.</w:t>
      </w:r>
    </w:p>
    <w:p>
      <w:pPr>
        <w:pStyle w:val="ListParagraph"/>
        <w:numPr>
          <w:ilvl w:val="0"/>
          <w:numId w:val="2"/>
        </w:numPr>
        <w:spacing w:after="40" w:before="40"/>
      </w:pPr>
      <w:r>
        <w:rPr>
          <w:rFonts w:ascii="Arial" w:cs="Arial" w:eastAsia="Arial" w:hAnsi="Arial"/>
          <w:sz w:val="20"/>
          <w:szCs w:val="20"/>
        </w:rPr>
        <w:t xml:space="preserve">No standard stands alone — the three standards are not redundant; they are complementary layers of a single clinical data continuum.</w:t>
      </w:r>
    </w:p>
    <w:p>
      <w:pPr>
        <w:pStyle w:val="ListParagraph"/>
        <w:numPr>
          <w:ilvl w:val="0"/>
          <w:numId w:val="2"/>
        </w:numPr>
        <w:spacing w:after="40" w:before="40"/>
      </w:pPr>
      <w:r>
        <w:rPr>
          <w:rFonts w:ascii="Arial" w:cs="Arial" w:eastAsia="Arial" w:hAnsi="Arial"/>
          <w:sz w:val="20"/>
          <w:szCs w:val="20"/>
        </w:rPr>
        <w:t xml:space="preserve">Compliance is systemic — a single broken validation checkpoint or missing terminology binding can disrupt the entire chain.</w:t>
      </w:r>
    </w:p>
    <w:p>
      <w:pPr>
        <w:spacing w:after="0" w:before="160"/>
      </w:pPr>
      <w:r>
        <w:t xml:space="preserve"/>
      </w:r>
    </w:p>
    <w:p>
      <w:pPr>
        <w:pBdr>
          <w:top w:val="single" w:color="2E75B6" w:sz="4" w:space="4"/>
        </w:pBdr>
        <w:spacing w:after="60" w:before="200"/>
      </w:pPr>
      <w:r>
        <w:rPr>
          <w:rFonts w:ascii="Arial" w:cs="Arial" w:eastAsia="Arial" w:hAnsi="Arial"/>
          <w:i/>
          <w:iCs/>
          <w:color w:val="404040"/>
          <w:sz w:val="16"/>
          <w:szCs w:val="16"/>
        </w:rPr>
        <w:t xml:space="preserve">Developed by: Joe Williams  |  Healthcare Data Engineering  |  HL7 v2 / C-CDA / FHIR Integration Architecture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6"/>
        <w:szCs w:val="16"/>
      </w:rPr>
      <w:t xml:space="preserve">Healthcare Data Integration — Confidential</w:t>
    </w:r>
    <w:r>
      <w:rPr>
        <w:sz w:val="16"/>
        <w:szCs w:val="16"/>
      </w:rPr>
      <w:t xml:space="preserve">	</w:t>
    </w:r>
    <w:r>
      <w:rPr>
        <w:rFonts w:ascii="Arial" w:cs="Arial" w:eastAsia="Arial" w:hAnsi="Arial"/>
        <w:color w:val="40404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404040"/>
        <w:sz w:val="16"/>
        <w:szCs w:val="16"/>
      </w:rPr>
      <w:t xml:space="preserve">HL7 v2 | C-CDA | FHIR — Health Data Integration Architecture</w:t>
    </w:r>
    <w:r>
      <w:rPr>
        <w:sz w:val="16"/>
        <w:szCs w:val="16"/>
      </w:rPr>
      <w:t xml:space="preserve">	</w:t>
    </w:r>
    <w:r>
      <w:rPr>
        <w:rFonts w:ascii="Arial" w:cs="Arial" w:eastAsia="Arial" w:hAnsi="Arial"/>
        <w:b/>
        <w:bCs/>
        <w:color w:val="404040"/>
        <w:sz w:val="16"/>
        <w:szCs w:val="16"/>
      </w:rPr>
      <w:t xml:space="preserve">Developed by: Joe Williams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2026-05-03T20:57:29.931Z</dcterms:created>
  <dcterms:modified xsi:type="dcterms:W3CDTF">2026-05-03T20:57:29.931Z</dcterms:modified>
</cp:coreProperties>
</file>

<file path=docProps/custom.xml><?xml version="1.0" encoding="utf-8"?>
<Properties xmlns="http://schemas.openxmlformats.org/officeDocument/2006/custom-properties" xmlns:vt="http://schemas.openxmlformats.org/officeDocument/2006/docPropsVTypes"/>
</file>